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DFE779" w14:textId="370939F9" w:rsidR="00FB7FCA" w:rsidRDefault="009849D4" w:rsidP="00C91095">
      <w:pPr>
        <w:pStyle w:val="Nzev"/>
        <w:spacing w:before="0" w:after="480"/>
        <w:contextualSpacing w:val="0"/>
      </w:pPr>
      <w:r>
        <w:t>Strategický</w:t>
      </w:r>
      <w:r w:rsidR="00FB7FCA" w:rsidRPr="006B3C48">
        <w:t xml:space="preserve"> </w:t>
      </w:r>
      <w:r>
        <w:t>rámec</w:t>
      </w:r>
    </w:p>
    <w:p w14:paraId="15BFE1EE" w14:textId="77777777" w:rsidR="00FB7FCA" w:rsidRPr="00E45557" w:rsidRDefault="00FB7FCA" w:rsidP="00C91095">
      <w:pPr>
        <w:pStyle w:val="Nzev"/>
        <w:spacing w:before="0" w:after="480"/>
        <w:contextualSpacing w:val="0"/>
        <w:rPr>
          <w:i/>
        </w:rPr>
      </w:pPr>
      <w:r w:rsidRPr="00E45557">
        <w:rPr>
          <w:i/>
        </w:rPr>
        <w:t>Česká republika 2030</w:t>
      </w:r>
    </w:p>
    <w:p w14:paraId="7D4B1A2F" w14:textId="72CCBF32" w:rsidR="00FB7FCA" w:rsidRDefault="00FB7FCA" w:rsidP="00C91095">
      <w:pPr>
        <w:pStyle w:val="Nzev"/>
        <w:spacing w:before="0" w:after="480"/>
        <w:rPr>
          <w:i/>
        </w:rPr>
      </w:pPr>
      <w:r>
        <w:t xml:space="preserve">Příloha 1: </w:t>
      </w:r>
      <w:r w:rsidR="001913D9" w:rsidRPr="001913D9">
        <w:t xml:space="preserve">Indikátory ke specifickým cílům </w:t>
      </w:r>
      <w:r w:rsidR="000065DB">
        <w:t>s</w:t>
      </w:r>
      <w:r w:rsidR="001913D9" w:rsidRPr="001913D9">
        <w:t xml:space="preserve">trategického rámce </w:t>
      </w:r>
      <w:r w:rsidR="001913D9" w:rsidRPr="001913D9">
        <w:rPr>
          <w:i/>
        </w:rPr>
        <w:t>Česká republika 2030</w:t>
      </w:r>
    </w:p>
    <w:p w14:paraId="7A71D88A" w14:textId="77777777" w:rsidR="00095F86" w:rsidRDefault="00383F94" w:rsidP="00C91095">
      <w:pPr>
        <w:pStyle w:val="slovanodstavec"/>
      </w:pPr>
      <w:r w:rsidRPr="00C91095">
        <w:t>Sada</w:t>
      </w:r>
      <w:r w:rsidRPr="00383F94">
        <w:t xml:space="preserve"> indikátorů strategického rámce </w:t>
      </w:r>
      <w:r w:rsidRPr="00E2015A">
        <w:rPr>
          <w:i/>
        </w:rPr>
        <w:t>Česká republika 2030</w:t>
      </w:r>
      <w:r w:rsidRPr="00383F94">
        <w:t xml:space="preserve"> byla navržena s cílem měřit jeho naplňování na úrovni jednotlivých specifických cílů. To je zásadní posun oproti Strategickému rámci udržitelného rozvoje (SRUR) z roku 2010, který obsahoval kontextové indikátory vztažené </w:t>
      </w:r>
      <w:r w:rsidR="00E2015A">
        <w:t>primárně</w:t>
      </w:r>
      <w:r w:rsidRPr="00383F94">
        <w:t xml:space="preserve"> na úroveň prioritních os. </w:t>
      </w:r>
    </w:p>
    <w:p w14:paraId="38AA5061" w14:textId="51F34C79" w:rsidR="00912258" w:rsidRPr="00383F94" w:rsidRDefault="00383F94" w:rsidP="00C91095">
      <w:pPr>
        <w:pStyle w:val="slovanodstavec"/>
      </w:pPr>
      <w:r w:rsidRPr="00383F94">
        <w:t>Z nového přístupu vyplývá i charakter navržených indikátorů, které nejsou autoritativním výčtem indikátorů udržitelného rozvoje, ale</w:t>
      </w:r>
      <w:r w:rsidR="007C79DE">
        <w:t xml:space="preserve"> jsou</w:t>
      </w:r>
      <w:r w:rsidRPr="00383F94">
        <w:t xml:space="preserve"> </w:t>
      </w:r>
      <w:r w:rsidR="00095F86">
        <w:t xml:space="preserve">otevřenou </w:t>
      </w:r>
      <w:r w:rsidRPr="00383F94">
        <w:t>datov</w:t>
      </w:r>
      <w:r w:rsidR="007C79DE">
        <w:t>ou</w:t>
      </w:r>
      <w:r w:rsidRPr="00383F94">
        <w:t xml:space="preserve"> sad</w:t>
      </w:r>
      <w:r w:rsidR="007C79DE">
        <w:t>ou</w:t>
      </w:r>
      <w:r w:rsidRPr="00383F94">
        <w:t>, kter</w:t>
      </w:r>
      <w:r w:rsidR="007C79DE">
        <w:t>á</w:t>
      </w:r>
      <w:r w:rsidRPr="00383F94">
        <w:t xml:space="preserve"> bud</w:t>
      </w:r>
      <w:r w:rsidR="007C79DE">
        <w:t>e</w:t>
      </w:r>
      <w:r w:rsidRPr="00383F94">
        <w:t xml:space="preserve"> sloužit především jako podklad pro vypracování ucelené Zprávy o</w:t>
      </w:r>
      <w:r w:rsidR="00AE1E89">
        <w:t> </w:t>
      </w:r>
      <w:r w:rsidRPr="00383F94">
        <w:t>kvalitě života</w:t>
      </w:r>
      <w:r>
        <w:t xml:space="preserve"> a její udržitelnosti</w:t>
      </w:r>
      <w:r w:rsidR="00E2015A">
        <w:t>, před</w:t>
      </w:r>
      <w:r w:rsidRPr="00383F94">
        <w:t xml:space="preserve">kládané </w:t>
      </w:r>
      <w:r w:rsidR="007C79DE">
        <w:t xml:space="preserve">Odborem </w:t>
      </w:r>
      <w:r w:rsidR="00E2015A">
        <w:t xml:space="preserve">pro udržitelný rozvoj </w:t>
      </w:r>
      <w:r w:rsidRPr="00383F94">
        <w:t xml:space="preserve">na základě schválení </w:t>
      </w:r>
      <w:r w:rsidR="00E2015A">
        <w:t>strategického rámce</w:t>
      </w:r>
      <w:r w:rsidRPr="00383F94">
        <w:t xml:space="preserve"> </w:t>
      </w:r>
      <w:r w:rsidRPr="00E2015A">
        <w:rPr>
          <w:i/>
        </w:rPr>
        <w:t>Česká republika 2030</w:t>
      </w:r>
      <w:r w:rsidR="00E2015A">
        <w:t xml:space="preserve"> každé dva roky</w:t>
      </w:r>
      <w:r w:rsidRPr="00383F94">
        <w:t>.</w:t>
      </w:r>
      <w:r w:rsidR="00B70F6A">
        <w:t xml:space="preserve"> </w:t>
      </w:r>
      <w:r w:rsidR="00D36117">
        <w:t xml:space="preserve">K interpretaci indikátorů přitom bude přistupováno kriticky s ohledem na rozdílnou úroveň jejich vypovídací hodnoty pro dané jevy. </w:t>
      </w:r>
      <w:r w:rsidR="00095F86">
        <w:t xml:space="preserve">Z tvorby indikátorové sady pro úroveň </w:t>
      </w:r>
      <w:proofErr w:type="spellStart"/>
      <w:r w:rsidR="00095F86">
        <w:t>spefických</w:t>
      </w:r>
      <w:proofErr w:type="spellEnd"/>
      <w:r w:rsidR="00095F86">
        <w:t xml:space="preserve"> cílů zároveň také vyplývá duplicita některých indikátorů, která rovněž není kvůli zvolenému přístupu nežádoucí. </w:t>
      </w:r>
      <w:r w:rsidR="00912258" w:rsidRPr="00223A0E">
        <w:t>Dokument</w:t>
      </w:r>
      <w:r w:rsidR="00912258">
        <w:t xml:space="preserve"> </w:t>
      </w:r>
      <w:r w:rsidR="00912258" w:rsidRPr="00C54BB7">
        <w:rPr>
          <w:i/>
        </w:rPr>
        <w:t>Česká republika 2030</w:t>
      </w:r>
      <w:r w:rsidR="00912258" w:rsidRPr="00223A0E">
        <w:t xml:space="preserve"> záměrně a uvědoměle nepracuje s tzv. přístupem SMART k tvorbě kvantifikovaných cílů.</w:t>
      </w:r>
      <w:r w:rsidR="00912258">
        <w:t xml:space="preserve"> </w:t>
      </w:r>
      <w:r w:rsidR="00912258" w:rsidRPr="00223A0E">
        <w:t xml:space="preserve">To však v žádném případě </w:t>
      </w:r>
      <w:r w:rsidR="00912258">
        <w:t>neznamená, že by bylo odmítáno</w:t>
      </w:r>
      <w:r w:rsidR="00912258" w:rsidRPr="00223A0E">
        <w:t xml:space="preserve"> měření</w:t>
      </w:r>
      <w:r w:rsidR="00912258">
        <w:t xml:space="preserve"> naplňování cílů. </w:t>
      </w:r>
      <w:r w:rsidR="00912258" w:rsidRPr="00223A0E">
        <w:t>Důsledně</w:t>
      </w:r>
      <w:r w:rsidR="00912258">
        <w:t xml:space="preserve"> je však odlišováno</w:t>
      </w:r>
      <w:r w:rsidR="00912258" w:rsidRPr="00223A0E">
        <w:t xml:space="preserve"> měření a stanovování apriorních kvantitativních cílů. </w:t>
      </w:r>
    </w:p>
    <w:p w14:paraId="14CDFD6B" w14:textId="70379561" w:rsidR="00C51B65" w:rsidRPr="00383F94" w:rsidRDefault="00383F94" w:rsidP="00C91095">
      <w:pPr>
        <w:pStyle w:val="slovanodstavec"/>
      </w:pPr>
      <w:r w:rsidRPr="00383F94">
        <w:t xml:space="preserve">V maximální míře jsou využívány </w:t>
      </w:r>
      <w:r w:rsidR="00390609">
        <w:t>existující</w:t>
      </w:r>
      <w:r w:rsidRPr="00383F94">
        <w:t xml:space="preserve"> </w:t>
      </w:r>
      <w:r w:rsidR="00EB55A7">
        <w:t xml:space="preserve">indikátory </w:t>
      </w:r>
      <w:r w:rsidRPr="00383F94">
        <w:t>a</w:t>
      </w:r>
      <w:r w:rsidR="00AE1E89">
        <w:t> </w:t>
      </w:r>
      <w:r w:rsidRPr="00383F94">
        <w:t>indikátory SRUR, jejichž vývoj</w:t>
      </w:r>
      <w:r w:rsidR="00E62BB2">
        <w:t xml:space="preserve"> </w:t>
      </w:r>
      <w:r w:rsidR="00E62BB2" w:rsidRPr="00383F94">
        <w:t>lze sledovat</w:t>
      </w:r>
      <w:r w:rsidRPr="00383F94">
        <w:t xml:space="preserve"> v</w:t>
      </w:r>
      <w:r w:rsidR="00E62BB2">
        <w:t> časové řadě</w:t>
      </w:r>
      <w:r w:rsidRPr="00383F94">
        <w:t>. Inovativní charakter některých cílů však vyžaduje také zahrnutí nových experimentálních indikátorů, jejichž metodické listy a</w:t>
      </w:r>
      <w:r w:rsidR="00B832C5">
        <w:t> </w:t>
      </w:r>
      <w:r w:rsidRPr="00383F94">
        <w:t>gestorství byly projednávány v průběhu tvorby strategické</w:t>
      </w:r>
      <w:r>
        <w:t xml:space="preserve">ho rámce </w:t>
      </w:r>
      <w:r w:rsidRPr="00E2015A">
        <w:rPr>
          <w:i/>
        </w:rPr>
        <w:t>Česká republika 2030</w:t>
      </w:r>
      <w:r>
        <w:t>.</w:t>
      </w:r>
      <w:r w:rsidR="00F47622">
        <w:t xml:space="preserve"> </w:t>
      </w:r>
      <w:r w:rsidR="00C51B65">
        <w:t>Experimentální indikátory, které nejsou zcela dopracovány a</w:t>
      </w:r>
      <w:r w:rsidR="00AE1E89">
        <w:t> </w:t>
      </w:r>
      <w:r w:rsidR="00C51B65">
        <w:t>budou se dále vyvíjet, jsou v návrhu označeny šedou barvou.</w:t>
      </w:r>
    </w:p>
    <w:p w14:paraId="6E79E136" w14:textId="6885B5D7" w:rsidR="00383F94" w:rsidRDefault="00383F94" w:rsidP="00C91095">
      <w:pPr>
        <w:pStyle w:val="slovanodstavec"/>
      </w:pPr>
      <w:r w:rsidRPr="00383F94">
        <w:t>U</w:t>
      </w:r>
      <w:r w:rsidR="00AE1E89">
        <w:t> </w:t>
      </w:r>
      <w:r w:rsidRPr="00383F94">
        <w:t>celé řady indikátorů je předpokládán vývoj, v některých případech i speciální výzkum, který bude v budoucnu reflektován v rámci pravidelného vyhodnocení a</w:t>
      </w:r>
      <w:r w:rsidR="00AE1E89">
        <w:t> </w:t>
      </w:r>
      <w:r w:rsidRPr="00383F94">
        <w:t>případné aktualizace indikátorové sady. Návrh indikátorů je proto třeba chápat jako živý dokument, který zrcadlí představu o</w:t>
      </w:r>
      <w:r w:rsidR="00AE1E89">
        <w:t> </w:t>
      </w:r>
      <w:r w:rsidRPr="00383F94">
        <w:t>tom, co je třeba měřit z</w:t>
      </w:r>
      <w:r w:rsidR="00AE1E89">
        <w:t> </w:t>
      </w:r>
      <w:r w:rsidRPr="00383F94">
        <w:t xml:space="preserve">hlediska dlouhodobých cílů </w:t>
      </w:r>
      <w:r w:rsidRPr="00E2015A">
        <w:rPr>
          <w:i/>
        </w:rPr>
        <w:t>České republiky 2030</w:t>
      </w:r>
      <w:r w:rsidRPr="00383F94">
        <w:t>. Jako takový bude i</w:t>
      </w:r>
      <w:r w:rsidR="00AE1E89">
        <w:t> </w:t>
      </w:r>
      <w:r w:rsidRPr="00383F94">
        <w:t>předmětem</w:t>
      </w:r>
      <w:r w:rsidR="007F6EFB">
        <w:t xml:space="preserve"> pravidelných</w:t>
      </w:r>
      <w:r w:rsidRPr="00383F94">
        <w:t xml:space="preserve"> revizí.</w:t>
      </w:r>
      <w:r w:rsidR="00B70F6A">
        <w:t xml:space="preserve"> V rámci procesu implementace budou také k jednotlivým indikátorům dále rozpracována </w:t>
      </w:r>
      <w:proofErr w:type="spellStart"/>
      <w:r w:rsidR="00B70F6A">
        <w:t>metadata</w:t>
      </w:r>
      <w:proofErr w:type="spellEnd"/>
      <w:r w:rsidR="00B70F6A">
        <w:t>, která určí jeji</w:t>
      </w:r>
      <w:r w:rsidR="00095F86">
        <w:t>ch výchozí hodnoty a specifikují</w:t>
      </w:r>
      <w:r w:rsidR="00B70F6A">
        <w:t xml:space="preserve"> žádoucí trendy.</w:t>
      </w:r>
      <w:r w:rsidR="00095F86">
        <w:t xml:space="preserve"> </w:t>
      </w:r>
      <w:r w:rsidRPr="00383F94">
        <w:t xml:space="preserve">V případech, ve kterých je to možné, jsou k některým cílům dočasně přiřazeny tzv. </w:t>
      </w:r>
      <w:proofErr w:type="spellStart"/>
      <w:r w:rsidRPr="00383F94">
        <w:t>proxy</w:t>
      </w:r>
      <w:proofErr w:type="spellEnd"/>
      <w:r w:rsidRPr="00383F94">
        <w:t xml:space="preserve"> indikátory, které nepokrývají celé znění specifického cíle, ale pouze jeho výseč. Indikátory p</w:t>
      </w:r>
      <w:r>
        <w:t>okrývající tyto cíle komplexně</w:t>
      </w:r>
      <w:r w:rsidRPr="00383F94">
        <w:t xml:space="preserve"> budou v rámci budoucích revizí podle možnosti dopracovány.</w:t>
      </w:r>
      <w:r w:rsidR="00C51B65">
        <w:t xml:space="preserve"> </w:t>
      </w:r>
    </w:p>
    <w:p w14:paraId="3CCEFFD8" w14:textId="77777777" w:rsidR="00C91095" w:rsidRDefault="00C91095">
      <w:pPr>
        <w:spacing w:after="200" w:line="276" w:lineRule="auto"/>
        <w:rPr>
          <w:rFonts w:ascii="Arial" w:hAnsi="Arial" w:cs="Arial"/>
          <w:b/>
          <w:sz w:val="22"/>
          <w:szCs w:val="22"/>
        </w:rPr>
      </w:pPr>
      <w:r>
        <w:rPr>
          <w:rFonts w:ascii="Arial" w:hAnsi="Arial" w:cs="Arial"/>
          <w:b/>
          <w:sz w:val="22"/>
          <w:szCs w:val="22"/>
        </w:rPr>
        <w:br w:type="page"/>
      </w:r>
    </w:p>
    <w:p w14:paraId="13081422" w14:textId="1848D2E3" w:rsidR="00742523" w:rsidRPr="00C91095" w:rsidRDefault="001A6162" w:rsidP="00C51B65">
      <w:pPr>
        <w:spacing w:line="276" w:lineRule="auto"/>
        <w:jc w:val="both"/>
        <w:rPr>
          <w:rFonts w:ascii="Arial" w:hAnsi="Arial" w:cs="Arial"/>
          <w:b/>
          <w:sz w:val="28"/>
          <w:szCs w:val="22"/>
        </w:rPr>
      </w:pPr>
      <w:r w:rsidRPr="00C91095">
        <w:rPr>
          <w:rFonts w:ascii="Arial" w:hAnsi="Arial" w:cs="Arial"/>
          <w:b/>
          <w:sz w:val="28"/>
          <w:szCs w:val="22"/>
        </w:rPr>
        <w:lastRenderedPageBreak/>
        <w:t xml:space="preserve">Obsah </w:t>
      </w:r>
    </w:p>
    <w:sdt>
      <w:sdtPr>
        <w:rPr>
          <w:rFonts w:ascii="Times New Roman" w:eastAsia="Times New Roman" w:hAnsi="Times New Roman" w:cs="Times New Roman"/>
          <w:b w:val="0"/>
          <w:bCs w:val="0"/>
          <w:color w:val="auto"/>
          <w:sz w:val="24"/>
          <w:szCs w:val="24"/>
        </w:rPr>
        <w:id w:val="1435785656"/>
        <w:docPartObj>
          <w:docPartGallery w:val="Table of Contents"/>
          <w:docPartUnique/>
        </w:docPartObj>
      </w:sdtPr>
      <w:sdtEndPr/>
      <w:sdtContent>
        <w:p w14:paraId="37523C39" w14:textId="1BB05FB8" w:rsidR="001A6162" w:rsidRDefault="001A6162">
          <w:pPr>
            <w:pStyle w:val="Nadpisobsahu"/>
          </w:pPr>
        </w:p>
        <w:p w14:paraId="4E0DA89F" w14:textId="77777777" w:rsidR="009E4BBC" w:rsidRPr="009E4BBC" w:rsidRDefault="001A6162">
          <w:pPr>
            <w:pStyle w:val="Obsah1"/>
            <w:tabs>
              <w:tab w:val="right" w:leader="dot" w:pos="9062"/>
            </w:tabs>
            <w:rPr>
              <w:rFonts w:ascii="Arial" w:eastAsiaTheme="minorEastAsia" w:hAnsi="Arial" w:cs="Arial"/>
              <w:noProof/>
              <w:sz w:val="22"/>
              <w:szCs w:val="22"/>
            </w:rPr>
          </w:pPr>
          <w:r>
            <w:fldChar w:fldCharType="begin"/>
          </w:r>
          <w:r>
            <w:instrText xml:space="preserve"> TOC \o "1-3" \h \z \u </w:instrText>
          </w:r>
          <w:r>
            <w:fldChar w:fldCharType="separate"/>
          </w:r>
          <w:hyperlink w:anchor="_Toc476663534" w:history="1">
            <w:r w:rsidR="009E4BBC" w:rsidRPr="009E4BBC">
              <w:rPr>
                <w:rStyle w:val="Hypertextovodkaz"/>
                <w:rFonts w:ascii="Arial" w:hAnsi="Arial" w:cs="Arial"/>
                <w:noProof/>
                <w:sz w:val="22"/>
                <w:szCs w:val="22"/>
              </w:rPr>
              <w:t>Seznam zkratek</w:t>
            </w:r>
            <w:r w:rsidR="009E4BBC" w:rsidRPr="009E4BBC">
              <w:rPr>
                <w:rFonts w:ascii="Arial" w:hAnsi="Arial" w:cs="Arial"/>
                <w:noProof/>
                <w:webHidden/>
                <w:sz w:val="22"/>
                <w:szCs w:val="22"/>
              </w:rPr>
              <w:tab/>
            </w:r>
            <w:r w:rsidR="009E4BBC" w:rsidRPr="009E4BBC">
              <w:rPr>
                <w:rFonts w:ascii="Arial" w:hAnsi="Arial" w:cs="Arial"/>
                <w:noProof/>
                <w:webHidden/>
                <w:sz w:val="22"/>
                <w:szCs w:val="22"/>
              </w:rPr>
              <w:fldChar w:fldCharType="begin"/>
            </w:r>
            <w:r w:rsidR="009E4BBC" w:rsidRPr="009E4BBC">
              <w:rPr>
                <w:rFonts w:ascii="Arial" w:hAnsi="Arial" w:cs="Arial"/>
                <w:noProof/>
                <w:webHidden/>
                <w:sz w:val="22"/>
                <w:szCs w:val="22"/>
              </w:rPr>
              <w:instrText xml:space="preserve"> PAGEREF _Toc476663534 \h </w:instrText>
            </w:r>
            <w:r w:rsidR="009E4BBC" w:rsidRPr="009E4BBC">
              <w:rPr>
                <w:rFonts w:ascii="Arial" w:hAnsi="Arial" w:cs="Arial"/>
                <w:noProof/>
                <w:webHidden/>
                <w:sz w:val="22"/>
                <w:szCs w:val="22"/>
              </w:rPr>
            </w:r>
            <w:r w:rsidR="009E4BBC" w:rsidRPr="009E4BBC">
              <w:rPr>
                <w:rFonts w:ascii="Arial" w:hAnsi="Arial" w:cs="Arial"/>
                <w:noProof/>
                <w:webHidden/>
                <w:sz w:val="22"/>
                <w:szCs w:val="22"/>
              </w:rPr>
              <w:fldChar w:fldCharType="separate"/>
            </w:r>
            <w:r w:rsidR="00A07B6A">
              <w:rPr>
                <w:rFonts w:ascii="Arial" w:hAnsi="Arial" w:cs="Arial"/>
                <w:noProof/>
                <w:webHidden/>
                <w:sz w:val="22"/>
                <w:szCs w:val="22"/>
              </w:rPr>
              <w:t>3</w:t>
            </w:r>
            <w:r w:rsidR="009E4BBC" w:rsidRPr="009E4BBC">
              <w:rPr>
                <w:rFonts w:ascii="Arial" w:hAnsi="Arial" w:cs="Arial"/>
                <w:noProof/>
                <w:webHidden/>
                <w:sz w:val="22"/>
                <w:szCs w:val="22"/>
              </w:rPr>
              <w:fldChar w:fldCharType="end"/>
            </w:r>
          </w:hyperlink>
        </w:p>
        <w:p w14:paraId="7D0AAE41" w14:textId="77777777" w:rsidR="009E4BBC" w:rsidRPr="009E4BBC" w:rsidRDefault="008B7571">
          <w:pPr>
            <w:pStyle w:val="Obsah1"/>
            <w:tabs>
              <w:tab w:val="left" w:pos="440"/>
              <w:tab w:val="right" w:leader="dot" w:pos="9062"/>
            </w:tabs>
            <w:rPr>
              <w:rFonts w:ascii="Arial" w:eastAsiaTheme="minorEastAsia" w:hAnsi="Arial" w:cs="Arial"/>
              <w:noProof/>
              <w:sz w:val="22"/>
              <w:szCs w:val="22"/>
            </w:rPr>
          </w:pPr>
          <w:hyperlink w:anchor="_Toc476663535" w:history="1">
            <w:r w:rsidR="009E4BBC" w:rsidRPr="009E4BBC">
              <w:rPr>
                <w:rStyle w:val="Hypertextovodkaz"/>
                <w:rFonts w:ascii="Arial" w:hAnsi="Arial" w:cs="Arial"/>
                <w:noProof/>
                <w:sz w:val="22"/>
                <w:szCs w:val="22"/>
              </w:rPr>
              <w:t>1</w:t>
            </w:r>
            <w:r w:rsidR="009E4BBC" w:rsidRPr="009E4BBC">
              <w:rPr>
                <w:rFonts w:ascii="Arial" w:eastAsiaTheme="minorEastAsia" w:hAnsi="Arial" w:cs="Arial"/>
                <w:noProof/>
                <w:sz w:val="22"/>
                <w:szCs w:val="22"/>
              </w:rPr>
              <w:tab/>
            </w:r>
            <w:r w:rsidR="009E4BBC" w:rsidRPr="009E4BBC">
              <w:rPr>
                <w:rStyle w:val="Hypertextovodkaz"/>
                <w:rFonts w:ascii="Arial" w:hAnsi="Arial" w:cs="Arial"/>
                <w:noProof/>
                <w:sz w:val="22"/>
                <w:szCs w:val="22"/>
              </w:rPr>
              <w:t>Lidé a společnost</w:t>
            </w:r>
            <w:r w:rsidR="009E4BBC" w:rsidRPr="009E4BBC">
              <w:rPr>
                <w:rFonts w:ascii="Arial" w:hAnsi="Arial" w:cs="Arial"/>
                <w:noProof/>
                <w:webHidden/>
                <w:sz w:val="22"/>
                <w:szCs w:val="22"/>
              </w:rPr>
              <w:tab/>
            </w:r>
            <w:r w:rsidR="009E4BBC" w:rsidRPr="009E4BBC">
              <w:rPr>
                <w:rFonts w:ascii="Arial" w:hAnsi="Arial" w:cs="Arial"/>
                <w:noProof/>
                <w:webHidden/>
                <w:sz w:val="22"/>
                <w:szCs w:val="22"/>
              </w:rPr>
              <w:fldChar w:fldCharType="begin"/>
            </w:r>
            <w:r w:rsidR="009E4BBC" w:rsidRPr="009E4BBC">
              <w:rPr>
                <w:rFonts w:ascii="Arial" w:hAnsi="Arial" w:cs="Arial"/>
                <w:noProof/>
                <w:webHidden/>
                <w:sz w:val="22"/>
                <w:szCs w:val="22"/>
              </w:rPr>
              <w:instrText xml:space="preserve"> PAGEREF _Toc476663535 \h </w:instrText>
            </w:r>
            <w:r w:rsidR="009E4BBC" w:rsidRPr="009E4BBC">
              <w:rPr>
                <w:rFonts w:ascii="Arial" w:hAnsi="Arial" w:cs="Arial"/>
                <w:noProof/>
                <w:webHidden/>
                <w:sz w:val="22"/>
                <w:szCs w:val="22"/>
              </w:rPr>
            </w:r>
            <w:r w:rsidR="009E4BBC" w:rsidRPr="009E4BBC">
              <w:rPr>
                <w:rFonts w:ascii="Arial" w:hAnsi="Arial" w:cs="Arial"/>
                <w:noProof/>
                <w:webHidden/>
                <w:sz w:val="22"/>
                <w:szCs w:val="22"/>
              </w:rPr>
              <w:fldChar w:fldCharType="separate"/>
            </w:r>
            <w:r w:rsidR="00A07B6A">
              <w:rPr>
                <w:rFonts w:ascii="Arial" w:hAnsi="Arial" w:cs="Arial"/>
                <w:noProof/>
                <w:webHidden/>
                <w:sz w:val="22"/>
                <w:szCs w:val="22"/>
              </w:rPr>
              <w:t>6</w:t>
            </w:r>
            <w:r w:rsidR="009E4BBC" w:rsidRPr="009E4BBC">
              <w:rPr>
                <w:rFonts w:ascii="Arial" w:hAnsi="Arial" w:cs="Arial"/>
                <w:noProof/>
                <w:webHidden/>
                <w:sz w:val="22"/>
                <w:szCs w:val="22"/>
              </w:rPr>
              <w:fldChar w:fldCharType="end"/>
            </w:r>
          </w:hyperlink>
        </w:p>
        <w:p w14:paraId="1DCBF34B" w14:textId="77777777" w:rsidR="009E4BBC" w:rsidRPr="009E4BBC" w:rsidRDefault="008B7571">
          <w:pPr>
            <w:pStyle w:val="Obsah1"/>
            <w:tabs>
              <w:tab w:val="left" w:pos="440"/>
              <w:tab w:val="right" w:leader="dot" w:pos="9062"/>
            </w:tabs>
            <w:rPr>
              <w:rFonts w:ascii="Arial" w:eastAsiaTheme="minorEastAsia" w:hAnsi="Arial" w:cs="Arial"/>
              <w:noProof/>
              <w:sz w:val="22"/>
              <w:szCs w:val="22"/>
            </w:rPr>
          </w:pPr>
          <w:hyperlink w:anchor="_Toc476663536" w:history="1">
            <w:r w:rsidR="009E4BBC" w:rsidRPr="009E4BBC">
              <w:rPr>
                <w:rStyle w:val="Hypertextovodkaz"/>
                <w:rFonts w:ascii="Arial" w:hAnsi="Arial" w:cs="Arial"/>
                <w:noProof/>
                <w:sz w:val="22"/>
                <w:szCs w:val="22"/>
              </w:rPr>
              <w:t>2</w:t>
            </w:r>
            <w:r w:rsidR="009E4BBC" w:rsidRPr="009E4BBC">
              <w:rPr>
                <w:rFonts w:ascii="Arial" w:eastAsiaTheme="minorEastAsia" w:hAnsi="Arial" w:cs="Arial"/>
                <w:noProof/>
                <w:sz w:val="22"/>
                <w:szCs w:val="22"/>
              </w:rPr>
              <w:tab/>
            </w:r>
            <w:r w:rsidR="009E4BBC" w:rsidRPr="009E4BBC">
              <w:rPr>
                <w:rStyle w:val="Hypertextovodkaz"/>
                <w:rFonts w:ascii="Arial" w:hAnsi="Arial" w:cs="Arial"/>
                <w:noProof/>
                <w:sz w:val="22"/>
                <w:szCs w:val="22"/>
              </w:rPr>
              <w:t>Hospodářský model</w:t>
            </w:r>
            <w:r w:rsidR="009E4BBC" w:rsidRPr="009E4BBC">
              <w:rPr>
                <w:rFonts w:ascii="Arial" w:hAnsi="Arial" w:cs="Arial"/>
                <w:noProof/>
                <w:webHidden/>
                <w:sz w:val="22"/>
                <w:szCs w:val="22"/>
              </w:rPr>
              <w:tab/>
            </w:r>
            <w:r w:rsidR="009E4BBC" w:rsidRPr="009E4BBC">
              <w:rPr>
                <w:rFonts w:ascii="Arial" w:hAnsi="Arial" w:cs="Arial"/>
                <w:noProof/>
                <w:webHidden/>
                <w:sz w:val="22"/>
                <w:szCs w:val="22"/>
              </w:rPr>
              <w:fldChar w:fldCharType="begin"/>
            </w:r>
            <w:r w:rsidR="009E4BBC" w:rsidRPr="009E4BBC">
              <w:rPr>
                <w:rFonts w:ascii="Arial" w:hAnsi="Arial" w:cs="Arial"/>
                <w:noProof/>
                <w:webHidden/>
                <w:sz w:val="22"/>
                <w:szCs w:val="22"/>
              </w:rPr>
              <w:instrText xml:space="preserve"> PAGEREF _Toc476663536 \h </w:instrText>
            </w:r>
            <w:r w:rsidR="009E4BBC" w:rsidRPr="009E4BBC">
              <w:rPr>
                <w:rFonts w:ascii="Arial" w:hAnsi="Arial" w:cs="Arial"/>
                <w:noProof/>
                <w:webHidden/>
                <w:sz w:val="22"/>
                <w:szCs w:val="22"/>
              </w:rPr>
            </w:r>
            <w:r w:rsidR="009E4BBC" w:rsidRPr="009E4BBC">
              <w:rPr>
                <w:rFonts w:ascii="Arial" w:hAnsi="Arial" w:cs="Arial"/>
                <w:noProof/>
                <w:webHidden/>
                <w:sz w:val="22"/>
                <w:szCs w:val="22"/>
              </w:rPr>
              <w:fldChar w:fldCharType="separate"/>
            </w:r>
            <w:r w:rsidR="00A07B6A">
              <w:rPr>
                <w:rFonts w:ascii="Arial" w:hAnsi="Arial" w:cs="Arial"/>
                <w:noProof/>
                <w:webHidden/>
                <w:sz w:val="22"/>
                <w:szCs w:val="22"/>
              </w:rPr>
              <w:t>26</w:t>
            </w:r>
            <w:r w:rsidR="009E4BBC" w:rsidRPr="009E4BBC">
              <w:rPr>
                <w:rFonts w:ascii="Arial" w:hAnsi="Arial" w:cs="Arial"/>
                <w:noProof/>
                <w:webHidden/>
                <w:sz w:val="22"/>
                <w:szCs w:val="22"/>
              </w:rPr>
              <w:fldChar w:fldCharType="end"/>
            </w:r>
          </w:hyperlink>
        </w:p>
        <w:p w14:paraId="34414B81" w14:textId="77777777" w:rsidR="009E4BBC" w:rsidRPr="009E4BBC" w:rsidRDefault="008B7571">
          <w:pPr>
            <w:pStyle w:val="Obsah1"/>
            <w:tabs>
              <w:tab w:val="left" w:pos="440"/>
              <w:tab w:val="right" w:leader="dot" w:pos="9062"/>
            </w:tabs>
            <w:rPr>
              <w:rFonts w:ascii="Arial" w:eastAsiaTheme="minorEastAsia" w:hAnsi="Arial" w:cs="Arial"/>
              <w:noProof/>
              <w:sz w:val="22"/>
              <w:szCs w:val="22"/>
            </w:rPr>
          </w:pPr>
          <w:hyperlink w:anchor="_Toc476663537" w:history="1">
            <w:r w:rsidR="009E4BBC" w:rsidRPr="009E4BBC">
              <w:rPr>
                <w:rStyle w:val="Hypertextovodkaz"/>
                <w:rFonts w:ascii="Arial" w:hAnsi="Arial" w:cs="Arial"/>
                <w:noProof/>
                <w:sz w:val="22"/>
                <w:szCs w:val="22"/>
              </w:rPr>
              <w:t>3</w:t>
            </w:r>
            <w:r w:rsidR="009E4BBC" w:rsidRPr="009E4BBC">
              <w:rPr>
                <w:rFonts w:ascii="Arial" w:eastAsiaTheme="minorEastAsia" w:hAnsi="Arial" w:cs="Arial"/>
                <w:noProof/>
                <w:sz w:val="22"/>
                <w:szCs w:val="22"/>
              </w:rPr>
              <w:tab/>
            </w:r>
            <w:r w:rsidR="009E4BBC" w:rsidRPr="009E4BBC">
              <w:rPr>
                <w:rStyle w:val="Hypertextovodkaz"/>
                <w:rFonts w:ascii="Arial" w:hAnsi="Arial" w:cs="Arial"/>
                <w:noProof/>
                <w:sz w:val="22"/>
                <w:szCs w:val="22"/>
              </w:rPr>
              <w:t>Odolné ekosystémy</w:t>
            </w:r>
            <w:r w:rsidR="009E4BBC" w:rsidRPr="009E4BBC">
              <w:rPr>
                <w:rFonts w:ascii="Arial" w:hAnsi="Arial" w:cs="Arial"/>
                <w:noProof/>
                <w:webHidden/>
                <w:sz w:val="22"/>
                <w:szCs w:val="22"/>
              </w:rPr>
              <w:tab/>
            </w:r>
            <w:r w:rsidR="009E4BBC" w:rsidRPr="009E4BBC">
              <w:rPr>
                <w:rFonts w:ascii="Arial" w:hAnsi="Arial" w:cs="Arial"/>
                <w:noProof/>
                <w:webHidden/>
                <w:sz w:val="22"/>
                <w:szCs w:val="22"/>
              </w:rPr>
              <w:fldChar w:fldCharType="begin"/>
            </w:r>
            <w:r w:rsidR="009E4BBC" w:rsidRPr="009E4BBC">
              <w:rPr>
                <w:rFonts w:ascii="Arial" w:hAnsi="Arial" w:cs="Arial"/>
                <w:noProof/>
                <w:webHidden/>
                <w:sz w:val="22"/>
                <w:szCs w:val="22"/>
              </w:rPr>
              <w:instrText xml:space="preserve"> PAGEREF _Toc476663537 \h </w:instrText>
            </w:r>
            <w:r w:rsidR="009E4BBC" w:rsidRPr="009E4BBC">
              <w:rPr>
                <w:rFonts w:ascii="Arial" w:hAnsi="Arial" w:cs="Arial"/>
                <w:noProof/>
                <w:webHidden/>
                <w:sz w:val="22"/>
                <w:szCs w:val="22"/>
              </w:rPr>
            </w:r>
            <w:r w:rsidR="009E4BBC" w:rsidRPr="009E4BBC">
              <w:rPr>
                <w:rFonts w:ascii="Arial" w:hAnsi="Arial" w:cs="Arial"/>
                <w:noProof/>
                <w:webHidden/>
                <w:sz w:val="22"/>
                <w:szCs w:val="22"/>
              </w:rPr>
              <w:fldChar w:fldCharType="separate"/>
            </w:r>
            <w:r w:rsidR="00A07B6A">
              <w:rPr>
                <w:rFonts w:ascii="Arial" w:hAnsi="Arial" w:cs="Arial"/>
                <w:noProof/>
                <w:webHidden/>
                <w:sz w:val="22"/>
                <w:szCs w:val="22"/>
              </w:rPr>
              <w:t>48</w:t>
            </w:r>
            <w:r w:rsidR="009E4BBC" w:rsidRPr="009E4BBC">
              <w:rPr>
                <w:rFonts w:ascii="Arial" w:hAnsi="Arial" w:cs="Arial"/>
                <w:noProof/>
                <w:webHidden/>
                <w:sz w:val="22"/>
                <w:szCs w:val="22"/>
              </w:rPr>
              <w:fldChar w:fldCharType="end"/>
            </w:r>
          </w:hyperlink>
        </w:p>
        <w:p w14:paraId="47FA63BD" w14:textId="77777777" w:rsidR="009E4BBC" w:rsidRPr="009E4BBC" w:rsidRDefault="008B7571">
          <w:pPr>
            <w:pStyle w:val="Obsah1"/>
            <w:tabs>
              <w:tab w:val="left" w:pos="440"/>
              <w:tab w:val="right" w:leader="dot" w:pos="9062"/>
            </w:tabs>
            <w:rPr>
              <w:rFonts w:ascii="Arial" w:eastAsiaTheme="minorEastAsia" w:hAnsi="Arial" w:cs="Arial"/>
              <w:noProof/>
              <w:sz w:val="22"/>
              <w:szCs w:val="22"/>
            </w:rPr>
          </w:pPr>
          <w:hyperlink w:anchor="_Toc476663538" w:history="1">
            <w:r w:rsidR="009E4BBC" w:rsidRPr="009E4BBC">
              <w:rPr>
                <w:rStyle w:val="Hypertextovodkaz"/>
                <w:rFonts w:ascii="Arial" w:hAnsi="Arial" w:cs="Arial"/>
                <w:noProof/>
                <w:sz w:val="22"/>
                <w:szCs w:val="22"/>
              </w:rPr>
              <w:t>4</w:t>
            </w:r>
            <w:r w:rsidR="009E4BBC" w:rsidRPr="009E4BBC">
              <w:rPr>
                <w:rFonts w:ascii="Arial" w:eastAsiaTheme="minorEastAsia" w:hAnsi="Arial" w:cs="Arial"/>
                <w:noProof/>
                <w:sz w:val="22"/>
                <w:szCs w:val="22"/>
              </w:rPr>
              <w:tab/>
            </w:r>
            <w:r w:rsidR="009E4BBC" w:rsidRPr="009E4BBC">
              <w:rPr>
                <w:rStyle w:val="Hypertextovodkaz"/>
                <w:rFonts w:ascii="Arial" w:hAnsi="Arial" w:cs="Arial"/>
                <w:noProof/>
                <w:sz w:val="22"/>
                <w:szCs w:val="22"/>
              </w:rPr>
              <w:t>Obce a regiony</w:t>
            </w:r>
            <w:r w:rsidR="009E4BBC" w:rsidRPr="009E4BBC">
              <w:rPr>
                <w:rFonts w:ascii="Arial" w:hAnsi="Arial" w:cs="Arial"/>
                <w:noProof/>
                <w:webHidden/>
                <w:sz w:val="22"/>
                <w:szCs w:val="22"/>
              </w:rPr>
              <w:tab/>
            </w:r>
            <w:r w:rsidR="009E4BBC" w:rsidRPr="009E4BBC">
              <w:rPr>
                <w:rFonts w:ascii="Arial" w:hAnsi="Arial" w:cs="Arial"/>
                <w:noProof/>
                <w:webHidden/>
                <w:sz w:val="22"/>
                <w:szCs w:val="22"/>
              </w:rPr>
              <w:fldChar w:fldCharType="begin"/>
            </w:r>
            <w:r w:rsidR="009E4BBC" w:rsidRPr="009E4BBC">
              <w:rPr>
                <w:rFonts w:ascii="Arial" w:hAnsi="Arial" w:cs="Arial"/>
                <w:noProof/>
                <w:webHidden/>
                <w:sz w:val="22"/>
                <w:szCs w:val="22"/>
              </w:rPr>
              <w:instrText xml:space="preserve"> PAGEREF _Toc476663538 \h </w:instrText>
            </w:r>
            <w:r w:rsidR="009E4BBC" w:rsidRPr="009E4BBC">
              <w:rPr>
                <w:rFonts w:ascii="Arial" w:hAnsi="Arial" w:cs="Arial"/>
                <w:noProof/>
                <w:webHidden/>
                <w:sz w:val="22"/>
                <w:szCs w:val="22"/>
              </w:rPr>
            </w:r>
            <w:r w:rsidR="009E4BBC" w:rsidRPr="009E4BBC">
              <w:rPr>
                <w:rFonts w:ascii="Arial" w:hAnsi="Arial" w:cs="Arial"/>
                <w:noProof/>
                <w:webHidden/>
                <w:sz w:val="22"/>
                <w:szCs w:val="22"/>
              </w:rPr>
              <w:fldChar w:fldCharType="separate"/>
            </w:r>
            <w:r w:rsidR="00A07B6A">
              <w:rPr>
                <w:rFonts w:ascii="Arial" w:hAnsi="Arial" w:cs="Arial"/>
                <w:noProof/>
                <w:webHidden/>
                <w:sz w:val="22"/>
                <w:szCs w:val="22"/>
              </w:rPr>
              <w:t>58</w:t>
            </w:r>
            <w:r w:rsidR="009E4BBC" w:rsidRPr="009E4BBC">
              <w:rPr>
                <w:rFonts w:ascii="Arial" w:hAnsi="Arial" w:cs="Arial"/>
                <w:noProof/>
                <w:webHidden/>
                <w:sz w:val="22"/>
                <w:szCs w:val="22"/>
              </w:rPr>
              <w:fldChar w:fldCharType="end"/>
            </w:r>
          </w:hyperlink>
        </w:p>
        <w:p w14:paraId="6BD11543" w14:textId="77777777" w:rsidR="009E4BBC" w:rsidRPr="009E4BBC" w:rsidRDefault="008B7571">
          <w:pPr>
            <w:pStyle w:val="Obsah1"/>
            <w:tabs>
              <w:tab w:val="left" w:pos="440"/>
              <w:tab w:val="right" w:leader="dot" w:pos="9062"/>
            </w:tabs>
            <w:rPr>
              <w:rFonts w:ascii="Arial" w:eastAsiaTheme="minorEastAsia" w:hAnsi="Arial" w:cs="Arial"/>
              <w:noProof/>
              <w:sz w:val="22"/>
              <w:szCs w:val="22"/>
            </w:rPr>
          </w:pPr>
          <w:hyperlink w:anchor="_Toc476663539" w:history="1">
            <w:r w:rsidR="009E4BBC" w:rsidRPr="009E4BBC">
              <w:rPr>
                <w:rStyle w:val="Hypertextovodkaz"/>
                <w:rFonts w:ascii="Arial" w:hAnsi="Arial" w:cs="Arial"/>
                <w:noProof/>
                <w:sz w:val="22"/>
                <w:szCs w:val="22"/>
              </w:rPr>
              <w:t>5</w:t>
            </w:r>
            <w:r w:rsidR="009E4BBC" w:rsidRPr="009E4BBC">
              <w:rPr>
                <w:rFonts w:ascii="Arial" w:eastAsiaTheme="minorEastAsia" w:hAnsi="Arial" w:cs="Arial"/>
                <w:noProof/>
                <w:sz w:val="22"/>
                <w:szCs w:val="22"/>
              </w:rPr>
              <w:tab/>
            </w:r>
            <w:r w:rsidR="009E4BBC" w:rsidRPr="009E4BBC">
              <w:rPr>
                <w:rStyle w:val="Hypertextovodkaz"/>
                <w:rFonts w:ascii="Arial" w:hAnsi="Arial" w:cs="Arial"/>
                <w:noProof/>
                <w:sz w:val="22"/>
                <w:szCs w:val="22"/>
              </w:rPr>
              <w:t>Globální rozvoj</w:t>
            </w:r>
            <w:r w:rsidR="009E4BBC" w:rsidRPr="009E4BBC">
              <w:rPr>
                <w:rFonts w:ascii="Arial" w:hAnsi="Arial" w:cs="Arial"/>
                <w:noProof/>
                <w:webHidden/>
                <w:sz w:val="22"/>
                <w:szCs w:val="22"/>
              </w:rPr>
              <w:tab/>
            </w:r>
            <w:r w:rsidR="009E4BBC" w:rsidRPr="009E4BBC">
              <w:rPr>
                <w:rFonts w:ascii="Arial" w:hAnsi="Arial" w:cs="Arial"/>
                <w:noProof/>
                <w:webHidden/>
                <w:sz w:val="22"/>
                <w:szCs w:val="22"/>
              </w:rPr>
              <w:fldChar w:fldCharType="begin"/>
            </w:r>
            <w:r w:rsidR="009E4BBC" w:rsidRPr="009E4BBC">
              <w:rPr>
                <w:rFonts w:ascii="Arial" w:hAnsi="Arial" w:cs="Arial"/>
                <w:noProof/>
                <w:webHidden/>
                <w:sz w:val="22"/>
                <w:szCs w:val="22"/>
              </w:rPr>
              <w:instrText xml:space="preserve"> PAGEREF _Toc476663539 \h </w:instrText>
            </w:r>
            <w:r w:rsidR="009E4BBC" w:rsidRPr="009E4BBC">
              <w:rPr>
                <w:rFonts w:ascii="Arial" w:hAnsi="Arial" w:cs="Arial"/>
                <w:noProof/>
                <w:webHidden/>
                <w:sz w:val="22"/>
                <w:szCs w:val="22"/>
              </w:rPr>
            </w:r>
            <w:r w:rsidR="009E4BBC" w:rsidRPr="009E4BBC">
              <w:rPr>
                <w:rFonts w:ascii="Arial" w:hAnsi="Arial" w:cs="Arial"/>
                <w:noProof/>
                <w:webHidden/>
                <w:sz w:val="22"/>
                <w:szCs w:val="22"/>
              </w:rPr>
              <w:fldChar w:fldCharType="separate"/>
            </w:r>
            <w:r w:rsidR="00A07B6A">
              <w:rPr>
                <w:rFonts w:ascii="Arial" w:hAnsi="Arial" w:cs="Arial"/>
                <w:noProof/>
                <w:webHidden/>
                <w:sz w:val="22"/>
                <w:szCs w:val="22"/>
              </w:rPr>
              <w:t>77</w:t>
            </w:r>
            <w:r w:rsidR="009E4BBC" w:rsidRPr="009E4BBC">
              <w:rPr>
                <w:rFonts w:ascii="Arial" w:hAnsi="Arial" w:cs="Arial"/>
                <w:noProof/>
                <w:webHidden/>
                <w:sz w:val="22"/>
                <w:szCs w:val="22"/>
              </w:rPr>
              <w:fldChar w:fldCharType="end"/>
            </w:r>
          </w:hyperlink>
        </w:p>
        <w:p w14:paraId="4F298FBE" w14:textId="77777777" w:rsidR="009E4BBC" w:rsidRPr="009E4BBC" w:rsidRDefault="008B7571">
          <w:pPr>
            <w:pStyle w:val="Obsah1"/>
            <w:tabs>
              <w:tab w:val="left" w:pos="440"/>
              <w:tab w:val="right" w:leader="dot" w:pos="9062"/>
            </w:tabs>
            <w:rPr>
              <w:rFonts w:ascii="Arial" w:eastAsiaTheme="minorEastAsia" w:hAnsi="Arial" w:cs="Arial"/>
              <w:noProof/>
              <w:sz w:val="22"/>
              <w:szCs w:val="22"/>
            </w:rPr>
          </w:pPr>
          <w:hyperlink w:anchor="_Toc476663540" w:history="1">
            <w:r w:rsidR="009E4BBC" w:rsidRPr="009E4BBC">
              <w:rPr>
                <w:rStyle w:val="Hypertextovodkaz"/>
                <w:rFonts w:ascii="Arial" w:hAnsi="Arial" w:cs="Arial"/>
                <w:noProof/>
                <w:sz w:val="22"/>
                <w:szCs w:val="22"/>
              </w:rPr>
              <w:t>6</w:t>
            </w:r>
            <w:r w:rsidR="009E4BBC" w:rsidRPr="009E4BBC">
              <w:rPr>
                <w:rFonts w:ascii="Arial" w:eastAsiaTheme="minorEastAsia" w:hAnsi="Arial" w:cs="Arial"/>
                <w:noProof/>
                <w:sz w:val="22"/>
                <w:szCs w:val="22"/>
              </w:rPr>
              <w:tab/>
            </w:r>
            <w:r w:rsidR="009E4BBC" w:rsidRPr="009E4BBC">
              <w:rPr>
                <w:rStyle w:val="Hypertextovodkaz"/>
                <w:rFonts w:ascii="Arial" w:hAnsi="Arial" w:cs="Arial"/>
                <w:noProof/>
                <w:sz w:val="22"/>
                <w:szCs w:val="22"/>
              </w:rPr>
              <w:t>Dobré vládnutí</w:t>
            </w:r>
            <w:r w:rsidR="009E4BBC" w:rsidRPr="009E4BBC">
              <w:rPr>
                <w:rFonts w:ascii="Arial" w:hAnsi="Arial" w:cs="Arial"/>
                <w:noProof/>
                <w:webHidden/>
                <w:sz w:val="22"/>
                <w:szCs w:val="22"/>
              </w:rPr>
              <w:tab/>
            </w:r>
            <w:r w:rsidR="009E4BBC" w:rsidRPr="009E4BBC">
              <w:rPr>
                <w:rFonts w:ascii="Arial" w:hAnsi="Arial" w:cs="Arial"/>
                <w:noProof/>
                <w:webHidden/>
                <w:sz w:val="22"/>
                <w:szCs w:val="22"/>
              </w:rPr>
              <w:fldChar w:fldCharType="begin"/>
            </w:r>
            <w:r w:rsidR="009E4BBC" w:rsidRPr="009E4BBC">
              <w:rPr>
                <w:rFonts w:ascii="Arial" w:hAnsi="Arial" w:cs="Arial"/>
                <w:noProof/>
                <w:webHidden/>
                <w:sz w:val="22"/>
                <w:szCs w:val="22"/>
              </w:rPr>
              <w:instrText xml:space="preserve"> PAGEREF _Toc476663540 \h </w:instrText>
            </w:r>
            <w:r w:rsidR="009E4BBC" w:rsidRPr="009E4BBC">
              <w:rPr>
                <w:rFonts w:ascii="Arial" w:hAnsi="Arial" w:cs="Arial"/>
                <w:noProof/>
                <w:webHidden/>
                <w:sz w:val="22"/>
                <w:szCs w:val="22"/>
              </w:rPr>
            </w:r>
            <w:r w:rsidR="009E4BBC" w:rsidRPr="009E4BBC">
              <w:rPr>
                <w:rFonts w:ascii="Arial" w:hAnsi="Arial" w:cs="Arial"/>
                <w:noProof/>
                <w:webHidden/>
                <w:sz w:val="22"/>
                <w:szCs w:val="22"/>
              </w:rPr>
              <w:fldChar w:fldCharType="separate"/>
            </w:r>
            <w:r w:rsidR="00A07B6A">
              <w:rPr>
                <w:rFonts w:ascii="Arial" w:hAnsi="Arial" w:cs="Arial"/>
                <w:noProof/>
                <w:webHidden/>
                <w:sz w:val="22"/>
                <w:szCs w:val="22"/>
              </w:rPr>
              <w:t>81</w:t>
            </w:r>
            <w:r w:rsidR="009E4BBC" w:rsidRPr="009E4BBC">
              <w:rPr>
                <w:rFonts w:ascii="Arial" w:hAnsi="Arial" w:cs="Arial"/>
                <w:noProof/>
                <w:webHidden/>
                <w:sz w:val="22"/>
                <w:szCs w:val="22"/>
              </w:rPr>
              <w:fldChar w:fldCharType="end"/>
            </w:r>
          </w:hyperlink>
        </w:p>
        <w:p w14:paraId="087C5527" w14:textId="77777777" w:rsidR="009E4BBC" w:rsidRPr="009E4BBC" w:rsidRDefault="008B7571">
          <w:pPr>
            <w:pStyle w:val="Obsah1"/>
            <w:tabs>
              <w:tab w:val="right" w:leader="dot" w:pos="9062"/>
            </w:tabs>
            <w:rPr>
              <w:rFonts w:ascii="Arial" w:eastAsiaTheme="minorEastAsia" w:hAnsi="Arial" w:cs="Arial"/>
              <w:noProof/>
              <w:sz w:val="22"/>
              <w:szCs w:val="22"/>
            </w:rPr>
          </w:pPr>
          <w:hyperlink w:anchor="_Toc476663541" w:history="1">
            <w:r w:rsidR="009E4BBC" w:rsidRPr="009E4BBC">
              <w:rPr>
                <w:rStyle w:val="Hypertextovodkaz"/>
                <w:rFonts w:ascii="Arial" w:hAnsi="Arial" w:cs="Arial"/>
                <w:noProof/>
                <w:sz w:val="22"/>
                <w:szCs w:val="22"/>
              </w:rPr>
              <w:t>Přehled indikátorů</w:t>
            </w:r>
            <w:r w:rsidR="009E4BBC" w:rsidRPr="009E4BBC">
              <w:rPr>
                <w:rFonts w:ascii="Arial" w:hAnsi="Arial" w:cs="Arial"/>
                <w:noProof/>
                <w:webHidden/>
                <w:sz w:val="22"/>
                <w:szCs w:val="22"/>
              </w:rPr>
              <w:tab/>
            </w:r>
            <w:r w:rsidR="009E4BBC" w:rsidRPr="009E4BBC">
              <w:rPr>
                <w:rFonts w:ascii="Arial" w:hAnsi="Arial" w:cs="Arial"/>
                <w:noProof/>
                <w:webHidden/>
                <w:sz w:val="22"/>
                <w:szCs w:val="22"/>
              </w:rPr>
              <w:fldChar w:fldCharType="begin"/>
            </w:r>
            <w:r w:rsidR="009E4BBC" w:rsidRPr="009E4BBC">
              <w:rPr>
                <w:rFonts w:ascii="Arial" w:hAnsi="Arial" w:cs="Arial"/>
                <w:noProof/>
                <w:webHidden/>
                <w:sz w:val="22"/>
                <w:szCs w:val="22"/>
              </w:rPr>
              <w:instrText xml:space="preserve"> PAGEREF _Toc476663541 \h </w:instrText>
            </w:r>
            <w:r w:rsidR="009E4BBC" w:rsidRPr="009E4BBC">
              <w:rPr>
                <w:rFonts w:ascii="Arial" w:hAnsi="Arial" w:cs="Arial"/>
                <w:noProof/>
                <w:webHidden/>
                <w:sz w:val="22"/>
                <w:szCs w:val="22"/>
              </w:rPr>
            </w:r>
            <w:r w:rsidR="009E4BBC" w:rsidRPr="009E4BBC">
              <w:rPr>
                <w:rFonts w:ascii="Arial" w:hAnsi="Arial" w:cs="Arial"/>
                <w:noProof/>
                <w:webHidden/>
                <w:sz w:val="22"/>
                <w:szCs w:val="22"/>
              </w:rPr>
              <w:fldChar w:fldCharType="separate"/>
            </w:r>
            <w:r w:rsidR="00A07B6A">
              <w:rPr>
                <w:rFonts w:ascii="Arial" w:hAnsi="Arial" w:cs="Arial"/>
                <w:noProof/>
                <w:webHidden/>
                <w:sz w:val="22"/>
                <w:szCs w:val="22"/>
              </w:rPr>
              <w:t>98</w:t>
            </w:r>
            <w:r w:rsidR="009E4BBC" w:rsidRPr="009E4BBC">
              <w:rPr>
                <w:rFonts w:ascii="Arial" w:hAnsi="Arial" w:cs="Arial"/>
                <w:noProof/>
                <w:webHidden/>
                <w:sz w:val="22"/>
                <w:szCs w:val="22"/>
              </w:rPr>
              <w:fldChar w:fldCharType="end"/>
            </w:r>
          </w:hyperlink>
        </w:p>
        <w:p w14:paraId="1E315796" w14:textId="77777777" w:rsidR="00C91095" w:rsidRDefault="001A6162" w:rsidP="00C91095">
          <w:r>
            <w:rPr>
              <w:b/>
              <w:bCs/>
            </w:rPr>
            <w:fldChar w:fldCharType="end"/>
          </w:r>
        </w:p>
      </w:sdtContent>
    </w:sdt>
    <w:p w14:paraId="7EBE1353" w14:textId="0E062E78" w:rsidR="00C91095" w:rsidRDefault="00C91095">
      <w:pPr>
        <w:spacing w:after="200" w:line="276" w:lineRule="auto"/>
        <w:rPr>
          <w:rFonts w:ascii="Arial" w:eastAsiaTheme="majorEastAsia" w:hAnsi="Arial" w:cs="Arial"/>
          <w:b/>
          <w:bCs/>
          <w:kern w:val="32"/>
          <w:sz w:val="28"/>
          <w:szCs w:val="32"/>
          <w:lang w:eastAsia="en-US"/>
        </w:rPr>
      </w:pPr>
      <w:r>
        <w:br w:type="page"/>
      </w:r>
    </w:p>
    <w:p w14:paraId="685E3F92" w14:textId="1E24A441" w:rsidR="00742523" w:rsidRDefault="001A6162" w:rsidP="001A6162">
      <w:pPr>
        <w:pStyle w:val="Nadpis1"/>
        <w:numPr>
          <w:ilvl w:val="0"/>
          <w:numId w:val="0"/>
        </w:numPr>
        <w:ind w:left="567" w:hanging="567"/>
      </w:pPr>
      <w:bookmarkStart w:id="0" w:name="_Toc476663534"/>
      <w:r w:rsidRPr="001A6162">
        <w:lastRenderedPageBreak/>
        <w:t>Seznam zkratek</w:t>
      </w:r>
      <w:bookmarkEnd w:id="0"/>
    </w:p>
    <w:p w14:paraId="7585617F" w14:textId="5E1C0E99" w:rsidR="00BE1309" w:rsidRDefault="00BE1309" w:rsidP="001A6162">
      <w:pPr>
        <w:spacing w:line="276" w:lineRule="auto"/>
        <w:ind w:left="2268" w:hanging="2268"/>
        <w:rPr>
          <w:rFonts w:ascii="Arial" w:eastAsiaTheme="minorHAnsi" w:hAnsi="Arial" w:cs="Arial"/>
          <w:color w:val="000000" w:themeColor="text1"/>
          <w:sz w:val="22"/>
          <w:szCs w:val="22"/>
          <w:lang w:eastAsia="en-US"/>
        </w:rPr>
      </w:pPr>
      <w:r w:rsidRPr="00BE1309">
        <w:rPr>
          <w:rFonts w:ascii="Arial" w:eastAsiaTheme="minorHAnsi" w:hAnsi="Arial" w:cs="Arial"/>
          <w:color w:val="000000" w:themeColor="text1"/>
          <w:sz w:val="22"/>
          <w:szCs w:val="22"/>
          <w:lang w:eastAsia="en-US"/>
        </w:rPr>
        <w:t>AV ČR, v. v. i.</w:t>
      </w:r>
      <w:r>
        <w:rPr>
          <w:rFonts w:ascii="Arial" w:eastAsiaTheme="minorHAnsi" w:hAnsi="Arial" w:cs="Arial"/>
          <w:color w:val="000000" w:themeColor="text1"/>
          <w:sz w:val="22"/>
          <w:szCs w:val="22"/>
          <w:lang w:eastAsia="en-US"/>
        </w:rPr>
        <w:tab/>
        <w:t xml:space="preserve">Akademie věd České republiky, </w:t>
      </w:r>
      <w:r w:rsidRPr="008C7AAB">
        <w:rPr>
          <w:rFonts w:ascii="Arial" w:eastAsiaTheme="minorHAnsi" w:hAnsi="Arial" w:cs="Arial"/>
          <w:color w:val="000000" w:themeColor="text1"/>
          <w:sz w:val="22"/>
          <w:szCs w:val="22"/>
          <w:lang w:eastAsia="en-US"/>
        </w:rPr>
        <w:t>veřejná výzkumná instituce</w:t>
      </w:r>
    </w:p>
    <w:p w14:paraId="0C0320A4" w14:textId="5A5ADDBA"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BERD</w:t>
      </w:r>
      <w:r w:rsidRPr="001A6162">
        <w:rPr>
          <w:rFonts w:ascii="Arial" w:eastAsiaTheme="minorHAnsi" w:hAnsi="Arial" w:cs="Arial"/>
          <w:color w:val="000000" w:themeColor="text1"/>
          <w:sz w:val="22"/>
          <w:szCs w:val="22"/>
          <w:lang w:eastAsia="en-US"/>
        </w:rPr>
        <w:tab/>
      </w:r>
      <w:r>
        <w:rPr>
          <w:rFonts w:ascii="Arial" w:eastAsiaTheme="minorHAnsi" w:hAnsi="Arial" w:cs="Arial"/>
          <w:color w:val="000000" w:themeColor="text1"/>
          <w:sz w:val="22"/>
          <w:szCs w:val="22"/>
          <w:lang w:eastAsia="en-US"/>
        </w:rPr>
        <w:t>v</w:t>
      </w:r>
      <w:r w:rsidRPr="001A6162">
        <w:rPr>
          <w:rFonts w:ascii="Arial" w:eastAsiaTheme="minorHAnsi" w:hAnsi="Arial" w:cs="Arial"/>
          <w:color w:val="000000" w:themeColor="text1"/>
          <w:sz w:val="22"/>
          <w:szCs w:val="22"/>
          <w:lang w:eastAsia="en-US"/>
        </w:rPr>
        <w:t xml:space="preserve">ýdaje na výzkum a vývoj v podnikatelském sektoru (Business </w:t>
      </w:r>
      <w:proofErr w:type="spellStart"/>
      <w:r w:rsidRPr="001A6162">
        <w:rPr>
          <w:rFonts w:ascii="Arial" w:eastAsiaTheme="minorHAnsi" w:hAnsi="Arial" w:cs="Arial"/>
          <w:color w:val="000000" w:themeColor="text1"/>
          <w:sz w:val="22"/>
          <w:szCs w:val="22"/>
          <w:lang w:eastAsia="en-US"/>
        </w:rPr>
        <w:t>Enterprise</w:t>
      </w:r>
      <w:proofErr w:type="spellEnd"/>
      <w:r w:rsidRPr="001A6162">
        <w:rPr>
          <w:rFonts w:ascii="Arial" w:eastAsiaTheme="minorHAnsi" w:hAnsi="Arial" w:cs="Arial"/>
          <w:color w:val="000000" w:themeColor="text1"/>
          <w:sz w:val="22"/>
          <w:szCs w:val="22"/>
          <w:lang w:eastAsia="en-US"/>
        </w:rPr>
        <w:t xml:space="preserve"> </w:t>
      </w:r>
      <w:proofErr w:type="spellStart"/>
      <w:r w:rsidRPr="001A6162">
        <w:rPr>
          <w:rFonts w:ascii="Arial" w:eastAsiaTheme="minorHAnsi" w:hAnsi="Arial" w:cs="Arial"/>
          <w:color w:val="000000" w:themeColor="text1"/>
          <w:sz w:val="22"/>
          <w:szCs w:val="22"/>
          <w:lang w:eastAsia="en-US"/>
        </w:rPr>
        <w:t>Expenditure</w:t>
      </w:r>
      <w:proofErr w:type="spellEnd"/>
      <w:r w:rsidRPr="001A6162">
        <w:rPr>
          <w:rFonts w:ascii="Arial" w:eastAsiaTheme="minorHAnsi" w:hAnsi="Arial" w:cs="Arial"/>
          <w:color w:val="000000" w:themeColor="text1"/>
          <w:sz w:val="22"/>
          <w:szCs w:val="22"/>
          <w:lang w:eastAsia="en-US"/>
        </w:rPr>
        <w:t xml:space="preserve"> on R&amp;D)</w:t>
      </w:r>
    </w:p>
    <w:p w14:paraId="6F07F9B5" w14:textId="0C2080F6"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 xml:space="preserve">BSC </w:t>
      </w:r>
      <w:r w:rsidRPr="001A6162">
        <w:rPr>
          <w:rFonts w:ascii="Arial" w:eastAsiaTheme="minorHAnsi" w:hAnsi="Arial" w:cs="Arial"/>
          <w:color w:val="000000" w:themeColor="text1"/>
          <w:sz w:val="22"/>
          <w:szCs w:val="22"/>
          <w:lang w:eastAsia="en-US"/>
        </w:rPr>
        <w:tab/>
      </w:r>
      <w:r w:rsidR="00795F94" w:rsidRPr="00795F94">
        <w:rPr>
          <w:rFonts w:ascii="Arial" w:eastAsiaTheme="minorHAnsi" w:hAnsi="Arial" w:cs="Arial"/>
          <w:color w:val="000000" w:themeColor="text1"/>
          <w:sz w:val="22"/>
          <w:szCs w:val="22"/>
          <w:lang w:eastAsia="en-US"/>
        </w:rPr>
        <w:t xml:space="preserve">systém vyvážených ukazatelů výkonnosti podniku </w:t>
      </w:r>
      <w:r w:rsidR="00795F94">
        <w:rPr>
          <w:rFonts w:ascii="Arial" w:eastAsiaTheme="minorHAnsi" w:hAnsi="Arial" w:cs="Arial"/>
          <w:color w:val="000000" w:themeColor="text1"/>
          <w:sz w:val="22"/>
          <w:szCs w:val="22"/>
          <w:lang w:eastAsia="en-US"/>
        </w:rPr>
        <w:t>(</w:t>
      </w:r>
      <w:proofErr w:type="spellStart"/>
      <w:r w:rsidRPr="001A6162">
        <w:rPr>
          <w:rFonts w:ascii="Arial" w:eastAsiaTheme="minorHAnsi" w:hAnsi="Arial" w:cs="Arial"/>
          <w:color w:val="000000" w:themeColor="text1"/>
          <w:sz w:val="22"/>
          <w:szCs w:val="22"/>
          <w:lang w:eastAsia="en-US"/>
        </w:rPr>
        <w:t>Balanced</w:t>
      </w:r>
      <w:proofErr w:type="spellEnd"/>
      <w:r w:rsidRPr="001A6162">
        <w:rPr>
          <w:rFonts w:ascii="Arial" w:eastAsiaTheme="minorHAnsi" w:hAnsi="Arial" w:cs="Arial"/>
          <w:color w:val="000000" w:themeColor="text1"/>
          <w:sz w:val="22"/>
          <w:szCs w:val="22"/>
          <w:lang w:eastAsia="en-US"/>
        </w:rPr>
        <w:t xml:space="preserve"> </w:t>
      </w:r>
      <w:proofErr w:type="spellStart"/>
      <w:r w:rsidRPr="001A6162">
        <w:rPr>
          <w:rFonts w:ascii="Arial" w:eastAsiaTheme="minorHAnsi" w:hAnsi="Arial" w:cs="Arial"/>
          <w:color w:val="000000" w:themeColor="text1"/>
          <w:sz w:val="22"/>
          <w:szCs w:val="22"/>
          <w:lang w:eastAsia="en-US"/>
        </w:rPr>
        <w:t>Scorecard</w:t>
      </w:r>
      <w:proofErr w:type="spellEnd"/>
      <w:r w:rsidR="00795F94">
        <w:rPr>
          <w:rFonts w:ascii="Arial" w:eastAsiaTheme="minorHAnsi" w:hAnsi="Arial" w:cs="Arial"/>
          <w:color w:val="000000" w:themeColor="text1"/>
          <w:sz w:val="22"/>
          <w:szCs w:val="22"/>
          <w:lang w:eastAsia="en-US"/>
        </w:rPr>
        <w:t>)</w:t>
      </w:r>
    </w:p>
    <w:p w14:paraId="2003958F" w14:textId="4445EF4C"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CLLD</w:t>
      </w:r>
      <w:r w:rsidRPr="001A6162">
        <w:rPr>
          <w:rFonts w:ascii="Arial" w:eastAsiaTheme="minorHAnsi" w:hAnsi="Arial" w:cs="Arial"/>
          <w:color w:val="000000" w:themeColor="text1"/>
          <w:sz w:val="22"/>
          <w:szCs w:val="22"/>
          <w:lang w:eastAsia="en-US"/>
        </w:rPr>
        <w:tab/>
      </w:r>
      <w:r>
        <w:rPr>
          <w:rFonts w:ascii="Arial" w:eastAsiaTheme="minorHAnsi" w:hAnsi="Arial" w:cs="Arial"/>
          <w:color w:val="000000" w:themeColor="text1"/>
          <w:sz w:val="22"/>
          <w:szCs w:val="22"/>
          <w:lang w:eastAsia="en-US"/>
        </w:rPr>
        <w:t>k</w:t>
      </w:r>
      <w:r w:rsidRPr="001A6162">
        <w:rPr>
          <w:rFonts w:ascii="Arial" w:eastAsiaTheme="minorHAnsi" w:hAnsi="Arial" w:cs="Arial"/>
          <w:color w:val="000000" w:themeColor="text1"/>
          <w:sz w:val="22"/>
          <w:szCs w:val="22"/>
          <w:lang w:eastAsia="en-US"/>
        </w:rPr>
        <w:t>omunitně vedený místní rozvoj</w:t>
      </w:r>
      <w:r w:rsidR="00795F94">
        <w:rPr>
          <w:rFonts w:ascii="Arial" w:eastAsiaTheme="minorHAnsi" w:hAnsi="Arial" w:cs="Arial"/>
          <w:color w:val="000000" w:themeColor="text1"/>
          <w:sz w:val="22"/>
          <w:szCs w:val="22"/>
          <w:lang w:eastAsia="en-US"/>
        </w:rPr>
        <w:t xml:space="preserve"> (</w:t>
      </w:r>
      <w:proofErr w:type="spellStart"/>
      <w:r w:rsidR="00795F94">
        <w:rPr>
          <w:rFonts w:ascii="Arial" w:eastAsiaTheme="minorHAnsi" w:hAnsi="Arial" w:cs="Arial"/>
          <w:color w:val="000000" w:themeColor="text1"/>
          <w:sz w:val="22"/>
          <w:szCs w:val="22"/>
          <w:lang w:eastAsia="en-US"/>
        </w:rPr>
        <w:t>Community</w:t>
      </w:r>
      <w:proofErr w:type="spellEnd"/>
      <w:r w:rsidR="00795F94">
        <w:rPr>
          <w:rFonts w:ascii="Arial" w:eastAsiaTheme="minorHAnsi" w:hAnsi="Arial" w:cs="Arial"/>
          <w:color w:val="000000" w:themeColor="text1"/>
          <w:sz w:val="22"/>
          <w:szCs w:val="22"/>
          <w:lang w:eastAsia="en-US"/>
        </w:rPr>
        <w:t xml:space="preserve">-Led </w:t>
      </w:r>
      <w:proofErr w:type="spellStart"/>
      <w:r w:rsidR="00795F94">
        <w:rPr>
          <w:rFonts w:ascii="Arial" w:eastAsiaTheme="minorHAnsi" w:hAnsi="Arial" w:cs="Arial"/>
          <w:color w:val="000000" w:themeColor="text1"/>
          <w:sz w:val="22"/>
          <w:szCs w:val="22"/>
          <w:lang w:eastAsia="en-US"/>
        </w:rPr>
        <w:t>Local</w:t>
      </w:r>
      <w:proofErr w:type="spellEnd"/>
      <w:r w:rsidR="00795F94">
        <w:rPr>
          <w:rFonts w:ascii="Arial" w:eastAsiaTheme="minorHAnsi" w:hAnsi="Arial" w:cs="Arial"/>
          <w:color w:val="000000" w:themeColor="text1"/>
          <w:sz w:val="22"/>
          <w:szCs w:val="22"/>
          <w:lang w:eastAsia="en-US"/>
        </w:rPr>
        <w:t xml:space="preserve"> </w:t>
      </w:r>
      <w:proofErr w:type="spellStart"/>
      <w:r w:rsidR="00795F94">
        <w:rPr>
          <w:rFonts w:ascii="Arial" w:eastAsiaTheme="minorHAnsi" w:hAnsi="Arial" w:cs="Arial"/>
          <w:color w:val="000000" w:themeColor="text1"/>
          <w:sz w:val="22"/>
          <w:szCs w:val="22"/>
          <w:lang w:eastAsia="en-US"/>
        </w:rPr>
        <w:t>D</w:t>
      </w:r>
      <w:r w:rsidR="00795F94" w:rsidRPr="00795F94">
        <w:rPr>
          <w:rFonts w:ascii="Arial" w:eastAsiaTheme="minorHAnsi" w:hAnsi="Arial" w:cs="Arial"/>
          <w:color w:val="000000" w:themeColor="text1"/>
          <w:sz w:val="22"/>
          <w:szCs w:val="22"/>
          <w:lang w:eastAsia="en-US"/>
        </w:rPr>
        <w:t>evelopment</w:t>
      </w:r>
      <w:proofErr w:type="spellEnd"/>
      <w:r w:rsidR="00795F94">
        <w:rPr>
          <w:rFonts w:ascii="Arial" w:eastAsiaTheme="minorHAnsi" w:hAnsi="Arial" w:cs="Arial"/>
          <w:color w:val="000000" w:themeColor="text1"/>
          <w:sz w:val="22"/>
          <w:szCs w:val="22"/>
          <w:lang w:eastAsia="en-US"/>
        </w:rPr>
        <w:t>)</w:t>
      </w:r>
    </w:p>
    <w:p w14:paraId="448D4BB7" w14:textId="31E445E0"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CN</w:t>
      </w:r>
      <w:r>
        <w:rPr>
          <w:rFonts w:ascii="Arial" w:eastAsiaTheme="minorHAnsi" w:hAnsi="Arial" w:cs="Arial"/>
          <w:color w:val="000000" w:themeColor="text1"/>
          <w:sz w:val="22"/>
          <w:szCs w:val="22"/>
          <w:lang w:eastAsia="en-US"/>
        </w:rPr>
        <w:t>G</w:t>
      </w:r>
      <w:r>
        <w:rPr>
          <w:rFonts w:ascii="Arial" w:eastAsiaTheme="minorHAnsi" w:hAnsi="Arial" w:cs="Arial"/>
          <w:color w:val="000000" w:themeColor="text1"/>
          <w:sz w:val="22"/>
          <w:szCs w:val="22"/>
          <w:lang w:eastAsia="en-US"/>
        </w:rPr>
        <w:tab/>
        <w:t>s</w:t>
      </w:r>
      <w:r w:rsidRPr="001A6162">
        <w:rPr>
          <w:rFonts w:ascii="Arial" w:eastAsiaTheme="minorHAnsi" w:hAnsi="Arial" w:cs="Arial"/>
          <w:color w:val="000000" w:themeColor="text1"/>
          <w:sz w:val="22"/>
          <w:szCs w:val="22"/>
          <w:lang w:eastAsia="en-US"/>
        </w:rPr>
        <w:t>tlačený zemní plyn (</w:t>
      </w:r>
      <w:proofErr w:type="spellStart"/>
      <w:r w:rsidRPr="001A6162">
        <w:rPr>
          <w:rFonts w:ascii="Arial" w:eastAsiaTheme="minorHAnsi" w:hAnsi="Arial" w:cs="Arial"/>
          <w:color w:val="000000" w:themeColor="text1"/>
          <w:sz w:val="22"/>
          <w:szCs w:val="22"/>
          <w:lang w:eastAsia="en-US"/>
        </w:rPr>
        <w:t>Compressed</w:t>
      </w:r>
      <w:proofErr w:type="spellEnd"/>
      <w:r w:rsidRPr="001A6162">
        <w:rPr>
          <w:rFonts w:ascii="Arial" w:eastAsiaTheme="minorHAnsi" w:hAnsi="Arial" w:cs="Arial"/>
          <w:color w:val="000000" w:themeColor="text1"/>
          <w:sz w:val="22"/>
          <w:szCs w:val="22"/>
          <w:lang w:eastAsia="en-US"/>
        </w:rPr>
        <w:t xml:space="preserve"> Natural </w:t>
      </w:r>
      <w:proofErr w:type="spellStart"/>
      <w:r w:rsidRPr="001A6162">
        <w:rPr>
          <w:rFonts w:ascii="Arial" w:eastAsiaTheme="minorHAnsi" w:hAnsi="Arial" w:cs="Arial"/>
          <w:color w:val="000000" w:themeColor="text1"/>
          <w:sz w:val="22"/>
          <w:szCs w:val="22"/>
          <w:lang w:eastAsia="en-US"/>
        </w:rPr>
        <w:t>Gas</w:t>
      </w:r>
      <w:proofErr w:type="spellEnd"/>
      <w:r w:rsidRPr="001A6162">
        <w:rPr>
          <w:rFonts w:ascii="Arial" w:eastAsiaTheme="minorHAnsi" w:hAnsi="Arial" w:cs="Arial"/>
          <w:color w:val="000000" w:themeColor="text1"/>
          <w:sz w:val="22"/>
          <w:szCs w:val="22"/>
          <w:lang w:eastAsia="en-US"/>
        </w:rPr>
        <w:t>)</w:t>
      </w:r>
    </w:p>
    <w:p w14:paraId="7B9E913B" w14:textId="1767CFF0"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CPA</w:t>
      </w:r>
      <w:r w:rsidRPr="001A6162">
        <w:rPr>
          <w:rFonts w:ascii="Arial" w:eastAsiaTheme="minorHAnsi" w:hAnsi="Arial" w:cs="Arial"/>
          <w:color w:val="000000" w:themeColor="text1"/>
          <w:sz w:val="22"/>
          <w:szCs w:val="22"/>
          <w:lang w:eastAsia="en-US"/>
        </w:rPr>
        <w:tab/>
      </w:r>
      <w:r w:rsidR="00E33E19">
        <w:rPr>
          <w:rFonts w:ascii="Arial" w:eastAsiaTheme="minorHAnsi" w:hAnsi="Arial" w:cs="Arial"/>
          <w:color w:val="000000" w:themeColor="text1"/>
          <w:sz w:val="22"/>
          <w:szCs w:val="22"/>
          <w:lang w:eastAsia="en-US"/>
        </w:rPr>
        <w:t>K</w:t>
      </w:r>
      <w:r w:rsidRPr="001A6162">
        <w:rPr>
          <w:rFonts w:ascii="Arial" w:eastAsiaTheme="minorHAnsi" w:hAnsi="Arial" w:cs="Arial"/>
          <w:color w:val="000000" w:themeColor="text1"/>
          <w:sz w:val="22"/>
          <w:szCs w:val="22"/>
          <w:lang w:eastAsia="en-US"/>
        </w:rPr>
        <w:t>lasifikace produkce</w:t>
      </w:r>
      <w:r w:rsidR="00795F94">
        <w:rPr>
          <w:rFonts w:ascii="Arial" w:eastAsiaTheme="minorHAnsi" w:hAnsi="Arial" w:cs="Arial"/>
          <w:color w:val="000000" w:themeColor="text1"/>
          <w:sz w:val="22"/>
          <w:szCs w:val="22"/>
          <w:lang w:eastAsia="en-US"/>
        </w:rPr>
        <w:t xml:space="preserve"> (</w:t>
      </w:r>
      <w:proofErr w:type="spellStart"/>
      <w:r w:rsidR="00795F94" w:rsidRPr="00795F94">
        <w:rPr>
          <w:rFonts w:ascii="Arial" w:eastAsiaTheme="minorHAnsi" w:hAnsi="Arial" w:cs="Arial"/>
          <w:color w:val="000000" w:themeColor="text1"/>
          <w:sz w:val="22"/>
          <w:szCs w:val="22"/>
          <w:lang w:eastAsia="en-US"/>
        </w:rPr>
        <w:t>C</w:t>
      </w:r>
      <w:r w:rsidR="00795F94">
        <w:rPr>
          <w:rFonts w:ascii="Arial" w:eastAsiaTheme="minorHAnsi" w:hAnsi="Arial" w:cs="Arial"/>
          <w:color w:val="000000" w:themeColor="text1"/>
          <w:sz w:val="22"/>
          <w:szCs w:val="22"/>
          <w:lang w:eastAsia="en-US"/>
        </w:rPr>
        <w:t>lassification</w:t>
      </w:r>
      <w:proofErr w:type="spellEnd"/>
      <w:r w:rsidR="00795F94">
        <w:rPr>
          <w:rFonts w:ascii="Arial" w:eastAsiaTheme="minorHAnsi" w:hAnsi="Arial" w:cs="Arial"/>
          <w:color w:val="000000" w:themeColor="text1"/>
          <w:sz w:val="22"/>
          <w:szCs w:val="22"/>
          <w:lang w:eastAsia="en-US"/>
        </w:rPr>
        <w:t xml:space="preserve"> </w:t>
      </w:r>
      <w:proofErr w:type="spellStart"/>
      <w:r w:rsidR="00795F94">
        <w:rPr>
          <w:rFonts w:ascii="Arial" w:eastAsiaTheme="minorHAnsi" w:hAnsi="Arial" w:cs="Arial"/>
          <w:color w:val="000000" w:themeColor="text1"/>
          <w:sz w:val="22"/>
          <w:szCs w:val="22"/>
          <w:lang w:eastAsia="en-US"/>
        </w:rPr>
        <w:t>of</w:t>
      </w:r>
      <w:proofErr w:type="spellEnd"/>
      <w:r w:rsidR="00795F94">
        <w:rPr>
          <w:rFonts w:ascii="Arial" w:eastAsiaTheme="minorHAnsi" w:hAnsi="Arial" w:cs="Arial"/>
          <w:color w:val="000000" w:themeColor="text1"/>
          <w:sz w:val="22"/>
          <w:szCs w:val="22"/>
          <w:lang w:eastAsia="en-US"/>
        </w:rPr>
        <w:t xml:space="preserve"> </w:t>
      </w:r>
      <w:proofErr w:type="spellStart"/>
      <w:r w:rsidR="00795F94">
        <w:rPr>
          <w:rFonts w:ascii="Arial" w:eastAsiaTheme="minorHAnsi" w:hAnsi="Arial" w:cs="Arial"/>
          <w:color w:val="000000" w:themeColor="text1"/>
          <w:sz w:val="22"/>
          <w:szCs w:val="22"/>
          <w:lang w:eastAsia="en-US"/>
        </w:rPr>
        <w:t>Product</w:t>
      </w:r>
      <w:proofErr w:type="spellEnd"/>
      <w:r w:rsidR="00795F94">
        <w:rPr>
          <w:rFonts w:ascii="Arial" w:eastAsiaTheme="minorHAnsi" w:hAnsi="Arial" w:cs="Arial"/>
          <w:color w:val="000000" w:themeColor="text1"/>
          <w:sz w:val="22"/>
          <w:szCs w:val="22"/>
          <w:lang w:eastAsia="en-US"/>
        </w:rPr>
        <w:t xml:space="preserve"> by </w:t>
      </w:r>
      <w:proofErr w:type="spellStart"/>
      <w:r w:rsidR="00795F94">
        <w:rPr>
          <w:rFonts w:ascii="Arial" w:eastAsiaTheme="minorHAnsi" w:hAnsi="Arial" w:cs="Arial"/>
          <w:color w:val="000000" w:themeColor="text1"/>
          <w:sz w:val="22"/>
          <w:szCs w:val="22"/>
          <w:lang w:eastAsia="en-US"/>
        </w:rPr>
        <w:t>Ac</w:t>
      </w:r>
      <w:r w:rsidR="00795F94" w:rsidRPr="00795F94">
        <w:rPr>
          <w:rFonts w:ascii="Arial" w:eastAsiaTheme="minorHAnsi" w:hAnsi="Arial" w:cs="Arial"/>
          <w:color w:val="000000" w:themeColor="text1"/>
          <w:sz w:val="22"/>
          <w:szCs w:val="22"/>
          <w:lang w:eastAsia="en-US"/>
        </w:rPr>
        <w:t>tivities</w:t>
      </w:r>
      <w:proofErr w:type="spellEnd"/>
      <w:r w:rsidR="00795F94">
        <w:rPr>
          <w:rFonts w:ascii="Arial" w:eastAsiaTheme="minorHAnsi" w:hAnsi="Arial" w:cs="Arial"/>
          <w:color w:val="000000" w:themeColor="text1"/>
          <w:sz w:val="22"/>
          <w:szCs w:val="22"/>
          <w:lang w:eastAsia="en-US"/>
        </w:rPr>
        <w:t>)</w:t>
      </w:r>
    </w:p>
    <w:p w14:paraId="0D3677E7" w14:textId="67068674"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CZ-CPA</w:t>
      </w:r>
      <w:r w:rsidRPr="001A6162">
        <w:rPr>
          <w:rFonts w:ascii="Arial" w:eastAsiaTheme="minorHAnsi" w:hAnsi="Arial" w:cs="Arial"/>
          <w:color w:val="000000" w:themeColor="text1"/>
          <w:sz w:val="22"/>
          <w:szCs w:val="22"/>
          <w:lang w:eastAsia="en-US"/>
        </w:rPr>
        <w:tab/>
      </w:r>
      <w:r w:rsidR="005C3F32">
        <w:rPr>
          <w:rFonts w:ascii="Arial" w:eastAsiaTheme="minorHAnsi" w:hAnsi="Arial" w:cs="Arial"/>
          <w:color w:val="000000" w:themeColor="text1"/>
          <w:sz w:val="22"/>
          <w:szCs w:val="22"/>
          <w:lang w:eastAsia="en-US"/>
        </w:rPr>
        <w:t xml:space="preserve">národní </w:t>
      </w:r>
      <w:r w:rsidR="00795F94">
        <w:rPr>
          <w:rFonts w:ascii="Arial" w:eastAsiaTheme="minorHAnsi" w:hAnsi="Arial" w:cs="Arial"/>
          <w:color w:val="000000" w:themeColor="text1"/>
          <w:sz w:val="22"/>
          <w:szCs w:val="22"/>
          <w:lang w:eastAsia="en-US"/>
        </w:rPr>
        <w:t>K</w:t>
      </w:r>
      <w:r w:rsidRPr="001A6162">
        <w:rPr>
          <w:rFonts w:ascii="Arial" w:eastAsiaTheme="minorHAnsi" w:hAnsi="Arial" w:cs="Arial"/>
          <w:color w:val="000000" w:themeColor="text1"/>
          <w:sz w:val="22"/>
          <w:szCs w:val="22"/>
          <w:lang w:eastAsia="en-US"/>
        </w:rPr>
        <w:t>lasifikace produkce</w:t>
      </w:r>
      <w:r w:rsidR="005C3F32">
        <w:rPr>
          <w:rFonts w:ascii="Arial" w:eastAsiaTheme="minorHAnsi" w:hAnsi="Arial" w:cs="Arial"/>
          <w:color w:val="000000" w:themeColor="text1"/>
          <w:sz w:val="22"/>
          <w:szCs w:val="22"/>
          <w:lang w:eastAsia="en-US"/>
        </w:rPr>
        <w:t xml:space="preserve"> </w:t>
      </w:r>
    </w:p>
    <w:p w14:paraId="7DA288F2" w14:textId="0060F97E"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CZ-ISCO</w:t>
      </w:r>
      <w:r w:rsidRPr="001A6162">
        <w:rPr>
          <w:rFonts w:ascii="Arial" w:eastAsiaTheme="minorHAnsi" w:hAnsi="Arial" w:cs="Arial"/>
          <w:color w:val="000000" w:themeColor="text1"/>
          <w:sz w:val="22"/>
          <w:szCs w:val="22"/>
          <w:lang w:eastAsia="en-US"/>
        </w:rPr>
        <w:tab/>
      </w:r>
      <w:r w:rsidR="005C3F32">
        <w:rPr>
          <w:rFonts w:ascii="Arial" w:eastAsiaTheme="minorHAnsi" w:hAnsi="Arial" w:cs="Arial"/>
          <w:color w:val="000000" w:themeColor="text1"/>
          <w:sz w:val="22"/>
          <w:szCs w:val="22"/>
          <w:lang w:eastAsia="en-US"/>
        </w:rPr>
        <w:t xml:space="preserve">národní </w:t>
      </w:r>
      <w:r w:rsidR="00E33E19">
        <w:rPr>
          <w:rFonts w:ascii="Arial" w:eastAsiaTheme="minorHAnsi" w:hAnsi="Arial" w:cs="Arial"/>
          <w:color w:val="000000" w:themeColor="text1"/>
          <w:sz w:val="22"/>
          <w:szCs w:val="22"/>
          <w:lang w:eastAsia="en-US"/>
        </w:rPr>
        <w:t>Klasifikace</w:t>
      </w:r>
      <w:r w:rsidRPr="001A6162">
        <w:rPr>
          <w:rFonts w:ascii="Arial" w:eastAsiaTheme="minorHAnsi" w:hAnsi="Arial" w:cs="Arial"/>
          <w:color w:val="000000" w:themeColor="text1"/>
          <w:sz w:val="22"/>
          <w:szCs w:val="22"/>
          <w:lang w:eastAsia="en-US"/>
        </w:rPr>
        <w:t xml:space="preserve"> zaměstnání</w:t>
      </w:r>
      <w:r w:rsidR="00385A97">
        <w:rPr>
          <w:rFonts w:ascii="Arial" w:eastAsiaTheme="minorHAnsi" w:hAnsi="Arial" w:cs="Arial"/>
          <w:color w:val="000000" w:themeColor="text1"/>
          <w:sz w:val="22"/>
          <w:szCs w:val="22"/>
          <w:lang w:eastAsia="en-US"/>
        </w:rPr>
        <w:t xml:space="preserve"> </w:t>
      </w:r>
    </w:p>
    <w:p w14:paraId="5F6C9650" w14:textId="77777777"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ČHMÚ</w:t>
      </w:r>
      <w:r w:rsidRPr="001A6162">
        <w:rPr>
          <w:rFonts w:ascii="Arial" w:eastAsiaTheme="minorHAnsi" w:hAnsi="Arial" w:cs="Arial"/>
          <w:color w:val="000000" w:themeColor="text1"/>
          <w:sz w:val="22"/>
          <w:szCs w:val="22"/>
          <w:lang w:eastAsia="en-US"/>
        </w:rPr>
        <w:tab/>
        <w:t>Český hydrometeorologický ústav</w:t>
      </w:r>
    </w:p>
    <w:p w14:paraId="63CF5234" w14:textId="77777777"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ČR</w:t>
      </w:r>
      <w:r w:rsidRPr="001A6162">
        <w:rPr>
          <w:rFonts w:ascii="Arial" w:eastAsiaTheme="minorHAnsi" w:hAnsi="Arial" w:cs="Arial"/>
          <w:color w:val="000000" w:themeColor="text1"/>
          <w:sz w:val="22"/>
          <w:szCs w:val="22"/>
          <w:lang w:eastAsia="en-US"/>
        </w:rPr>
        <w:tab/>
        <w:t>Česká republika</w:t>
      </w:r>
    </w:p>
    <w:p w14:paraId="2391783F" w14:textId="77777777"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ČSÚ</w:t>
      </w:r>
      <w:r w:rsidRPr="001A6162">
        <w:rPr>
          <w:rFonts w:ascii="Arial" w:eastAsiaTheme="minorHAnsi" w:hAnsi="Arial" w:cs="Arial"/>
          <w:color w:val="000000" w:themeColor="text1"/>
          <w:sz w:val="22"/>
          <w:szCs w:val="22"/>
          <w:lang w:eastAsia="en-US"/>
        </w:rPr>
        <w:tab/>
        <w:t>Český statistický úřad</w:t>
      </w:r>
    </w:p>
    <w:p w14:paraId="1EBEDD2F" w14:textId="77777777"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 xml:space="preserve">ČÚZK </w:t>
      </w:r>
      <w:r w:rsidRPr="001A6162">
        <w:rPr>
          <w:rFonts w:ascii="Arial" w:eastAsiaTheme="minorHAnsi" w:hAnsi="Arial" w:cs="Arial"/>
          <w:color w:val="000000" w:themeColor="text1"/>
          <w:sz w:val="22"/>
          <w:szCs w:val="22"/>
          <w:lang w:eastAsia="en-US"/>
        </w:rPr>
        <w:tab/>
        <w:t>Český úřad zeměměřický a katastrální</w:t>
      </w:r>
    </w:p>
    <w:p w14:paraId="7EA54980" w14:textId="069D66E4" w:rsidR="00C516EA" w:rsidRDefault="00C516EA" w:rsidP="001A6162">
      <w:pPr>
        <w:spacing w:line="276" w:lineRule="auto"/>
        <w:ind w:left="2268" w:hanging="2268"/>
        <w:rPr>
          <w:rFonts w:ascii="Arial" w:eastAsiaTheme="minorHAnsi" w:hAnsi="Arial" w:cs="Arial"/>
          <w:color w:val="000000" w:themeColor="text1"/>
          <w:sz w:val="22"/>
          <w:szCs w:val="22"/>
          <w:lang w:eastAsia="en-US"/>
        </w:rPr>
      </w:pPr>
      <w:r>
        <w:rPr>
          <w:rFonts w:ascii="Arial" w:eastAsiaTheme="minorHAnsi" w:hAnsi="Arial" w:cs="Arial"/>
          <w:color w:val="000000" w:themeColor="text1"/>
          <w:sz w:val="22"/>
          <w:szCs w:val="22"/>
          <w:lang w:eastAsia="en-US"/>
        </w:rPr>
        <w:t>DAC</w:t>
      </w:r>
      <w:r>
        <w:rPr>
          <w:rFonts w:ascii="Arial" w:eastAsiaTheme="minorHAnsi" w:hAnsi="Arial" w:cs="Arial"/>
          <w:color w:val="000000" w:themeColor="text1"/>
          <w:sz w:val="22"/>
          <w:szCs w:val="22"/>
          <w:lang w:eastAsia="en-US"/>
        </w:rPr>
        <w:tab/>
      </w:r>
      <w:r w:rsidRPr="00C516EA">
        <w:rPr>
          <w:rFonts w:ascii="Arial" w:eastAsiaTheme="minorHAnsi" w:hAnsi="Arial" w:cs="Arial"/>
          <w:color w:val="000000" w:themeColor="text1"/>
          <w:sz w:val="22"/>
          <w:szCs w:val="22"/>
          <w:lang w:eastAsia="en-US"/>
        </w:rPr>
        <w:t>Výbor pro rozvojovou spolupráci</w:t>
      </w:r>
      <w:r>
        <w:rPr>
          <w:rFonts w:ascii="Arial" w:eastAsiaTheme="minorHAnsi" w:hAnsi="Arial" w:cs="Arial"/>
          <w:color w:val="000000" w:themeColor="text1"/>
          <w:sz w:val="22"/>
          <w:szCs w:val="22"/>
          <w:lang w:eastAsia="en-US"/>
        </w:rPr>
        <w:t xml:space="preserve"> OECD (</w:t>
      </w:r>
      <w:proofErr w:type="spellStart"/>
      <w:r>
        <w:rPr>
          <w:rFonts w:ascii="Arial" w:eastAsiaTheme="minorHAnsi" w:hAnsi="Arial" w:cs="Arial"/>
          <w:color w:val="000000" w:themeColor="text1"/>
          <w:sz w:val="22"/>
          <w:szCs w:val="22"/>
          <w:lang w:eastAsia="en-US"/>
        </w:rPr>
        <w:t>Development</w:t>
      </w:r>
      <w:proofErr w:type="spellEnd"/>
      <w:r>
        <w:rPr>
          <w:rFonts w:ascii="Arial" w:eastAsiaTheme="minorHAnsi" w:hAnsi="Arial" w:cs="Arial"/>
          <w:color w:val="000000" w:themeColor="text1"/>
          <w:sz w:val="22"/>
          <w:szCs w:val="22"/>
          <w:lang w:eastAsia="en-US"/>
        </w:rPr>
        <w:t xml:space="preserve"> </w:t>
      </w:r>
      <w:proofErr w:type="spellStart"/>
      <w:r>
        <w:rPr>
          <w:rFonts w:ascii="Arial" w:eastAsiaTheme="minorHAnsi" w:hAnsi="Arial" w:cs="Arial"/>
          <w:color w:val="000000" w:themeColor="text1"/>
          <w:sz w:val="22"/>
          <w:szCs w:val="22"/>
          <w:lang w:eastAsia="en-US"/>
        </w:rPr>
        <w:t>Assistance</w:t>
      </w:r>
      <w:proofErr w:type="spellEnd"/>
      <w:r>
        <w:rPr>
          <w:rFonts w:ascii="Arial" w:eastAsiaTheme="minorHAnsi" w:hAnsi="Arial" w:cs="Arial"/>
          <w:color w:val="000000" w:themeColor="text1"/>
          <w:sz w:val="22"/>
          <w:szCs w:val="22"/>
          <w:lang w:eastAsia="en-US"/>
        </w:rPr>
        <w:t xml:space="preserve"> </w:t>
      </w:r>
      <w:proofErr w:type="spellStart"/>
      <w:r>
        <w:rPr>
          <w:rFonts w:ascii="Arial" w:eastAsiaTheme="minorHAnsi" w:hAnsi="Arial" w:cs="Arial"/>
          <w:color w:val="000000" w:themeColor="text1"/>
          <w:sz w:val="22"/>
          <w:szCs w:val="22"/>
          <w:lang w:eastAsia="en-US"/>
        </w:rPr>
        <w:t>Committee</w:t>
      </w:r>
      <w:proofErr w:type="spellEnd"/>
      <w:r>
        <w:rPr>
          <w:rFonts w:ascii="Arial" w:eastAsiaTheme="minorHAnsi" w:hAnsi="Arial" w:cs="Arial"/>
          <w:color w:val="000000" w:themeColor="text1"/>
          <w:sz w:val="22"/>
          <w:szCs w:val="22"/>
          <w:lang w:eastAsia="en-US"/>
        </w:rPr>
        <w:t>)</w:t>
      </w:r>
    </w:p>
    <w:p w14:paraId="1B3814D1" w14:textId="77777777"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proofErr w:type="spellStart"/>
      <w:r w:rsidRPr="001A6162">
        <w:rPr>
          <w:rFonts w:ascii="Arial" w:eastAsiaTheme="minorHAnsi" w:hAnsi="Arial" w:cs="Arial"/>
          <w:color w:val="000000" w:themeColor="text1"/>
          <w:sz w:val="22"/>
          <w:szCs w:val="22"/>
          <w:lang w:eastAsia="en-US"/>
        </w:rPr>
        <w:t>DataKO</w:t>
      </w:r>
      <w:proofErr w:type="spellEnd"/>
      <w:r w:rsidRPr="001A6162">
        <w:rPr>
          <w:rFonts w:ascii="Arial" w:eastAsiaTheme="minorHAnsi" w:hAnsi="Arial" w:cs="Arial"/>
          <w:color w:val="000000" w:themeColor="text1"/>
          <w:sz w:val="22"/>
          <w:szCs w:val="22"/>
          <w:lang w:eastAsia="en-US"/>
        </w:rPr>
        <w:tab/>
        <w:t>Databáze konzultujících organizací</w:t>
      </w:r>
    </w:p>
    <w:p w14:paraId="51834701" w14:textId="77777777"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 xml:space="preserve">DIBAVOD </w:t>
      </w:r>
      <w:r w:rsidRPr="001A6162">
        <w:rPr>
          <w:rFonts w:ascii="Arial" w:eastAsiaTheme="minorHAnsi" w:hAnsi="Arial" w:cs="Arial"/>
          <w:color w:val="000000" w:themeColor="text1"/>
          <w:sz w:val="22"/>
          <w:szCs w:val="22"/>
          <w:lang w:eastAsia="en-US"/>
        </w:rPr>
        <w:tab/>
        <w:t>Digitální báze vodohospodářských dat</w:t>
      </w:r>
    </w:p>
    <w:p w14:paraId="3447CA3B" w14:textId="024CF650"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Pr>
          <w:rFonts w:ascii="Arial" w:eastAsiaTheme="minorHAnsi" w:hAnsi="Arial" w:cs="Arial"/>
          <w:color w:val="000000" w:themeColor="text1"/>
          <w:sz w:val="22"/>
          <w:szCs w:val="22"/>
          <w:lang w:eastAsia="en-US"/>
        </w:rPr>
        <w:t>DMC</w:t>
      </w:r>
      <w:r>
        <w:rPr>
          <w:rFonts w:ascii="Arial" w:eastAsiaTheme="minorHAnsi" w:hAnsi="Arial" w:cs="Arial"/>
          <w:color w:val="000000" w:themeColor="text1"/>
          <w:sz w:val="22"/>
          <w:szCs w:val="22"/>
          <w:lang w:eastAsia="en-US"/>
        </w:rPr>
        <w:tab/>
        <w:t>d</w:t>
      </w:r>
      <w:r w:rsidRPr="001A6162">
        <w:rPr>
          <w:rFonts w:ascii="Arial" w:eastAsiaTheme="minorHAnsi" w:hAnsi="Arial" w:cs="Arial"/>
          <w:color w:val="000000" w:themeColor="text1"/>
          <w:sz w:val="22"/>
          <w:szCs w:val="22"/>
          <w:lang w:eastAsia="en-US"/>
        </w:rPr>
        <w:t>omácí materiálová spotřeba (</w:t>
      </w:r>
      <w:proofErr w:type="spellStart"/>
      <w:r w:rsidRPr="001A6162">
        <w:rPr>
          <w:rFonts w:ascii="Arial" w:eastAsiaTheme="minorHAnsi" w:hAnsi="Arial" w:cs="Arial"/>
          <w:color w:val="000000" w:themeColor="text1"/>
          <w:sz w:val="22"/>
          <w:szCs w:val="22"/>
          <w:lang w:eastAsia="en-US"/>
        </w:rPr>
        <w:t>Domestic</w:t>
      </w:r>
      <w:proofErr w:type="spellEnd"/>
      <w:r w:rsidRPr="001A6162">
        <w:rPr>
          <w:rFonts w:ascii="Arial" w:eastAsiaTheme="minorHAnsi" w:hAnsi="Arial" w:cs="Arial"/>
          <w:color w:val="000000" w:themeColor="text1"/>
          <w:sz w:val="22"/>
          <w:szCs w:val="22"/>
          <w:lang w:eastAsia="en-US"/>
        </w:rPr>
        <w:t xml:space="preserve"> </w:t>
      </w:r>
      <w:proofErr w:type="spellStart"/>
      <w:r w:rsidRPr="001A6162">
        <w:rPr>
          <w:rFonts w:ascii="Arial" w:eastAsiaTheme="minorHAnsi" w:hAnsi="Arial" w:cs="Arial"/>
          <w:color w:val="000000" w:themeColor="text1"/>
          <w:sz w:val="22"/>
          <w:szCs w:val="22"/>
          <w:lang w:eastAsia="en-US"/>
        </w:rPr>
        <w:t>Material</w:t>
      </w:r>
      <w:proofErr w:type="spellEnd"/>
      <w:r w:rsidRPr="001A6162">
        <w:rPr>
          <w:rFonts w:ascii="Arial" w:eastAsiaTheme="minorHAnsi" w:hAnsi="Arial" w:cs="Arial"/>
          <w:color w:val="000000" w:themeColor="text1"/>
          <w:sz w:val="22"/>
          <w:szCs w:val="22"/>
          <w:lang w:eastAsia="en-US"/>
        </w:rPr>
        <w:t xml:space="preserve"> </w:t>
      </w:r>
      <w:proofErr w:type="spellStart"/>
      <w:r w:rsidRPr="001A6162">
        <w:rPr>
          <w:rFonts w:ascii="Arial" w:eastAsiaTheme="minorHAnsi" w:hAnsi="Arial" w:cs="Arial"/>
          <w:color w:val="000000" w:themeColor="text1"/>
          <w:sz w:val="22"/>
          <w:szCs w:val="22"/>
          <w:lang w:eastAsia="en-US"/>
        </w:rPr>
        <w:t>Consumption</w:t>
      </w:r>
      <w:proofErr w:type="spellEnd"/>
      <w:r w:rsidRPr="001A6162">
        <w:rPr>
          <w:rFonts w:ascii="Arial" w:eastAsiaTheme="minorHAnsi" w:hAnsi="Arial" w:cs="Arial"/>
          <w:color w:val="000000" w:themeColor="text1"/>
          <w:sz w:val="22"/>
          <w:szCs w:val="22"/>
          <w:lang w:eastAsia="en-US"/>
        </w:rPr>
        <w:t>)</w:t>
      </w:r>
    </w:p>
    <w:p w14:paraId="4125FD3E" w14:textId="44D1F200"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DMI</w:t>
      </w:r>
      <w:r w:rsidRPr="001A6162">
        <w:rPr>
          <w:rFonts w:ascii="Arial" w:eastAsiaTheme="minorHAnsi" w:hAnsi="Arial" w:cs="Arial"/>
          <w:color w:val="000000" w:themeColor="text1"/>
          <w:sz w:val="22"/>
          <w:szCs w:val="22"/>
          <w:lang w:eastAsia="en-US"/>
        </w:rPr>
        <w:tab/>
      </w:r>
      <w:r>
        <w:rPr>
          <w:rFonts w:ascii="Arial" w:eastAsiaTheme="minorHAnsi" w:hAnsi="Arial" w:cs="Arial"/>
          <w:color w:val="000000" w:themeColor="text1"/>
          <w:sz w:val="22"/>
          <w:szCs w:val="22"/>
          <w:lang w:eastAsia="en-US"/>
        </w:rPr>
        <w:t>p</w:t>
      </w:r>
      <w:r w:rsidRPr="001A6162">
        <w:rPr>
          <w:rFonts w:ascii="Arial" w:eastAsiaTheme="minorHAnsi" w:hAnsi="Arial" w:cs="Arial"/>
          <w:color w:val="000000" w:themeColor="text1"/>
          <w:sz w:val="22"/>
          <w:szCs w:val="22"/>
          <w:lang w:eastAsia="en-US"/>
        </w:rPr>
        <w:t xml:space="preserve">římý materiálový vstup (Direct </w:t>
      </w:r>
      <w:proofErr w:type="spellStart"/>
      <w:r w:rsidRPr="001A6162">
        <w:rPr>
          <w:rFonts w:ascii="Arial" w:eastAsiaTheme="minorHAnsi" w:hAnsi="Arial" w:cs="Arial"/>
          <w:color w:val="000000" w:themeColor="text1"/>
          <w:sz w:val="22"/>
          <w:szCs w:val="22"/>
          <w:lang w:eastAsia="en-US"/>
        </w:rPr>
        <w:t>Material</w:t>
      </w:r>
      <w:proofErr w:type="spellEnd"/>
      <w:r w:rsidRPr="001A6162">
        <w:rPr>
          <w:rFonts w:ascii="Arial" w:eastAsiaTheme="minorHAnsi" w:hAnsi="Arial" w:cs="Arial"/>
          <w:color w:val="000000" w:themeColor="text1"/>
          <w:sz w:val="22"/>
          <w:szCs w:val="22"/>
          <w:lang w:eastAsia="en-US"/>
        </w:rPr>
        <w:t xml:space="preserve"> Input)</w:t>
      </w:r>
    </w:p>
    <w:p w14:paraId="69711C1F" w14:textId="6825495A"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Pr>
          <w:rFonts w:ascii="Arial" w:eastAsiaTheme="minorHAnsi" w:hAnsi="Arial" w:cs="Arial"/>
          <w:color w:val="000000" w:themeColor="text1"/>
          <w:sz w:val="22"/>
          <w:szCs w:val="22"/>
          <w:lang w:eastAsia="en-US"/>
        </w:rPr>
        <w:t>DS</w:t>
      </w:r>
      <w:r>
        <w:rPr>
          <w:rFonts w:ascii="Arial" w:eastAsiaTheme="minorHAnsi" w:hAnsi="Arial" w:cs="Arial"/>
          <w:color w:val="000000" w:themeColor="text1"/>
          <w:sz w:val="22"/>
          <w:szCs w:val="22"/>
          <w:lang w:eastAsia="en-US"/>
        </w:rPr>
        <w:tab/>
        <w:t>d</w:t>
      </w:r>
      <w:r w:rsidRPr="001A6162">
        <w:rPr>
          <w:rFonts w:ascii="Arial" w:eastAsiaTheme="minorHAnsi" w:hAnsi="Arial" w:cs="Arial"/>
          <w:color w:val="000000" w:themeColor="text1"/>
          <w:sz w:val="22"/>
          <w:szCs w:val="22"/>
          <w:lang w:eastAsia="en-US"/>
        </w:rPr>
        <w:t>ruhotná surovina</w:t>
      </w:r>
    </w:p>
    <w:p w14:paraId="3350C0FB" w14:textId="5FB0EFC4"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Pr>
          <w:rFonts w:ascii="Arial" w:eastAsiaTheme="minorHAnsi" w:hAnsi="Arial" w:cs="Arial"/>
          <w:color w:val="000000" w:themeColor="text1"/>
          <w:sz w:val="22"/>
          <w:szCs w:val="22"/>
          <w:lang w:eastAsia="en-US"/>
        </w:rPr>
        <w:t>EBOPS 2010</w:t>
      </w:r>
      <w:r>
        <w:rPr>
          <w:rFonts w:ascii="Arial" w:eastAsiaTheme="minorHAnsi" w:hAnsi="Arial" w:cs="Arial"/>
          <w:color w:val="000000" w:themeColor="text1"/>
          <w:sz w:val="22"/>
          <w:szCs w:val="22"/>
          <w:lang w:eastAsia="en-US"/>
        </w:rPr>
        <w:tab/>
        <w:t>m</w:t>
      </w:r>
      <w:r w:rsidRPr="001A6162">
        <w:rPr>
          <w:rFonts w:ascii="Arial" w:eastAsiaTheme="minorHAnsi" w:hAnsi="Arial" w:cs="Arial"/>
          <w:color w:val="000000" w:themeColor="text1"/>
          <w:sz w:val="22"/>
          <w:szCs w:val="22"/>
          <w:lang w:eastAsia="en-US"/>
        </w:rPr>
        <w:t>ezinárodní rozšířená klasifikace služeb platební bilance</w:t>
      </w:r>
    </w:p>
    <w:p w14:paraId="3C08305B" w14:textId="31B1A426"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sz w:val="22"/>
          <w:szCs w:val="22"/>
          <w:lang w:eastAsia="en-US"/>
        </w:rPr>
        <w:t>EHIS</w:t>
      </w:r>
      <w:r w:rsidRPr="001A6162">
        <w:rPr>
          <w:rFonts w:ascii="Arial" w:eastAsiaTheme="minorHAnsi" w:hAnsi="Arial" w:cs="Arial"/>
          <w:sz w:val="22"/>
          <w:szCs w:val="22"/>
          <w:lang w:eastAsia="en-US"/>
        </w:rPr>
        <w:tab/>
        <w:t>Evropské výběrové šetření o zdraví</w:t>
      </w:r>
    </w:p>
    <w:p w14:paraId="2133DE5D" w14:textId="77777777"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EK</w:t>
      </w:r>
      <w:r w:rsidRPr="001A6162">
        <w:rPr>
          <w:rFonts w:ascii="Arial" w:eastAsiaTheme="minorHAnsi" w:hAnsi="Arial" w:cs="Arial"/>
          <w:color w:val="000000" w:themeColor="text1"/>
          <w:sz w:val="22"/>
          <w:szCs w:val="22"/>
          <w:lang w:eastAsia="en-US"/>
        </w:rPr>
        <w:tab/>
        <w:t xml:space="preserve">Evropská komise </w:t>
      </w:r>
    </w:p>
    <w:p w14:paraId="5DE65E50" w14:textId="77777777"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EP</w:t>
      </w:r>
      <w:r w:rsidRPr="001A6162">
        <w:rPr>
          <w:rFonts w:ascii="Arial" w:eastAsiaTheme="minorHAnsi" w:hAnsi="Arial" w:cs="Arial"/>
          <w:color w:val="000000" w:themeColor="text1"/>
          <w:sz w:val="22"/>
          <w:szCs w:val="22"/>
          <w:lang w:eastAsia="en-US"/>
        </w:rPr>
        <w:tab/>
        <w:t>Evropský parlament</w:t>
      </w:r>
    </w:p>
    <w:p w14:paraId="69BD1CAB" w14:textId="7EF60807"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Pr>
          <w:rFonts w:ascii="Arial" w:eastAsiaTheme="minorHAnsi" w:hAnsi="Arial" w:cs="Arial"/>
          <w:color w:val="000000" w:themeColor="text1"/>
          <w:sz w:val="22"/>
          <w:szCs w:val="22"/>
          <w:lang w:eastAsia="en-US"/>
        </w:rPr>
        <w:t>ES</w:t>
      </w:r>
      <w:r>
        <w:rPr>
          <w:rFonts w:ascii="Arial" w:eastAsiaTheme="minorHAnsi" w:hAnsi="Arial" w:cs="Arial"/>
          <w:color w:val="000000" w:themeColor="text1"/>
          <w:sz w:val="22"/>
          <w:szCs w:val="22"/>
          <w:lang w:eastAsia="en-US"/>
        </w:rPr>
        <w:tab/>
        <w:t>e</w:t>
      </w:r>
      <w:r w:rsidRPr="001A6162">
        <w:rPr>
          <w:rFonts w:ascii="Arial" w:eastAsiaTheme="minorHAnsi" w:hAnsi="Arial" w:cs="Arial"/>
          <w:color w:val="000000" w:themeColor="text1"/>
          <w:sz w:val="22"/>
          <w:szCs w:val="22"/>
          <w:lang w:eastAsia="en-US"/>
        </w:rPr>
        <w:t>kosystémové služby</w:t>
      </w:r>
    </w:p>
    <w:p w14:paraId="1701C4C2" w14:textId="77777777"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ESIF</w:t>
      </w:r>
      <w:r w:rsidRPr="001A6162">
        <w:rPr>
          <w:rFonts w:ascii="Arial" w:eastAsiaTheme="minorHAnsi" w:hAnsi="Arial" w:cs="Arial"/>
          <w:color w:val="000000" w:themeColor="text1"/>
          <w:sz w:val="22"/>
          <w:szCs w:val="22"/>
          <w:lang w:eastAsia="en-US"/>
        </w:rPr>
        <w:tab/>
        <w:t>Evropské strukturální a investiční fondy</w:t>
      </w:r>
    </w:p>
    <w:p w14:paraId="39E60AE3" w14:textId="77777777"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 xml:space="preserve">ET 2020 </w:t>
      </w:r>
      <w:r w:rsidRPr="001A6162">
        <w:rPr>
          <w:rFonts w:ascii="Arial" w:eastAsiaTheme="minorHAnsi" w:hAnsi="Arial" w:cs="Arial"/>
          <w:color w:val="000000" w:themeColor="text1"/>
          <w:sz w:val="22"/>
          <w:szCs w:val="22"/>
          <w:lang w:eastAsia="en-US"/>
        </w:rPr>
        <w:tab/>
        <w:t>Strategický rámec evropské spolupráce v oblasti vzdělávání a odborné přípravy</w:t>
      </w:r>
    </w:p>
    <w:p w14:paraId="493C7A16" w14:textId="4A27E690"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Pr>
          <w:rFonts w:ascii="Arial" w:eastAsiaTheme="minorHAnsi" w:hAnsi="Arial" w:cs="Arial"/>
          <w:color w:val="000000" w:themeColor="text1"/>
          <w:sz w:val="22"/>
          <w:szCs w:val="22"/>
          <w:lang w:eastAsia="en-US"/>
        </w:rPr>
        <w:t>EU</w:t>
      </w:r>
      <w:r>
        <w:rPr>
          <w:rFonts w:ascii="Arial" w:eastAsiaTheme="minorHAnsi" w:hAnsi="Arial" w:cs="Arial"/>
          <w:color w:val="000000" w:themeColor="text1"/>
          <w:sz w:val="22"/>
          <w:szCs w:val="22"/>
          <w:lang w:eastAsia="en-US"/>
        </w:rPr>
        <w:tab/>
      </w:r>
      <w:r w:rsidRPr="001A6162">
        <w:rPr>
          <w:rFonts w:ascii="Arial" w:eastAsiaTheme="minorHAnsi" w:hAnsi="Arial" w:cs="Arial"/>
          <w:color w:val="000000" w:themeColor="text1"/>
          <w:sz w:val="22"/>
          <w:szCs w:val="22"/>
          <w:lang w:eastAsia="en-US"/>
        </w:rPr>
        <w:t>Evropská unie</w:t>
      </w:r>
    </w:p>
    <w:p w14:paraId="30246CBE" w14:textId="2EBDA390"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Pr>
          <w:rFonts w:ascii="Arial" w:eastAsiaTheme="minorHAnsi" w:hAnsi="Arial" w:cs="Arial"/>
          <w:color w:val="000000" w:themeColor="text1"/>
          <w:sz w:val="22"/>
          <w:szCs w:val="22"/>
          <w:lang w:eastAsia="en-US"/>
        </w:rPr>
        <w:t>FTE</w:t>
      </w:r>
      <w:r>
        <w:rPr>
          <w:rFonts w:ascii="Arial" w:eastAsiaTheme="minorHAnsi" w:hAnsi="Arial" w:cs="Arial"/>
          <w:color w:val="000000" w:themeColor="text1"/>
          <w:sz w:val="22"/>
          <w:szCs w:val="22"/>
          <w:lang w:eastAsia="en-US"/>
        </w:rPr>
        <w:tab/>
      </w:r>
      <w:r w:rsidR="00385A97" w:rsidRPr="00385A97">
        <w:rPr>
          <w:rFonts w:ascii="Arial" w:eastAsiaTheme="minorHAnsi" w:hAnsi="Arial" w:cs="Arial"/>
          <w:color w:val="000000" w:themeColor="text1"/>
          <w:sz w:val="22"/>
          <w:szCs w:val="22"/>
          <w:lang w:eastAsia="en-US"/>
        </w:rPr>
        <w:t>ekvivalent plné pracovní doby</w:t>
      </w:r>
      <w:r w:rsidR="00385A97">
        <w:rPr>
          <w:rFonts w:ascii="Arial" w:eastAsiaTheme="minorHAnsi" w:hAnsi="Arial" w:cs="Arial"/>
          <w:color w:val="000000" w:themeColor="text1"/>
          <w:sz w:val="22"/>
          <w:szCs w:val="22"/>
          <w:lang w:eastAsia="en-US"/>
        </w:rPr>
        <w:t xml:space="preserve"> (</w:t>
      </w:r>
      <w:r w:rsidRPr="001A6162">
        <w:rPr>
          <w:rFonts w:ascii="Arial" w:eastAsiaTheme="minorHAnsi" w:hAnsi="Arial" w:cs="Arial"/>
          <w:color w:val="000000" w:themeColor="text1"/>
          <w:sz w:val="22"/>
          <w:szCs w:val="22"/>
          <w:lang w:eastAsia="en-US"/>
        </w:rPr>
        <w:t xml:space="preserve">Full </w:t>
      </w:r>
      <w:proofErr w:type="spellStart"/>
      <w:r w:rsidRPr="001A6162">
        <w:rPr>
          <w:rFonts w:ascii="Arial" w:eastAsiaTheme="minorHAnsi" w:hAnsi="Arial" w:cs="Arial"/>
          <w:color w:val="000000" w:themeColor="text1"/>
          <w:sz w:val="22"/>
          <w:szCs w:val="22"/>
          <w:lang w:eastAsia="en-US"/>
        </w:rPr>
        <w:t>Time</w:t>
      </w:r>
      <w:proofErr w:type="spellEnd"/>
      <w:r w:rsidRPr="001A6162">
        <w:rPr>
          <w:rFonts w:ascii="Arial" w:eastAsiaTheme="minorHAnsi" w:hAnsi="Arial" w:cs="Arial"/>
          <w:color w:val="000000" w:themeColor="text1"/>
          <w:sz w:val="22"/>
          <w:szCs w:val="22"/>
          <w:lang w:eastAsia="en-US"/>
        </w:rPr>
        <w:t xml:space="preserve"> </w:t>
      </w:r>
      <w:proofErr w:type="spellStart"/>
      <w:r w:rsidRPr="001A6162">
        <w:rPr>
          <w:rFonts w:ascii="Arial" w:eastAsiaTheme="minorHAnsi" w:hAnsi="Arial" w:cs="Arial"/>
          <w:color w:val="000000" w:themeColor="text1"/>
          <w:sz w:val="22"/>
          <w:szCs w:val="22"/>
          <w:lang w:eastAsia="en-US"/>
        </w:rPr>
        <w:t>Equivalent</w:t>
      </w:r>
      <w:proofErr w:type="spellEnd"/>
      <w:r w:rsidR="00385A97">
        <w:rPr>
          <w:rFonts w:ascii="Arial" w:eastAsiaTheme="minorHAnsi" w:hAnsi="Arial" w:cs="Arial"/>
          <w:color w:val="000000" w:themeColor="text1"/>
          <w:sz w:val="22"/>
          <w:szCs w:val="22"/>
          <w:lang w:eastAsia="en-US"/>
        </w:rPr>
        <w:t>)</w:t>
      </w:r>
    </w:p>
    <w:p w14:paraId="006C8B32" w14:textId="521FBE1D"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GBARD</w:t>
      </w:r>
      <w:r w:rsidRPr="001A6162">
        <w:rPr>
          <w:rFonts w:ascii="Arial" w:eastAsiaTheme="minorHAnsi" w:hAnsi="Arial" w:cs="Arial"/>
          <w:color w:val="000000" w:themeColor="text1"/>
          <w:sz w:val="22"/>
          <w:szCs w:val="22"/>
          <w:lang w:eastAsia="en-US"/>
        </w:rPr>
        <w:tab/>
      </w:r>
      <w:r>
        <w:rPr>
          <w:rFonts w:ascii="Arial" w:eastAsiaTheme="minorHAnsi" w:hAnsi="Arial" w:cs="Arial"/>
          <w:color w:val="000000" w:themeColor="text1"/>
          <w:sz w:val="22"/>
          <w:szCs w:val="22"/>
          <w:lang w:eastAsia="en-US"/>
        </w:rPr>
        <w:t>v</w:t>
      </w:r>
      <w:r w:rsidRPr="001A6162">
        <w:rPr>
          <w:rFonts w:ascii="Arial" w:eastAsiaTheme="minorHAnsi" w:hAnsi="Arial" w:cs="Arial"/>
          <w:color w:val="000000" w:themeColor="text1"/>
          <w:sz w:val="22"/>
          <w:szCs w:val="22"/>
          <w:lang w:eastAsia="en-US"/>
        </w:rPr>
        <w:t>eřejné (státní) rozpočtové výdaje na výzkum a vývoj (</w:t>
      </w:r>
      <w:proofErr w:type="spellStart"/>
      <w:r w:rsidRPr="001A6162">
        <w:rPr>
          <w:rFonts w:ascii="Arial" w:eastAsiaTheme="minorHAnsi" w:hAnsi="Arial" w:cs="Arial"/>
          <w:color w:val="000000" w:themeColor="text1"/>
          <w:sz w:val="22"/>
          <w:szCs w:val="22"/>
          <w:lang w:eastAsia="en-US"/>
        </w:rPr>
        <w:t>Government</w:t>
      </w:r>
      <w:proofErr w:type="spellEnd"/>
      <w:r w:rsidRPr="001A6162">
        <w:rPr>
          <w:rFonts w:ascii="Arial" w:eastAsiaTheme="minorHAnsi" w:hAnsi="Arial" w:cs="Arial"/>
          <w:color w:val="000000" w:themeColor="text1"/>
          <w:sz w:val="22"/>
          <w:szCs w:val="22"/>
          <w:lang w:eastAsia="en-US"/>
        </w:rPr>
        <w:t xml:space="preserve"> Budget </w:t>
      </w:r>
      <w:proofErr w:type="spellStart"/>
      <w:r w:rsidRPr="001A6162">
        <w:rPr>
          <w:rFonts w:ascii="Arial" w:eastAsiaTheme="minorHAnsi" w:hAnsi="Arial" w:cs="Arial"/>
          <w:color w:val="000000" w:themeColor="text1"/>
          <w:sz w:val="22"/>
          <w:szCs w:val="22"/>
          <w:lang w:eastAsia="en-US"/>
        </w:rPr>
        <w:t>Appropriations</w:t>
      </w:r>
      <w:proofErr w:type="spellEnd"/>
      <w:r w:rsidRPr="001A6162">
        <w:rPr>
          <w:rFonts w:ascii="Arial" w:eastAsiaTheme="minorHAnsi" w:hAnsi="Arial" w:cs="Arial"/>
          <w:color w:val="000000" w:themeColor="text1"/>
          <w:sz w:val="22"/>
          <w:szCs w:val="22"/>
          <w:lang w:eastAsia="en-US"/>
        </w:rPr>
        <w:t xml:space="preserve"> </w:t>
      </w:r>
      <w:proofErr w:type="spellStart"/>
      <w:r w:rsidRPr="001A6162">
        <w:rPr>
          <w:rFonts w:ascii="Arial" w:eastAsiaTheme="minorHAnsi" w:hAnsi="Arial" w:cs="Arial"/>
          <w:color w:val="000000" w:themeColor="text1"/>
          <w:sz w:val="22"/>
          <w:szCs w:val="22"/>
          <w:lang w:eastAsia="en-US"/>
        </w:rPr>
        <w:t>for</w:t>
      </w:r>
      <w:proofErr w:type="spellEnd"/>
      <w:r w:rsidRPr="001A6162">
        <w:rPr>
          <w:rFonts w:ascii="Arial" w:eastAsiaTheme="minorHAnsi" w:hAnsi="Arial" w:cs="Arial"/>
          <w:color w:val="000000" w:themeColor="text1"/>
          <w:sz w:val="22"/>
          <w:szCs w:val="22"/>
          <w:lang w:eastAsia="en-US"/>
        </w:rPr>
        <w:t xml:space="preserve"> R&amp;D)</w:t>
      </w:r>
    </w:p>
    <w:p w14:paraId="5F24AC4B" w14:textId="2A406951"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GERD</w:t>
      </w:r>
      <w:r>
        <w:rPr>
          <w:rFonts w:ascii="Arial" w:eastAsiaTheme="minorHAnsi" w:hAnsi="Arial" w:cs="Arial"/>
          <w:color w:val="000000" w:themeColor="text1"/>
          <w:sz w:val="22"/>
          <w:szCs w:val="22"/>
          <w:lang w:eastAsia="en-US"/>
        </w:rPr>
        <w:tab/>
        <w:t>c</w:t>
      </w:r>
      <w:r w:rsidRPr="001A6162">
        <w:rPr>
          <w:rFonts w:ascii="Arial" w:eastAsiaTheme="minorHAnsi" w:hAnsi="Arial" w:cs="Arial"/>
          <w:color w:val="000000" w:themeColor="text1"/>
          <w:sz w:val="22"/>
          <w:szCs w:val="22"/>
          <w:lang w:eastAsia="en-US"/>
        </w:rPr>
        <w:t xml:space="preserve">elkové výdaje na výzkum a vývoj (Gross </w:t>
      </w:r>
      <w:proofErr w:type="spellStart"/>
      <w:r w:rsidRPr="001A6162">
        <w:rPr>
          <w:rFonts w:ascii="Arial" w:eastAsiaTheme="minorHAnsi" w:hAnsi="Arial" w:cs="Arial"/>
          <w:color w:val="000000" w:themeColor="text1"/>
          <w:sz w:val="22"/>
          <w:szCs w:val="22"/>
          <w:lang w:eastAsia="en-US"/>
        </w:rPr>
        <w:t>Domestic</w:t>
      </w:r>
      <w:proofErr w:type="spellEnd"/>
      <w:r w:rsidRPr="001A6162">
        <w:rPr>
          <w:rFonts w:ascii="Arial" w:eastAsiaTheme="minorHAnsi" w:hAnsi="Arial" w:cs="Arial"/>
          <w:color w:val="000000" w:themeColor="text1"/>
          <w:sz w:val="22"/>
          <w:szCs w:val="22"/>
          <w:lang w:eastAsia="en-US"/>
        </w:rPr>
        <w:t xml:space="preserve"> </w:t>
      </w:r>
      <w:proofErr w:type="spellStart"/>
      <w:r w:rsidRPr="001A6162">
        <w:rPr>
          <w:rFonts w:ascii="Arial" w:eastAsiaTheme="minorHAnsi" w:hAnsi="Arial" w:cs="Arial"/>
          <w:color w:val="000000" w:themeColor="text1"/>
          <w:sz w:val="22"/>
          <w:szCs w:val="22"/>
          <w:lang w:eastAsia="en-US"/>
        </w:rPr>
        <w:t>Expenditure</w:t>
      </w:r>
      <w:proofErr w:type="spellEnd"/>
      <w:r w:rsidRPr="001A6162">
        <w:rPr>
          <w:rFonts w:ascii="Arial" w:eastAsiaTheme="minorHAnsi" w:hAnsi="Arial" w:cs="Arial"/>
          <w:color w:val="000000" w:themeColor="text1"/>
          <w:sz w:val="22"/>
          <w:szCs w:val="22"/>
          <w:lang w:eastAsia="en-US"/>
        </w:rPr>
        <w:t xml:space="preserve"> on R&amp;D)</w:t>
      </w:r>
    </w:p>
    <w:p w14:paraId="1CF29CC1" w14:textId="35CE2A8C" w:rsid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GTARD</w:t>
      </w:r>
      <w:r w:rsidRPr="001A6162">
        <w:rPr>
          <w:rFonts w:ascii="Arial" w:eastAsiaTheme="minorHAnsi" w:hAnsi="Arial" w:cs="Arial"/>
          <w:color w:val="000000" w:themeColor="text1"/>
          <w:sz w:val="22"/>
          <w:szCs w:val="22"/>
          <w:lang w:eastAsia="en-US"/>
        </w:rPr>
        <w:tab/>
      </w:r>
      <w:r>
        <w:rPr>
          <w:rFonts w:ascii="Arial" w:eastAsiaTheme="minorHAnsi" w:hAnsi="Arial" w:cs="Arial"/>
          <w:color w:val="000000" w:themeColor="text1"/>
          <w:sz w:val="22"/>
          <w:szCs w:val="22"/>
          <w:lang w:eastAsia="en-US"/>
        </w:rPr>
        <w:t>n</w:t>
      </w:r>
      <w:r w:rsidRPr="001A6162">
        <w:rPr>
          <w:rFonts w:ascii="Arial" w:eastAsiaTheme="minorHAnsi" w:hAnsi="Arial" w:cs="Arial"/>
          <w:color w:val="000000" w:themeColor="text1"/>
          <w:sz w:val="22"/>
          <w:szCs w:val="22"/>
          <w:lang w:eastAsia="en-US"/>
        </w:rPr>
        <w:t>epřímá veřejná (daňová) podpora výzkumu a vývoje v podnikatelském sektoru (</w:t>
      </w:r>
      <w:proofErr w:type="spellStart"/>
      <w:r w:rsidRPr="001A6162">
        <w:rPr>
          <w:rFonts w:ascii="Arial" w:eastAsiaTheme="minorHAnsi" w:hAnsi="Arial" w:cs="Arial"/>
          <w:color w:val="000000" w:themeColor="text1"/>
          <w:sz w:val="22"/>
          <w:szCs w:val="22"/>
          <w:lang w:eastAsia="en-US"/>
        </w:rPr>
        <w:t>Government</w:t>
      </w:r>
      <w:proofErr w:type="spellEnd"/>
      <w:r w:rsidRPr="001A6162">
        <w:rPr>
          <w:rFonts w:ascii="Arial" w:eastAsiaTheme="minorHAnsi" w:hAnsi="Arial" w:cs="Arial"/>
          <w:color w:val="000000" w:themeColor="text1"/>
          <w:sz w:val="22"/>
          <w:szCs w:val="22"/>
          <w:lang w:eastAsia="en-US"/>
        </w:rPr>
        <w:t xml:space="preserve"> Tax </w:t>
      </w:r>
      <w:proofErr w:type="spellStart"/>
      <w:r w:rsidRPr="001A6162">
        <w:rPr>
          <w:rFonts w:ascii="Arial" w:eastAsiaTheme="minorHAnsi" w:hAnsi="Arial" w:cs="Arial"/>
          <w:color w:val="000000" w:themeColor="text1"/>
          <w:sz w:val="22"/>
          <w:szCs w:val="22"/>
          <w:lang w:eastAsia="en-US"/>
        </w:rPr>
        <w:t>Relief</w:t>
      </w:r>
      <w:proofErr w:type="spellEnd"/>
      <w:r w:rsidRPr="001A6162">
        <w:rPr>
          <w:rFonts w:ascii="Arial" w:eastAsiaTheme="minorHAnsi" w:hAnsi="Arial" w:cs="Arial"/>
          <w:color w:val="000000" w:themeColor="text1"/>
          <w:sz w:val="22"/>
          <w:szCs w:val="22"/>
          <w:lang w:eastAsia="en-US"/>
        </w:rPr>
        <w:t xml:space="preserve"> </w:t>
      </w:r>
      <w:proofErr w:type="spellStart"/>
      <w:r w:rsidRPr="001A6162">
        <w:rPr>
          <w:rFonts w:ascii="Arial" w:eastAsiaTheme="minorHAnsi" w:hAnsi="Arial" w:cs="Arial"/>
          <w:color w:val="000000" w:themeColor="text1"/>
          <w:sz w:val="22"/>
          <w:szCs w:val="22"/>
          <w:lang w:eastAsia="en-US"/>
        </w:rPr>
        <w:t>for</w:t>
      </w:r>
      <w:proofErr w:type="spellEnd"/>
      <w:r w:rsidRPr="001A6162">
        <w:rPr>
          <w:rFonts w:ascii="Arial" w:eastAsiaTheme="minorHAnsi" w:hAnsi="Arial" w:cs="Arial"/>
          <w:color w:val="000000" w:themeColor="text1"/>
          <w:sz w:val="22"/>
          <w:szCs w:val="22"/>
          <w:lang w:eastAsia="en-US"/>
        </w:rPr>
        <w:t xml:space="preserve"> R&amp;D </w:t>
      </w:r>
      <w:proofErr w:type="spellStart"/>
      <w:r w:rsidRPr="001A6162">
        <w:rPr>
          <w:rFonts w:ascii="Arial" w:eastAsiaTheme="minorHAnsi" w:hAnsi="Arial" w:cs="Arial"/>
          <w:color w:val="000000" w:themeColor="text1"/>
          <w:sz w:val="22"/>
          <w:szCs w:val="22"/>
          <w:lang w:eastAsia="en-US"/>
        </w:rPr>
        <w:t>Expenditures</w:t>
      </w:r>
      <w:proofErr w:type="spellEnd"/>
      <w:r w:rsidRPr="001A6162">
        <w:rPr>
          <w:rFonts w:ascii="Arial" w:eastAsiaTheme="minorHAnsi" w:hAnsi="Arial" w:cs="Arial"/>
          <w:color w:val="000000" w:themeColor="text1"/>
          <w:sz w:val="22"/>
          <w:szCs w:val="22"/>
          <w:lang w:eastAsia="en-US"/>
        </w:rPr>
        <w:t>)</w:t>
      </w:r>
    </w:p>
    <w:p w14:paraId="22745F72" w14:textId="41FC2E8A"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Pr>
          <w:rFonts w:ascii="Arial" w:eastAsiaTheme="minorHAnsi" w:hAnsi="Arial" w:cs="Arial"/>
          <w:color w:val="000000" w:themeColor="text1"/>
          <w:sz w:val="22"/>
          <w:szCs w:val="22"/>
          <w:lang w:eastAsia="en-US"/>
        </w:rPr>
        <w:t>HDP</w:t>
      </w:r>
      <w:r>
        <w:rPr>
          <w:rFonts w:ascii="Arial" w:eastAsiaTheme="minorHAnsi" w:hAnsi="Arial" w:cs="Arial"/>
          <w:color w:val="000000" w:themeColor="text1"/>
          <w:sz w:val="22"/>
          <w:szCs w:val="22"/>
          <w:lang w:eastAsia="en-US"/>
        </w:rPr>
        <w:tab/>
        <w:t>h</w:t>
      </w:r>
      <w:r w:rsidRPr="001A6162">
        <w:rPr>
          <w:rFonts w:ascii="Arial" w:eastAsiaTheme="minorHAnsi" w:hAnsi="Arial" w:cs="Arial"/>
          <w:color w:val="000000" w:themeColor="text1"/>
          <w:sz w:val="22"/>
          <w:szCs w:val="22"/>
          <w:lang w:eastAsia="en-US"/>
        </w:rPr>
        <w:t>rubý domácí produkt</w:t>
      </w:r>
    </w:p>
    <w:p w14:paraId="657E6F41" w14:textId="41B3505C"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Pr>
          <w:rFonts w:ascii="Arial" w:eastAsiaTheme="minorHAnsi" w:hAnsi="Arial" w:cs="Arial"/>
          <w:color w:val="000000" w:themeColor="text1"/>
          <w:sz w:val="22"/>
          <w:szCs w:val="22"/>
          <w:lang w:eastAsia="en-US"/>
        </w:rPr>
        <w:t>HND</w:t>
      </w:r>
      <w:r>
        <w:rPr>
          <w:rFonts w:ascii="Arial" w:eastAsiaTheme="minorHAnsi" w:hAnsi="Arial" w:cs="Arial"/>
          <w:color w:val="000000" w:themeColor="text1"/>
          <w:sz w:val="22"/>
          <w:szCs w:val="22"/>
          <w:lang w:eastAsia="en-US"/>
        </w:rPr>
        <w:tab/>
        <w:t>h</w:t>
      </w:r>
      <w:r w:rsidRPr="001A6162">
        <w:rPr>
          <w:rFonts w:ascii="Arial" w:eastAsiaTheme="minorHAnsi" w:hAnsi="Arial" w:cs="Arial"/>
          <w:color w:val="000000" w:themeColor="text1"/>
          <w:sz w:val="22"/>
          <w:szCs w:val="22"/>
          <w:lang w:eastAsia="en-US"/>
        </w:rPr>
        <w:t>rubý národní důchod</w:t>
      </w:r>
    </w:p>
    <w:p w14:paraId="3E7EFE75" w14:textId="0E62EA71"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Pr>
          <w:rFonts w:ascii="Arial" w:eastAsiaTheme="minorHAnsi" w:hAnsi="Arial" w:cs="Arial"/>
          <w:color w:val="000000" w:themeColor="text1"/>
          <w:sz w:val="22"/>
          <w:szCs w:val="22"/>
          <w:lang w:eastAsia="en-US"/>
        </w:rPr>
        <w:t>HPH</w:t>
      </w:r>
      <w:r>
        <w:rPr>
          <w:rFonts w:ascii="Arial" w:eastAsiaTheme="minorHAnsi" w:hAnsi="Arial" w:cs="Arial"/>
          <w:color w:val="000000" w:themeColor="text1"/>
          <w:sz w:val="22"/>
          <w:szCs w:val="22"/>
          <w:lang w:eastAsia="en-US"/>
        </w:rPr>
        <w:tab/>
        <w:t>h</w:t>
      </w:r>
      <w:r w:rsidRPr="001A6162">
        <w:rPr>
          <w:rFonts w:ascii="Arial" w:eastAsiaTheme="minorHAnsi" w:hAnsi="Arial" w:cs="Arial"/>
          <w:color w:val="000000" w:themeColor="text1"/>
          <w:sz w:val="22"/>
          <w:szCs w:val="22"/>
          <w:lang w:eastAsia="en-US"/>
        </w:rPr>
        <w:t>rubá přidaná hodnota</w:t>
      </w:r>
    </w:p>
    <w:p w14:paraId="28F4B349" w14:textId="78307CD1"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Pr>
          <w:rFonts w:ascii="Arial" w:eastAsiaTheme="minorHAnsi" w:hAnsi="Arial" w:cs="Arial"/>
          <w:color w:val="000000" w:themeColor="text1"/>
          <w:sz w:val="22"/>
          <w:szCs w:val="22"/>
          <w:lang w:eastAsia="en-US"/>
        </w:rPr>
        <w:t>HRL</w:t>
      </w:r>
      <w:r>
        <w:rPr>
          <w:rFonts w:ascii="Arial" w:eastAsiaTheme="minorHAnsi" w:hAnsi="Arial" w:cs="Arial"/>
          <w:color w:val="000000" w:themeColor="text1"/>
          <w:sz w:val="22"/>
          <w:szCs w:val="22"/>
          <w:lang w:eastAsia="en-US"/>
        </w:rPr>
        <w:tab/>
      </w:r>
      <w:r w:rsidR="005C3F32">
        <w:rPr>
          <w:rFonts w:ascii="Arial" w:eastAsiaTheme="minorHAnsi" w:hAnsi="Arial" w:cs="Arial"/>
          <w:color w:val="000000" w:themeColor="text1"/>
          <w:sz w:val="22"/>
          <w:szCs w:val="22"/>
          <w:lang w:eastAsia="en-US"/>
        </w:rPr>
        <w:t>vrstvy vysokého rozlišení (</w:t>
      </w:r>
      <w:proofErr w:type="spellStart"/>
      <w:r w:rsidRPr="001A6162">
        <w:rPr>
          <w:rFonts w:ascii="Arial" w:eastAsiaTheme="minorHAnsi" w:hAnsi="Arial" w:cs="Arial"/>
          <w:color w:val="000000" w:themeColor="text1"/>
          <w:sz w:val="22"/>
          <w:szCs w:val="22"/>
          <w:lang w:eastAsia="en-US"/>
        </w:rPr>
        <w:t>High</w:t>
      </w:r>
      <w:proofErr w:type="spellEnd"/>
      <w:r w:rsidRPr="001A6162">
        <w:rPr>
          <w:rFonts w:ascii="Arial" w:eastAsiaTheme="minorHAnsi" w:hAnsi="Arial" w:cs="Arial"/>
          <w:color w:val="000000" w:themeColor="text1"/>
          <w:sz w:val="22"/>
          <w:szCs w:val="22"/>
          <w:lang w:eastAsia="en-US"/>
        </w:rPr>
        <w:t xml:space="preserve"> </w:t>
      </w:r>
      <w:proofErr w:type="spellStart"/>
      <w:r w:rsidRPr="001A6162">
        <w:rPr>
          <w:rFonts w:ascii="Arial" w:eastAsiaTheme="minorHAnsi" w:hAnsi="Arial" w:cs="Arial"/>
          <w:color w:val="000000" w:themeColor="text1"/>
          <w:sz w:val="22"/>
          <w:szCs w:val="22"/>
          <w:lang w:eastAsia="en-US"/>
        </w:rPr>
        <w:t>Resolution</w:t>
      </w:r>
      <w:proofErr w:type="spellEnd"/>
      <w:r w:rsidRPr="001A6162">
        <w:rPr>
          <w:rFonts w:ascii="Arial" w:eastAsiaTheme="minorHAnsi" w:hAnsi="Arial" w:cs="Arial"/>
          <w:color w:val="000000" w:themeColor="text1"/>
          <w:sz w:val="22"/>
          <w:szCs w:val="22"/>
          <w:lang w:eastAsia="en-US"/>
        </w:rPr>
        <w:t xml:space="preserve"> </w:t>
      </w:r>
      <w:proofErr w:type="spellStart"/>
      <w:r w:rsidRPr="001A6162">
        <w:rPr>
          <w:rFonts w:ascii="Arial" w:eastAsiaTheme="minorHAnsi" w:hAnsi="Arial" w:cs="Arial"/>
          <w:color w:val="000000" w:themeColor="text1"/>
          <w:sz w:val="22"/>
          <w:szCs w:val="22"/>
          <w:lang w:eastAsia="en-US"/>
        </w:rPr>
        <w:t>Layers</w:t>
      </w:r>
      <w:proofErr w:type="spellEnd"/>
      <w:r w:rsidR="005C3F32">
        <w:rPr>
          <w:rFonts w:ascii="Arial" w:eastAsiaTheme="minorHAnsi" w:hAnsi="Arial" w:cs="Arial"/>
          <w:color w:val="000000" w:themeColor="text1"/>
          <w:sz w:val="22"/>
          <w:szCs w:val="22"/>
          <w:lang w:eastAsia="en-US"/>
        </w:rPr>
        <w:t>)</w:t>
      </w:r>
    </w:p>
    <w:p w14:paraId="4E8EB6C2" w14:textId="45A14697"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ICT</w:t>
      </w:r>
      <w:r w:rsidRPr="001A6162">
        <w:rPr>
          <w:rFonts w:ascii="Arial" w:eastAsiaTheme="minorHAnsi" w:hAnsi="Arial" w:cs="Arial"/>
          <w:color w:val="000000" w:themeColor="text1"/>
          <w:sz w:val="22"/>
          <w:szCs w:val="22"/>
          <w:lang w:eastAsia="en-US"/>
        </w:rPr>
        <w:tab/>
      </w:r>
      <w:r>
        <w:rPr>
          <w:rFonts w:ascii="Arial" w:eastAsiaTheme="minorHAnsi" w:hAnsi="Arial" w:cs="Arial"/>
          <w:color w:val="000000" w:themeColor="text1"/>
          <w:sz w:val="22"/>
          <w:szCs w:val="22"/>
          <w:lang w:eastAsia="en-US"/>
        </w:rPr>
        <w:t>i</w:t>
      </w:r>
      <w:r w:rsidRPr="001A6162">
        <w:rPr>
          <w:rFonts w:ascii="Arial" w:eastAsiaTheme="minorHAnsi" w:hAnsi="Arial" w:cs="Arial"/>
          <w:color w:val="000000" w:themeColor="text1"/>
          <w:sz w:val="22"/>
          <w:szCs w:val="22"/>
          <w:lang w:eastAsia="en-US"/>
        </w:rPr>
        <w:t>nformační a komunikační technologie</w:t>
      </w:r>
    </w:p>
    <w:p w14:paraId="54061601" w14:textId="6BFAE673" w:rsidR="001A6162" w:rsidRPr="001A6162" w:rsidRDefault="005C3F32" w:rsidP="001A6162">
      <w:pPr>
        <w:spacing w:line="276" w:lineRule="auto"/>
        <w:ind w:left="2268" w:hanging="2268"/>
        <w:rPr>
          <w:rFonts w:ascii="Arial" w:eastAsiaTheme="minorHAnsi" w:hAnsi="Arial" w:cs="Arial"/>
          <w:color w:val="000000" w:themeColor="text1"/>
          <w:sz w:val="22"/>
          <w:szCs w:val="22"/>
          <w:lang w:eastAsia="en-US"/>
        </w:rPr>
      </w:pPr>
      <w:r>
        <w:rPr>
          <w:rFonts w:ascii="Arial" w:eastAsiaTheme="minorHAnsi" w:hAnsi="Arial" w:cs="Arial"/>
          <w:color w:val="000000" w:themeColor="text1"/>
          <w:sz w:val="22"/>
          <w:szCs w:val="22"/>
          <w:lang w:eastAsia="en-US"/>
        </w:rPr>
        <w:lastRenderedPageBreak/>
        <w:t>ISCED</w:t>
      </w:r>
      <w:r>
        <w:rPr>
          <w:rFonts w:ascii="Arial" w:eastAsiaTheme="minorHAnsi" w:hAnsi="Arial" w:cs="Arial"/>
          <w:color w:val="000000" w:themeColor="text1"/>
          <w:sz w:val="22"/>
          <w:szCs w:val="22"/>
          <w:lang w:eastAsia="en-US"/>
        </w:rPr>
        <w:tab/>
        <w:t>M</w:t>
      </w:r>
      <w:r w:rsidR="001A6162" w:rsidRPr="001A6162">
        <w:rPr>
          <w:rFonts w:ascii="Arial" w:eastAsiaTheme="minorHAnsi" w:hAnsi="Arial" w:cs="Arial"/>
          <w:color w:val="000000" w:themeColor="text1"/>
          <w:sz w:val="22"/>
          <w:szCs w:val="22"/>
          <w:lang w:eastAsia="en-US"/>
        </w:rPr>
        <w:t>e</w:t>
      </w:r>
      <w:r w:rsidR="001A6162">
        <w:rPr>
          <w:rFonts w:ascii="Arial" w:eastAsiaTheme="minorHAnsi" w:hAnsi="Arial" w:cs="Arial"/>
          <w:color w:val="000000" w:themeColor="text1"/>
          <w:sz w:val="22"/>
          <w:szCs w:val="22"/>
          <w:lang w:eastAsia="en-US"/>
        </w:rPr>
        <w:t>zinárodní standardní klasifikace</w:t>
      </w:r>
      <w:r w:rsidR="001A6162" w:rsidRPr="001A6162">
        <w:rPr>
          <w:rFonts w:ascii="Arial" w:eastAsiaTheme="minorHAnsi" w:hAnsi="Arial" w:cs="Arial"/>
          <w:color w:val="000000" w:themeColor="text1"/>
          <w:sz w:val="22"/>
          <w:szCs w:val="22"/>
          <w:lang w:eastAsia="en-US"/>
        </w:rPr>
        <w:t xml:space="preserve"> vzdělání</w:t>
      </w:r>
      <w:r>
        <w:rPr>
          <w:rFonts w:ascii="Arial" w:eastAsiaTheme="minorHAnsi" w:hAnsi="Arial" w:cs="Arial"/>
          <w:color w:val="000000" w:themeColor="text1"/>
          <w:sz w:val="22"/>
          <w:szCs w:val="22"/>
          <w:lang w:eastAsia="en-US"/>
        </w:rPr>
        <w:t xml:space="preserve"> (</w:t>
      </w:r>
      <w:r w:rsidRPr="005C3F32">
        <w:rPr>
          <w:rFonts w:ascii="Arial" w:eastAsiaTheme="minorHAnsi" w:hAnsi="Arial" w:cs="Arial"/>
          <w:color w:val="000000" w:themeColor="text1"/>
          <w:sz w:val="22"/>
          <w:szCs w:val="22"/>
          <w:lang w:eastAsia="en-US"/>
        </w:rPr>
        <w:t xml:space="preserve">International Standard </w:t>
      </w:r>
      <w:proofErr w:type="spellStart"/>
      <w:r w:rsidRPr="005C3F32">
        <w:rPr>
          <w:rFonts w:ascii="Arial" w:eastAsiaTheme="minorHAnsi" w:hAnsi="Arial" w:cs="Arial"/>
          <w:color w:val="000000" w:themeColor="text1"/>
          <w:sz w:val="22"/>
          <w:szCs w:val="22"/>
          <w:lang w:eastAsia="en-US"/>
        </w:rPr>
        <w:t>Classification</w:t>
      </w:r>
      <w:proofErr w:type="spellEnd"/>
      <w:r w:rsidRPr="005C3F32">
        <w:rPr>
          <w:rFonts w:ascii="Arial" w:eastAsiaTheme="minorHAnsi" w:hAnsi="Arial" w:cs="Arial"/>
          <w:color w:val="000000" w:themeColor="text1"/>
          <w:sz w:val="22"/>
          <w:szCs w:val="22"/>
          <w:lang w:eastAsia="en-US"/>
        </w:rPr>
        <w:t xml:space="preserve"> </w:t>
      </w:r>
      <w:proofErr w:type="spellStart"/>
      <w:r w:rsidRPr="005C3F32">
        <w:rPr>
          <w:rFonts w:ascii="Arial" w:eastAsiaTheme="minorHAnsi" w:hAnsi="Arial" w:cs="Arial"/>
          <w:color w:val="000000" w:themeColor="text1"/>
          <w:sz w:val="22"/>
          <w:szCs w:val="22"/>
          <w:lang w:eastAsia="en-US"/>
        </w:rPr>
        <w:t>of</w:t>
      </w:r>
      <w:proofErr w:type="spellEnd"/>
      <w:r w:rsidRPr="005C3F32">
        <w:rPr>
          <w:rFonts w:ascii="Arial" w:eastAsiaTheme="minorHAnsi" w:hAnsi="Arial" w:cs="Arial"/>
          <w:color w:val="000000" w:themeColor="text1"/>
          <w:sz w:val="22"/>
          <w:szCs w:val="22"/>
          <w:lang w:eastAsia="en-US"/>
        </w:rPr>
        <w:t xml:space="preserve"> </w:t>
      </w:r>
      <w:proofErr w:type="spellStart"/>
      <w:r w:rsidRPr="005C3F32">
        <w:rPr>
          <w:rFonts w:ascii="Arial" w:eastAsiaTheme="minorHAnsi" w:hAnsi="Arial" w:cs="Arial"/>
          <w:color w:val="000000" w:themeColor="text1"/>
          <w:sz w:val="22"/>
          <w:szCs w:val="22"/>
          <w:lang w:eastAsia="en-US"/>
        </w:rPr>
        <w:t>Education</w:t>
      </w:r>
      <w:proofErr w:type="spellEnd"/>
      <w:r>
        <w:rPr>
          <w:rFonts w:ascii="Arial" w:eastAsiaTheme="minorHAnsi" w:hAnsi="Arial" w:cs="Arial"/>
          <w:color w:val="000000" w:themeColor="text1"/>
          <w:sz w:val="22"/>
          <w:szCs w:val="22"/>
          <w:lang w:eastAsia="en-US"/>
        </w:rPr>
        <w:t>)</w:t>
      </w:r>
    </w:p>
    <w:p w14:paraId="088702ED" w14:textId="77777777" w:rsid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IUCN</w:t>
      </w:r>
      <w:r w:rsidRPr="001A6162">
        <w:rPr>
          <w:rFonts w:ascii="Arial" w:eastAsiaTheme="minorHAnsi" w:hAnsi="Arial" w:cs="Arial"/>
          <w:color w:val="000000" w:themeColor="text1"/>
          <w:sz w:val="22"/>
          <w:szCs w:val="22"/>
          <w:lang w:eastAsia="en-US"/>
        </w:rPr>
        <w:tab/>
        <w:t xml:space="preserve">Mezinárodní svaz ochrany přírody (International Union </w:t>
      </w:r>
      <w:proofErr w:type="spellStart"/>
      <w:r w:rsidRPr="001A6162">
        <w:rPr>
          <w:rFonts w:ascii="Arial" w:eastAsiaTheme="minorHAnsi" w:hAnsi="Arial" w:cs="Arial"/>
          <w:color w:val="000000" w:themeColor="text1"/>
          <w:sz w:val="22"/>
          <w:szCs w:val="22"/>
          <w:lang w:eastAsia="en-US"/>
        </w:rPr>
        <w:t>for</w:t>
      </w:r>
      <w:proofErr w:type="spellEnd"/>
      <w:r w:rsidRPr="001A6162">
        <w:rPr>
          <w:rFonts w:ascii="Arial" w:eastAsiaTheme="minorHAnsi" w:hAnsi="Arial" w:cs="Arial"/>
          <w:color w:val="000000" w:themeColor="text1"/>
          <w:sz w:val="22"/>
          <w:szCs w:val="22"/>
          <w:lang w:eastAsia="en-US"/>
        </w:rPr>
        <w:t xml:space="preserve"> </w:t>
      </w:r>
      <w:proofErr w:type="spellStart"/>
      <w:r w:rsidRPr="001A6162">
        <w:rPr>
          <w:rFonts w:ascii="Arial" w:eastAsiaTheme="minorHAnsi" w:hAnsi="Arial" w:cs="Arial"/>
          <w:color w:val="000000" w:themeColor="text1"/>
          <w:sz w:val="22"/>
          <w:szCs w:val="22"/>
          <w:lang w:eastAsia="en-US"/>
        </w:rPr>
        <w:t>Conservation</w:t>
      </w:r>
      <w:proofErr w:type="spellEnd"/>
      <w:r w:rsidRPr="001A6162">
        <w:rPr>
          <w:rFonts w:ascii="Arial" w:eastAsiaTheme="minorHAnsi" w:hAnsi="Arial" w:cs="Arial"/>
          <w:color w:val="000000" w:themeColor="text1"/>
          <w:sz w:val="22"/>
          <w:szCs w:val="22"/>
          <w:lang w:eastAsia="en-US"/>
        </w:rPr>
        <w:t xml:space="preserve"> </w:t>
      </w:r>
      <w:proofErr w:type="spellStart"/>
      <w:r w:rsidRPr="001A6162">
        <w:rPr>
          <w:rFonts w:ascii="Arial" w:eastAsiaTheme="minorHAnsi" w:hAnsi="Arial" w:cs="Arial"/>
          <w:color w:val="000000" w:themeColor="text1"/>
          <w:sz w:val="22"/>
          <w:szCs w:val="22"/>
          <w:lang w:eastAsia="en-US"/>
        </w:rPr>
        <w:t>of</w:t>
      </w:r>
      <w:proofErr w:type="spellEnd"/>
      <w:r w:rsidRPr="001A6162">
        <w:rPr>
          <w:rFonts w:ascii="Arial" w:eastAsiaTheme="minorHAnsi" w:hAnsi="Arial" w:cs="Arial"/>
          <w:color w:val="000000" w:themeColor="text1"/>
          <w:sz w:val="22"/>
          <w:szCs w:val="22"/>
          <w:lang w:eastAsia="en-US"/>
        </w:rPr>
        <w:t xml:space="preserve"> </w:t>
      </w:r>
      <w:proofErr w:type="spellStart"/>
      <w:r w:rsidRPr="001A6162">
        <w:rPr>
          <w:rFonts w:ascii="Arial" w:eastAsiaTheme="minorHAnsi" w:hAnsi="Arial" w:cs="Arial"/>
          <w:color w:val="000000" w:themeColor="text1"/>
          <w:sz w:val="22"/>
          <w:szCs w:val="22"/>
          <w:lang w:eastAsia="en-US"/>
        </w:rPr>
        <w:t>Nature</w:t>
      </w:r>
      <w:proofErr w:type="spellEnd"/>
      <w:r w:rsidRPr="001A6162">
        <w:rPr>
          <w:rFonts w:ascii="Arial" w:eastAsiaTheme="minorHAnsi" w:hAnsi="Arial" w:cs="Arial"/>
          <w:color w:val="000000" w:themeColor="text1"/>
          <w:sz w:val="22"/>
          <w:szCs w:val="22"/>
          <w:lang w:eastAsia="en-US"/>
        </w:rPr>
        <w:t>)</w:t>
      </w:r>
    </w:p>
    <w:p w14:paraId="10AD5E2C" w14:textId="420B09FC" w:rsidR="005C3F32" w:rsidRDefault="005C3F32" w:rsidP="001A6162">
      <w:pPr>
        <w:spacing w:line="276" w:lineRule="auto"/>
        <w:ind w:left="2268" w:hanging="2268"/>
        <w:rPr>
          <w:rFonts w:ascii="Arial" w:eastAsiaTheme="minorHAnsi" w:hAnsi="Arial" w:cs="Arial"/>
          <w:color w:val="000000" w:themeColor="text1"/>
          <w:sz w:val="22"/>
          <w:szCs w:val="22"/>
          <w:lang w:eastAsia="en-US"/>
        </w:rPr>
      </w:pPr>
      <w:r>
        <w:rPr>
          <w:rFonts w:ascii="Arial" w:eastAsiaTheme="minorHAnsi" w:hAnsi="Arial" w:cs="Arial"/>
          <w:color w:val="000000" w:themeColor="text1"/>
          <w:sz w:val="22"/>
          <w:szCs w:val="22"/>
          <w:lang w:eastAsia="en-US"/>
        </w:rPr>
        <w:t>ISCO</w:t>
      </w:r>
      <w:r>
        <w:rPr>
          <w:rFonts w:ascii="Arial" w:eastAsiaTheme="minorHAnsi" w:hAnsi="Arial" w:cs="Arial"/>
          <w:color w:val="000000" w:themeColor="text1"/>
          <w:sz w:val="22"/>
          <w:szCs w:val="22"/>
          <w:lang w:eastAsia="en-US"/>
        </w:rPr>
        <w:tab/>
      </w:r>
      <w:r w:rsidRPr="005C3F32">
        <w:rPr>
          <w:rFonts w:ascii="Arial" w:eastAsiaTheme="minorHAnsi" w:hAnsi="Arial" w:cs="Arial"/>
          <w:color w:val="000000" w:themeColor="text1"/>
          <w:sz w:val="22"/>
          <w:szCs w:val="22"/>
          <w:lang w:eastAsia="en-US"/>
        </w:rPr>
        <w:t xml:space="preserve">Mezinárodní standardní klasifikaci zaměstnání </w:t>
      </w:r>
      <w:r>
        <w:rPr>
          <w:rFonts w:ascii="Arial" w:eastAsiaTheme="minorHAnsi" w:hAnsi="Arial" w:cs="Arial"/>
          <w:color w:val="000000" w:themeColor="text1"/>
          <w:sz w:val="22"/>
          <w:szCs w:val="22"/>
          <w:lang w:eastAsia="en-US"/>
        </w:rPr>
        <w:t>(</w:t>
      </w:r>
      <w:r w:rsidRPr="005C3F32">
        <w:rPr>
          <w:rFonts w:ascii="Arial" w:eastAsiaTheme="minorHAnsi" w:hAnsi="Arial" w:cs="Arial"/>
          <w:color w:val="000000" w:themeColor="text1"/>
          <w:sz w:val="22"/>
          <w:szCs w:val="22"/>
          <w:lang w:eastAsia="en-US"/>
        </w:rPr>
        <w:t xml:space="preserve">International Standard </w:t>
      </w:r>
      <w:proofErr w:type="spellStart"/>
      <w:r w:rsidRPr="005C3F32">
        <w:rPr>
          <w:rFonts w:ascii="Arial" w:eastAsiaTheme="minorHAnsi" w:hAnsi="Arial" w:cs="Arial"/>
          <w:color w:val="000000" w:themeColor="text1"/>
          <w:sz w:val="22"/>
          <w:szCs w:val="22"/>
          <w:lang w:eastAsia="en-US"/>
        </w:rPr>
        <w:t>Classification</w:t>
      </w:r>
      <w:proofErr w:type="spellEnd"/>
      <w:r w:rsidRPr="005C3F32">
        <w:rPr>
          <w:rFonts w:ascii="Arial" w:eastAsiaTheme="minorHAnsi" w:hAnsi="Arial" w:cs="Arial"/>
          <w:color w:val="000000" w:themeColor="text1"/>
          <w:sz w:val="22"/>
          <w:szCs w:val="22"/>
          <w:lang w:eastAsia="en-US"/>
        </w:rPr>
        <w:t xml:space="preserve"> </w:t>
      </w:r>
      <w:proofErr w:type="spellStart"/>
      <w:r w:rsidRPr="005C3F32">
        <w:rPr>
          <w:rFonts w:ascii="Arial" w:eastAsiaTheme="minorHAnsi" w:hAnsi="Arial" w:cs="Arial"/>
          <w:color w:val="000000" w:themeColor="text1"/>
          <w:sz w:val="22"/>
          <w:szCs w:val="22"/>
          <w:lang w:eastAsia="en-US"/>
        </w:rPr>
        <w:t>of</w:t>
      </w:r>
      <w:proofErr w:type="spellEnd"/>
      <w:r w:rsidRPr="005C3F32">
        <w:rPr>
          <w:rFonts w:ascii="Arial" w:eastAsiaTheme="minorHAnsi" w:hAnsi="Arial" w:cs="Arial"/>
          <w:color w:val="000000" w:themeColor="text1"/>
          <w:sz w:val="22"/>
          <w:szCs w:val="22"/>
          <w:lang w:eastAsia="en-US"/>
        </w:rPr>
        <w:t xml:space="preserve"> </w:t>
      </w:r>
      <w:proofErr w:type="spellStart"/>
      <w:r w:rsidRPr="005C3F32">
        <w:rPr>
          <w:rFonts w:ascii="Arial" w:eastAsiaTheme="minorHAnsi" w:hAnsi="Arial" w:cs="Arial"/>
          <w:color w:val="000000" w:themeColor="text1"/>
          <w:sz w:val="22"/>
          <w:szCs w:val="22"/>
          <w:lang w:eastAsia="en-US"/>
        </w:rPr>
        <w:t>Occupations</w:t>
      </w:r>
      <w:proofErr w:type="spellEnd"/>
      <w:r>
        <w:rPr>
          <w:rFonts w:ascii="Arial" w:eastAsiaTheme="minorHAnsi" w:hAnsi="Arial" w:cs="Arial"/>
          <w:color w:val="000000" w:themeColor="text1"/>
          <w:sz w:val="22"/>
          <w:szCs w:val="22"/>
          <w:lang w:eastAsia="en-US"/>
        </w:rPr>
        <w:t>)</w:t>
      </w:r>
    </w:p>
    <w:p w14:paraId="359F0F78" w14:textId="32F16C92" w:rsidR="00653272" w:rsidRDefault="00653272" w:rsidP="001A6162">
      <w:pPr>
        <w:spacing w:line="276" w:lineRule="auto"/>
        <w:ind w:left="2268" w:hanging="2268"/>
        <w:rPr>
          <w:rFonts w:ascii="Arial" w:eastAsiaTheme="minorHAnsi" w:hAnsi="Arial" w:cs="Arial"/>
          <w:color w:val="000000" w:themeColor="text1"/>
          <w:sz w:val="22"/>
          <w:szCs w:val="22"/>
          <w:lang w:eastAsia="en-US"/>
        </w:rPr>
      </w:pPr>
      <w:r>
        <w:rPr>
          <w:rFonts w:ascii="Arial" w:eastAsiaTheme="minorHAnsi" w:hAnsi="Arial" w:cs="Arial"/>
          <w:color w:val="000000" w:themeColor="text1"/>
          <w:sz w:val="22"/>
          <w:szCs w:val="22"/>
          <w:lang w:eastAsia="en-US"/>
        </w:rPr>
        <w:t>IPRÚ</w:t>
      </w:r>
      <w:r>
        <w:rPr>
          <w:rFonts w:ascii="Arial" w:eastAsiaTheme="minorHAnsi" w:hAnsi="Arial" w:cs="Arial"/>
          <w:color w:val="000000" w:themeColor="text1"/>
          <w:sz w:val="22"/>
          <w:szCs w:val="22"/>
          <w:lang w:eastAsia="en-US"/>
        </w:rPr>
        <w:tab/>
        <w:t>i</w:t>
      </w:r>
      <w:r w:rsidRPr="00653272">
        <w:rPr>
          <w:rFonts w:ascii="Arial" w:eastAsiaTheme="minorHAnsi" w:hAnsi="Arial" w:cs="Arial"/>
          <w:color w:val="000000" w:themeColor="text1"/>
          <w:sz w:val="22"/>
          <w:szCs w:val="22"/>
          <w:lang w:eastAsia="en-US"/>
        </w:rPr>
        <w:t>ntegrovaný plán rozvoje území</w:t>
      </w:r>
    </w:p>
    <w:p w14:paraId="41F40976" w14:textId="4971BE9A" w:rsidR="00653A6E" w:rsidRPr="001A6162" w:rsidRDefault="00653A6E" w:rsidP="001A6162">
      <w:pPr>
        <w:spacing w:line="276" w:lineRule="auto"/>
        <w:ind w:left="2268" w:hanging="2268"/>
        <w:rPr>
          <w:rFonts w:ascii="Arial" w:eastAsiaTheme="minorHAnsi" w:hAnsi="Arial" w:cs="Arial"/>
          <w:color w:val="000000" w:themeColor="text1"/>
          <w:sz w:val="22"/>
          <w:szCs w:val="22"/>
          <w:lang w:eastAsia="en-US"/>
        </w:rPr>
      </w:pPr>
      <w:r>
        <w:rPr>
          <w:rFonts w:ascii="Arial" w:eastAsiaTheme="minorHAnsi" w:hAnsi="Arial" w:cs="Arial"/>
          <w:color w:val="000000" w:themeColor="text1"/>
          <w:sz w:val="22"/>
          <w:szCs w:val="22"/>
          <w:lang w:eastAsia="en-US"/>
        </w:rPr>
        <w:t>ITI</w:t>
      </w:r>
      <w:r>
        <w:rPr>
          <w:rFonts w:ascii="Arial" w:eastAsiaTheme="minorHAnsi" w:hAnsi="Arial" w:cs="Arial"/>
          <w:color w:val="000000" w:themeColor="text1"/>
          <w:sz w:val="22"/>
          <w:szCs w:val="22"/>
          <w:lang w:eastAsia="en-US"/>
        </w:rPr>
        <w:tab/>
      </w:r>
      <w:r w:rsidR="00653272">
        <w:rPr>
          <w:rFonts w:ascii="Arial" w:eastAsiaTheme="minorHAnsi" w:hAnsi="Arial" w:cs="Arial"/>
          <w:color w:val="000000" w:themeColor="text1"/>
          <w:sz w:val="22"/>
          <w:szCs w:val="22"/>
          <w:lang w:eastAsia="en-US"/>
        </w:rPr>
        <w:t>i</w:t>
      </w:r>
      <w:r w:rsidRPr="00653A6E">
        <w:rPr>
          <w:rFonts w:ascii="Arial" w:eastAsiaTheme="minorHAnsi" w:hAnsi="Arial" w:cs="Arial"/>
          <w:color w:val="000000" w:themeColor="text1"/>
          <w:sz w:val="22"/>
          <w:szCs w:val="22"/>
          <w:lang w:eastAsia="en-US"/>
        </w:rPr>
        <w:t>ntegrované územní investice</w:t>
      </w:r>
      <w:r>
        <w:rPr>
          <w:rFonts w:ascii="Arial" w:eastAsiaTheme="minorHAnsi" w:hAnsi="Arial" w:cs="Arial"/>
          <w:color w:val="000000" w:themeColor="text1"/>
          <w:sz w:val="22"/>
          <w:szCs w:val="22"/>
          <w:lang w:eastAsia="en-US"/>
        </w:rPr>
        <w:t xml:space="preserve"> (</w:t>
      </w:r>
      <w:proofErr w:type="spellStart"/>
      <w:r w:rsidRPr="00653A6E">
        <w:rPr>
          <w:rFonts w:ascii="Arial" w:eastAsiaTheme="minorHAnsi" w:hAnsi="Arial" w:cs="Arial"/>
          <w:color w:val="000000" w:themeColor="text1"/>
          <w:sz w:val="22"/>
          <w:szCs w:val="22"/>
          <w:lang w:eastAsia="en-US"/>
        </w:rPr>
        <w:t>Integrated</w:t>
      </w:r>
      <w:proofErr w:type="spellEnd"/>
      <w:r w:rsidRPr="00653A6E">
        <w:rPr>
          <w:rFonts w:ascii="Arial" w:eastAsiaTheme="minorHAnsi" w:hAnsi="Arial" w:cs="Arial"/>
          <w:color w:val="000000" w:themeColor="text1"/>
          <w:sz w:val="22"/>
          <w:szCs w:val="22"/>
          <w:lang w:eastAsia="en-US"/>
        </w:rPr>
        <w:t xml:space="preserve"> </w:t>
      </w:r>
      <w:proofErr w:type="spellStart"/>
      <w:r w:rsidRPr="00653A6E">
        <w:rPr>
          <w:rFonts w:ascii="Arial" w:eastAsiaTheme="minorHAnsi" w:hAnsi="Arial" w:cs="Arial"/>
          <w:color w:val="000000" w:themeColor="text1"/>
          <w:sz w:val="22"/>
          <w:szCs w:val="22"/>
          <w:lang w:eastAsia="en-US"/>
        </w:rPr>
        <w:t>Territorial</w:t>
      </w:r>
      <w:proofErr w:type="spellEnd"/>
      <w:r w:rsidRPr="00653A6E">
        <w:rPr>
          <w:rFonts w:ascii="Arial" w:eastAsiaTheme="minorHAnsi" w:hAnsi="Arial" w:cs="Arial"/>
          <w:color w:val="000000" w:themeColor="text1"/>
          <w:sz w:val="22"/>
          <w:szCs w:val="22"/>
          <w:lang w:eastAsia="en-US"/>
        </w:rPr>
        <w:t xml:space="preserve"> </w:t>
      </w:r>
      <w:proofErr w:type="spellStart"/>
      <w:r w:rsidRPr="00653A6E">
        <w:rPr>
          <w:rFonts w:ascii="Arial" w:eastAsiaTheme="minorHAnsi" w:hAnsi="Arial" w:cs="Arial"/>
          <w:color w:val="000000" w:themeColor="text1"/>
          <w:sz w:val="22"/>
          <w:szCs w:val="22"/>
          <w:lang w:eastAsia="en-US"/>
        </w:rPr>
        <w:t>Investments</w:t>
      </w:r>
      <w:proofErr w:type="spellEnd"/>
      <w:r>
        <w:rPr>
          <w:rFonts w:ascii="Arial" w:eastAsiaTheme="minorHAnsi" w:hAnsi="Arial" w:cs="Arial"/>
          <w:color w:val="000000" w:themeColor="text1"/>
          <w:sz w:val="22"/>
          <w:szCs w:val="22"/>
          <w:lang w:eastAsia="en-US"/>
        </w:rPr>
        <w:t>)</w:t>
      </w:r>
    </w:p>
    <w:p w14:paraId="3E87FA6A" w14:textId="2F87650E"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Pr>
          <w:rFonts w:ascii="Arial" w:eastAsiaTheme="minorHAnsi" w:hAnsi="Arial" w:cs="Arial"/>
          <w:color w:val="000000" w:themeColor="text1"/>
          <w:sz w:val="22"/>
          <w:szCs w:val="22"/>
          <w:lang w:eastAsia="en-US"/>
        </w:rPr>
        <w:t>KPP</w:t>
      </w:r>
      <w:r>
        <w:rPr>
          <w:rFonts w:ascii="Arial" w:eastAsiaTheme="minorHAnsi" w:hAnsi="Arial" w:cs="Arial"/>
          <w:color w:val="000000" w:themeColor="text1"/>
          <w:sz w:val="22"/>
          <w:szCs w:val="22"/>
          <w:lang w:eastAsia="en-US"/>
        </w:rPr>
        <w:tab/>
        <w:t>K</w:t>
      </w:r>
      <w:r w:rsidRPr="001A6162">
        <w:rPr>
          <w:rFonts w:ascii="Arial" w:eastAsiaTheme="minorHAnsi" w:hAnsi="Arial" w:cs="Arial"/>
          <w:color w:val="000000" w:themeColor="text1"/>
          <w:sz w:val="22"/>
          <w:szCs w:val="22"/>
          <w:lang w:eastAsia="en-US"/>
        </w:rPr>
        <w:t>omplexní průzkum půd</w:t>
      </w:r>
    </w:p>
    <w:p w14:paraId="019E96D1" w14:textId="1367C869"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Pr>
          <w:rFonts w:ascii="Arial" w:eastAsiaTheme="minorHAnsi" w:hAnsi="Arial" w:cs="Arial"/>
          <w:color w:val="000000" w:themeColor="text1"/>
          <w:sz w:val="22"/>
          <w:szCs w:val="22"/>
          <w:lang w:eastAsia="en-US"/>
        </w:rPr>
        <w:t>LAU</w:t>
      </w:r>
      <w:r>
        <w:rPr>
          <w:rFonts w:ascii="Arial" w:eastAsiaTheme="minorHAnsi" w:hAnsi="Arial" w:cs="Arial"/>
          <w:color w:val="000000" w:themeColor="text1"/>
          <w:sz w:val="22"/>
          <w:szCs w:val="22"/>
          <w:lang w:eastAsia="en-US"/>
        </w:rPr>
        <w:tab/>
        <w:t>l</w:t>
      </w:r>
      <w:r w:rsidRPr="001A6162">
        <w:rPr>
          <w:rFonts w:ascii="Arial" w:eastAsiaTheme="minorHAnsi" w:hAnsi="Arial" w:cs="Arial"/>
          <w:color w:val="000000" w:themeColor="text1"/>
          <w:sz w:val="22"/>
          <w:szCs w:val="22"/>
          <w:lang w:eastAsia="en-US"/>
        </w:rPr>
        <w:t>okální administrativní jednotky</w:t>
      </w:r>
      <w:r w:rsidR="005C3F32">
        <w:rPr>
          <w:rFonts w:ascii="Arial" w:eastAsiaTheme="minorHAnsi" w:hAnsi="Arial" w:cs="Arial"/>
          <w:color w:val="000000" w:themeColor="text1"/>
          <w:sz w:val="22"/>
          <w:szCs w:val="22"/>
          <w:lang w:eastAsia="en-US"/>
        </w:rPr>
        <w:t xml:space="preserve"> (</w:t>
      </w:r>
      <w:proofErr w:type="spellStart"/>
      <w:r w:rsidR="005C3F32">
        <w:rPr>
          <w:rFonts w:ascii="Arial" w:eastAsiaTheme="minorHAnsi" w:hAnsi="Arial" w:cs="Arial"/>
          <w:color w:val="000000" w:themeColor="text1"/>
          <w:sz w:val="22"/>
          <w:szCs w:val="22"/>
          <w:lang w:eastAsia="en-US"/>
        </w:rPr>
        <w:t>Local</w:t>
      </w:r>
      <w:proofErr w:type="spellEnd"/>
      <w:r w:rsidR="005C3F32">
        <w:rPr>
          <w:rFonts w:ascii="Arial" w:eastAsiaTheme="minorHAnsi" w:hAnsi="Arial" w:cs="Arial"/>
          <w:color w:val="000000" w:themeColor="text1"/>
          <w:sz w:val="22"/>
          <w:szCs w:val="22"/>
          <w:lang w:eastAsia="en-US"/>
        </w:rPr>
        <w:t xml:space="preserve"> </w:t>
      </w:r>
      <w:proofErr w:type="spellStart"/>
      <w:r w:rsidR="005C3F32">
        <w:rPr>
          <w:rFonts w:ascii="Arial" w:eastAsiaTheme="minorHAnsi" w:hAnsi="Arial" w:cs="Arial"/>
          <w:color w:val="000000" w:themeColor="text1"/>
          <w:sz w:val="22"/>
          <w:szCs w:val="22"/>
          <w:lang w:eastAsia="en-US"/>
        </w:rPr>
        <w:t>Administrative</w:t>
      </w:r>
      <w:proofErr w:type="spellEnd"/>
      <w:r w:rsidR="005C3F32">
        <w:rPr>
          <w:rFonts w:ascii="Arial" w:eastAsiaTheme="minorHAnsi" w:hAnsi="Arial" w:cs="Arial"/>
          <w:color w:val="000000" w:themeColor="text1"/>
          <w:sz w:val="22"/>
          <w:szCs w:val="22"/>
          <w:lang w:eastAsia="en-US"/>
        </w:rPr>
        <w:t xml:space="preserve"> </w:t>
      </w:r>
      <w:proofErr w:type="spellStart"/>
      <w:r w:rsidR="005C3F32">
        <w:rPr>
          <w:rFonts w:ascii="Arial" w:eastAsiaTheme="minorHAnsi" w:hAnsi="Arial" w:cs="Arial"/>
          <w:color w:val="000000" w:themeColor="text1"/>
          <w:sz w:val="22"/>
          <w:szCs w:val="22"/>
          <w:lang w:eastAsia="en-US"/>
        </w:rPr>
        <w:t>Units</w:t>
      </w:r>
      <w:proofErr w:type="spellEnd"/>
      <w:r w:rsidR="005C3F32">
        <w:rPr>
          <w:rFonts w:ascii="Arial" w:eastAsiaTheme="minorHAnsi" w:hAnsi="Arial" w:cs="Arial"/>
          <w:color w:val="000000" w:themeColor="text1"/>
          <w:sz w:val="22"/>
          <w:szCs w:val="22"/>
          <w:lang w:eastAsia="en-US"/>
        </w:rPr>
        <w:t>)</w:t>
      </w:r>
    </w:p>
    <w:p w14:paraId="3C0C8F64" w14:textId="4458DF36"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proofErr w:type="spellStart"/>
      <w:r>
        <w:rPr>
          <w:rFonts w:ascii="Arial" w:eastAsiaTheme="minorHAnsi" w:hAnsi="Arial" w:cs="Arial"/>
          <w:color w:val="000000" w:themeColor="text1"/>
          <w:sz w:val="22"/>
          <w:szCs w:val="22"/>
          <w:lang w:eastAsia="en-US"/>
        </w:rPr>
        <w:t>Ldvn</w:t>
      </w:r>
      <w:proofErr w:type="spellEnd"/>
      <w:r>
        <w:rPr>
          <w:rFonts w:ascii="Arial" w:eastAsiaTheme="minorHAnsi" w:hAnsi="Arial" w:cs="Arial"/>
          <w:color w:val="000000" w:themeColor="text1"/>
          <w:sz w:val="22"/>
          <w:szCs w:val="22"/>
          <w:lang w:eastAsia="en-US"/>
        </w:rPr>
        <w:tab/>
        <w:t>h</w:t>
      </w:r>
      <w:r w:rsidRPr="001A6162">
        <w:rPr>
          <w:rFonts w:ascii="Arial" w:eastAsiaTheme="minorHAnsi" w:hAnsi="Arial" w:cs="Arial"/>
          <w:color w:val="000000" w:themeColor="text1"/>
          <w:sz w:val="22"/>
          <w:szCs w:val="22"/>
          <w:lang w:eastAsia="en-US"/>
        </w:rPr>
        <w:t>lukové ukazatele pro den-večer-noc</w:t>
      </w:r>
    </w:p>
    <w:p w14:paraId="48E5C366" w14:textId="37961F66"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proofErr w:type="spellStart"/>
      <w:r>
        <w:rPr>
          <w:rFonts w:ascii="Arial" w:eastAsiaTheme="minorHAnsi" w:hAnsi="Arial" w:cs="Arial"/>
          <w:color w:val="000000" w:themeColor="text1"/>
          <w:sz w:val="22"/>
          <w:szCs w:val="22"/>
          <w:lang w:eastAsia="en-US"/>
        </w:rPr>
        <w:t>Ln</w:t>
      </w:r>
      <w:proofErr w:type="spellEnd"/>
      <w:r>
        <w:rPr>
          <w:rFonts w:ascii="Arial" w:eastAsiaTheme="minorHAnsi" w:hAnsi="Arial" w:cs="Arial"/>
          <w:color w:val="000000" w:themeColor="text1"/>
          <w:sz w:val="22"/>
          <w:szCs w:val="22"/>
          <w:lang w:eastAsia="en-US"/>
        </w:rPr>
        <w:tab/>
        <w:t>h</w:t>
      </w:r>
      <w:r w:rsidRPr="001A6162">
        <w:rPr>
          <w:rFonts w:ascii="Arial" w:eastAsiaTheme="minorHAnsi" w:hAnsi="Arial" w:cs="Arial"/>
          <w:color w:val="000000" w:themeColor="text1"/>
          <w:sz w:val="22"/>
          <w:szCs w:val="22"/>
          <w:lang w:eastAsia="en-US"/>
        </w:rPr>
        <w:t>lukové ukazatele pro noc</w:t>
      </w:r>
    </w:p>
    <w:p w14:paraId="3185FDB7" w14:textId="5DC8DDE3"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LNG</w:t>
      </w:r>
      <w:r w:rsidRPr="001A6162">
        <w:rPr>
          <w:rFonts w:ascii="Arial" w:eastAsiaTheme="minorHAnsi" w:hAnsi="Arial" w:cs="Arial"/>
          <w:color w:val="000000" w:themeColor="text1"/>
          <w:sz w:val="22"/>
          <w:szCs w:val="22"/>
          <w:lang w:eastAsia="en-US"/>
        </w:rPr>
        <w:tab/>
      </w:r>
      <w:r>
        <w:rPr>
          <w:rFonts w:ascii="Arial" w:eastAsiaTheme="minorHAnsi" w:hAnsi="Arial" w:cs="Arial"/>
          <w:color w:val="000000" w:themeColor="text1"/>
          <w:sz w:val="22"/>
          <w:szCs w:val="22"/>
          <w:lang w:eastAsia="en-US"/>
        </w:rPr>
        <w:t>z</w:t>
      </w:r>
      <w:r w:rsidRPr="001A6162">
        <w:rPr>
          <w:rFonts w:ascii="Arial" w:eastAsiaTheme="minorHAnsi" w:hAnsi="Arial" w:cs="Arial"/>
          <w:color w:val="000000" w:themeColor="text1"/>
          <w:sz w:val="22"/>
          <w:szCs w:val="22"/>
          <w:lang w:eastAsia="en-US"/>
        </w:rPr>
        <w:t>kapalněný zemní plyn (</w:t>
      </w:r>
      <w:proofErr w:type="spellStart"/>
      <w:r w:rsidRPr="001A6162">
        <w:rPr>
          <w:rFonts w:ascii="Arial" w:eastAsiaTheme="minorHAnsi" w:hAnsi="Arial" w:cs="Arial"/>
          <w:color w:val="000000" w:themeColor="text1"/>
          <w:sz w:val="22"/>
          <w:szCs w:val="22"/>
          <w:lang w:eastAsia="en-US"/>
        </w:rPr>
        <w:t>Liquefied</w:t>
      </w:r>
      <w:proofErr w:type="spellEnd"/>
      <w:r w:rsidRPr="001A6162">
        <w:rPr>
          <w:rFonts w:ascii="Arial" w:eastAsiaTheme="minorHAnsi" w:hAnsi="Arial" w:cs="Arial"/>
          <w:color w:val="000000" w:themeColor="text1"/>
          <w:sz w:val="22"/>
          <w:szCs w:val="22"/>
          <w:lang w:eastAsia="en-US"/>
        </w:rPr>
        <w:t xml:space="preserve"> Natural </w:t>
      </w:r>
      <w:proofErr w:type="spellStart"/>
      <w:r w:rsidRPr="001A6162">
        <w:rPr>
          <w:rFonts w:ascii="Arial" w:eastAsiaTheme="minorHAnsi" w:hAnsi="Arial" w:cs="Arial"/>
          <w:color w:val="000000" w:themeColor="text1"/>
          <w:sz w:val="22"/>
          <w:szCs w:val="22"/>
          <w:lang w:eastAsia="en-US"/>
        </w:rPr>
        <w:t>Gas</w:t>
      </w:r>
      <w:proofErr w:type="spellEnd"/>
      <w:r w:rsidRPr="001A6162">
        <w:rPr>
          <w:rFonts w:ascii="Arial" w:eastAsiaTheme="minorHAnsi" w:hAnsi="Arial" w:cs="Arial"/>
          <w:color w:val="000000" w:themeColor="text1"/>
          <w:sz w:val="22"/>
          <w:szCs w:val="22"/>
          <w:lang w:eastAsia="en-US"/>
        </w:rPr>
        <w:t>)</w:t>
      </w:r>
    </w:p>
    <w:p w14:paraId="7C633144" w14:textId="77777777"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LPIS</w:t>
      </w:r>
      <w:r w:rsidRPr="001A6162">
        <w:rPr>
          <w:rFonts w:ascii="Arial" w:eastAsiaTheme="minorHAnsi" w:hAnsi="Arial" w:cs="Arial"/>
          <w:color w:val="000000" w:themeColor="text1"/>
          <w:sz w:val="22"/>
          <w:szCs w:val="22"/>
          <w:lang w:eastAsia="en-US"/>
        </w:rPr>
        <w:tab/>
        <w:t>Veřejný registr půdy</w:t>
      </w:r>
    </w:p>
    <w:p w14:paraId="0465EB1A" w14:textId="2D92C3A0" w:rsidR="001A6162" w:rsidRPr="001A6162" w:rsidRDefault="0095720A" w:rsidP="001A6162">
      <w:pPr>
        <w:spacing w:line="276" w:lineRule="auto"/>
        <w:ind w:left="2268" w:hanging="2268"/>
        <w:rPr>
          <w:rFonts w:ascii="Arial" w:eastAsiaTheme="minorHAnsi" w:hAnsi="Arial" w:cs="Arial"/>
          <w:color w:val="000000" w:themeColor="text1"/>
          <w:sz w:val="22"/>
          <w:szCs w:val="22"/>
          <w:lang w:eastAsia="en-US"/>
        </w:rPr>
      </w:pPr>
      <w:r>
        <w:rPr>
          <w:rFonts w:ascii="Arial" w:eastAsiaTheme="minorHAnsi" w:hAnsi="Arial" w:cs="Arial"/>
          <w:color w:val="000000" w:themeColor="text1"/>
          <w:sz w:val="22"/>
          <w:szCs w:val="22"/>
          <w:lang w:eastAsia="en-US"/>
        </w:rPr>
        <w:t>LULUCF</w:t>
      </w:r>
      <w:r>
        <w:rPr>
          <w:rFonts w:ascii="Arial" w:eastAsiaTheme="minorHAnsi" w:hAnsi="Arial" w:cs="Arial"/>
          <w:color w:val="000000" w:themeColor="text1"/>
          <w:sz w:val="22"/>
          <w:szCs w:val="22"/>
          <w:lang w:eastAsia="en-US"/>
        </w:rPr>
        <w:tab/>
        <w:t>v</w:t>
      </w:r>
      <w:r w:rsidR="001A6162" w:rsidRPr="001A6162">
        <w:rPr>
          <w:rFonts w:ascii="Arial" w:eastAsiaTheme="minorHAnsi" w:hAnsi="Arial" w:cs="Arial"/>
          <w:color w:val="000000" w:themeColor="text1"/>
          <w:sz w:val="22"/>
          <w:szCs w:val="22"/>
          <w:lang w:eastAsia="en-US"/>
        </w:rPr>
        <w:t xml:space="preserve">yužívání krajiny, změny ve využívání krajiny a lesnictví (Land Use, Land Use </w:t>
      </w:r>
      <w:proofErr w:type="spellStart"/>
      <w:r w:rsidR="001A6162" w:rsidRPr="001A6162">
        <w:rPr>
          <w:rFonts w:ascii="Arial" w:eastAsiaTheme="minorHAnsi" w:hAnsi="Arial" w:cs="Arial"/>
          <w:color w:val="000000" w:themeColor="text1"/>
          <w:sz w:val="22"/>
          <w:szCs w:val="22"/>
          <w:lang w:eastAsia="en-US"/>
        </w:rPr>
        <w:t>Change</w:t>
      </w:r>
      <w:proofErr w:type="spellEnd"/>
      <w:r w:rsidR="001A6162" w:rsidRPr="001A6162">
        <w:rPr>
          <w:rFonts w:ascii="Arial" w:eastAsiaTheme="minorHAnsi" w:hAnsi="Arial" w:cs="Arial"/>
          <w:color w:val="000000" w:themeColor="text1"/>
          <w:sz w:val="22"/>
          <w:szCs w:val="22"/>
          <w:lang w:eastAsia="en-US"/>
        </w:rPr>
        <w:t xml:space="preserve"> and </w:t>
      </w:r>
      <w:proofErr w:type="spellStart"/>
      <w:r w:rsidR="001A6162" w:rsidRPr="001A6162">
        <w:rPr>
          <w:rFonts w:ascii="Arial" w:eastAsiaTheme="minorHAnsi" w:hAnsi="Arial" w:cs="Arial"/>
          <w:color w:val="000000" w:themeColor="text1"/>
          <w:sz w:val="22"/>
          <w:szCs w:val="22"/>
          <w:lang w:eastAsia="en-US"/>
        </w:rPr>
        <w:t>Forestry</w:t>
      </w:r>
      <w:proofErr w:type="spellEnd"/>
      <w:r w:rsidR="001A6162" w:rsidRPr="001A6162">
        <w:rPr>
          <w:rFonts w:ascii="Arial" w:eastAsiaTheme="minorHAnsi" w:hAnsi="Arial" w:cs="Arial"/>
          <w:color w:val="000000" w:themeColor="text1"/>
          <w:sz w:val="22"/>
          <w:szCs w:val="22"/>
          <w:lang w:eastAsia="en-US"/>
        </w:rPr>
        <w:t>)</w:t>
      </w:r>
    </w:p>
    <w:p w14:paraId="54F8FF6A" w14:textId="77777777"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MA21</w:t>
      </w:r>
      <w:r w:rsidRPr="001A6162">
        <w:rPr>
          <w:rFonts w:ascii="Arial" w:eastAsiaTheme="minorHAnsi" w:hAnsi="Arial" w:cs="Arial"/>
          <w:color w:val="000000" w:themeColor="text1"/>
          <w:sz w:val="22"/>
          <w:szCs w:val="22"/>
          <w:lang w:eastAsia="en-US"/>
        </w:rPr>
        <w:tab/>
        <w:t>Místní agenda 21</w:t>
      </w:r>
    </w:p>
    <w:p w14:paraId="6F6B5D79" w14:textId="77777777"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MAS</w:t>
      </w:r>
      <w:r w:rsidRPr="001A6162">
        <w:rPr>
          <w:rFonts w:ascii="Arial" w:eastAsiaTheme="minorHAnsi" w:hAnsi="Arial" w:cs="Arial"/>
          <w:color w:val="000000" w:themeColor="text1"/>
          <w:sz w:val="22"/>
          <w:szCs w:val="22"/>
          <w:lang w:eastAsia="en-US"/>
        </w:rPr>
        <w:tab/>
        <w:t>Místní akční skupina</w:t>
      </w:r>
    </w:p>
    <w:p w14:paraId="04EDCE3E" w14:textId="0C6D2A8C"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Pr>
          <w:rFonts w:ascii="Arial" w:eastAsiaTheme="minorHAnsi" w:hAnsi="Arial" w:cs="Arial"/>
          <w:color w:val="000000" w:themeColor="text1"/>
          <w:sz w:val="22"/>
          <w:szCs w:val="22"/>
          <w:lang w:eastAsia="en-US"/>
        </w:rPr>
        <w:t>MHD</w:t>
      </w:r>
      <w:r>
        <w:rPr>
          <w:rFonts w:ascii="Arial" w:eastAsiaTheme="minorHAnsi" w:hAnsi="Arial" w:cs="Arial"/>
          <w:color w:val="000000" w:themeColor="text1"/>
          <w:sz w:val="22"/>
          <w:szCs w:val="22"/>
          <w:lang w:eastAsia="en-US"/>
        </w:rPr>
        <w:tab/>
      </w:r>
      <w:r w:rsidR="0095720A">
        <w:rPr>
          <w:rFonts w:ascii="Arial" w:eastAsiaTheme="minorHAnsi" w:hAnsi="Arial" w:cs="Arial"/>
          <w:color w:val="000000" w:themeColor="text1"/>
          <w:sz w:val="22"/>
          <w:szCs w:val="22"/>
          <w:lang w:eastAsia="en-US"/>
        </w:rPr>
        <w:t>m</w:t>
      </w:r>
      <w:r w:rsidRPr="001A6162">
        <w:rPr>
          <w:rFonts w:ascii="Arial" w:eastAsiaTheme="minorHAnsi" w:hAnsi="Arial" w:cs="Arial"/>
          <w:color w:val="000000" w:themeColor="text1"/>
          <w:sz w:val="22"/>
          <w:szCs w:val="22"/>
          <w:lang w:eastAsia="en-US"/>
        </w:rPr>
        <w:t>ěstská hromadná doprava</w:t>
      </w:r>
    </w:p>
    <w:p w14:paraId="320DC790" w14:textId="77777777"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MMR</w:t>
      </w:r>
      <w:r w:rsidRPr="001A6162">
        <w:rPr>
          <w:rFonts w:ascii="Arial" w:eastAsiaTheme="minorHAnsi" w:hAnsi="Arial" w:cs="Arial"/>
          <w:color w:val="000000" w:themeColor="text1"/>
          <w:sz w:val="22"/>
          <w:szCs w:val="22"/>
          <w:lang w:eastAsia="en-US"/>
        </w:rPr>
        <w:tab/>
        <w:t>Ministerstvo pro místní rozvoj</w:t>
      </w:r>
    </w:p>
    <w:p w14:paraId="55ADAB24" w14:textId="77777777"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MPO</w:t>
      </w:r>
      <w:r w:rsidRPr="001A6162">
        <w:rPr>
          <w:rFonts w:ascii="Arial" w:eastAsiaTheme="minorHAnsi" w:hAnsi="Arial" w:cs="Arial"/>
          <w:color w:val="000000" w:themeColor="text1"/>
          <w:sz w:val="22"/>
          <w:szCs w:val="22"/>
          <w:lang w:eastAsia="en-US"/>
        </w:rPr>
        <w:tab/>
        <w:t>Ministerstvo průmyslu a obchodu</w:t>
      </w:r>
    </w:p>
    <w:p w14:paraId="028B5707" w14:textId="77777777"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MPSV</w:t>
      </w:r>
      <w:r w:rsidRPr="001A6162">
        <w:rPr>
          <w:rFonts w:ascii="Arial" w:eastAsiaTheme="minorHAnsi" w:hAnsi="Arial" w:cs="Arial"/>
          <w:color w:val="000000" w:themeColor="text1"/>
          <w:sz w:val="22"/>
          <w:szCs w:val="22"/>
          <w:lang w:eastAsia="en-US"/>
        </w:rPr>
        <w:tab/>
        <w:t>Ministerstvo práce a sociálních věcí</w:t>
      </w:r>
    </w:p>
    <w:p w14:paraId="36965DF1" w14:textId="78A5F184"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MS2014+</w:t>
      </w:r>
      <w:r w:rsidRPr="001A6162">
        <w:rPr>
          <w:rFonts w:ascii="Arial" w:eastAsiaTheme="minorHAnsi" w:hAnsi="Arial" w:cs="Arial"/>
          <w:color w:val="000000" w:themeColor="text1"/>
          <w:sz w:val="22"/>
          <w:szCs w:val="22"/>
          <w:lang w:eastAsia="en-US"/>
        </w:rPr>
        <w:tab/>
      </w:r>
      <w:r w:rsidR="0095720A">
        <w:rPr>
          <w:rFonts w:ascii="Arial" w:eastAsiaTheme="minorHAnsi" w:hAnsi="Arial" w:cs="Arial"/>
          <w:color w:val="000000" w:themeColor="text1"/>
          <w:sz w:val="22"/>
          <w:szCs w:val="22"/>
          <w:lang w:eastAsia="en-US"/>
        </w:rPr>
        <w:t>m</w:t>
      </w:r>
      <w:r w:rsidRPr="001A6162">
        <w:rPr>
          <w:rFonts w:ascii="Arial" w:eastAsiaTheme="minorHAnsi" w:hAnsi="Arial" w:cs="Arial"/>
          <w:color w:val="000000" w:themeColor="text1"/>
          <w:sz w:val="22"/>
          <w:szCs w:val="22"/>
          <w:lang w:eastAsia="en-US"/>
        </w:rPr>
        <w:t>onitorovací systém evropských strukturálních a investičních fondů</w:t>
      </w:r>
    </w:p>
    <w:p w14:paraId="419EBB72" w14:textId="77777777"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MV</w:t>
      </w:r>
      <w:r w:rsidRPr="001A6162">
        <w:rPr>
          <w:rFonts w:ascii="Arial" w:eastAsiaTheme="minorHAnsi" w:hAnsi="Arial" w:cs="Arial"/>
          <w:color w:val="000000" w:themeColor="text1"/>
          <w:sz w:val="22"/>
          <w:szCs w:val="22"/>
          <w:lang w:eastAsia="en-US"/>
        </w:rPr>
        <w:tab/>
        <w:t>Ministerstvo vnitra</w:t>
      </w:r>
    </w:p>
    <w:p w14:paraId="0189ED8B" w14:textId="77777777"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proofErr w:type="spellStart"/>
      <w:r w:rsidRPr="001A6162">
        <w:rPr>
          <w:rFonts w:ascii="Arial" w:eastAsiaTheme="minorHAnsi" w:hAnsi="Arial" w:cs="Arial"/>
          <w:color w:val="000000" w:themeColor="text1"/>
          <w:sz w:val="22"/>
          <w:szCs w:val="22"/>
          <w:lang w:eastAsia="en-US"/>
        </w:rPr>
        <w:t>MZe</w:t>
      </w:r>
      <w:proofErr w:type="spellEnd"/>
      <w:r w:rsidRPr="001A6162">
        <w:rPr>
          <w:rFonts w:ascii="Arial" w:eastAsiaTheme="minorHAnsi" w:hAnsi="Arial" w:cs="Arial"/>
          <w:color w:val="000000" w:themeColor="text1"/>
          <w:sz w:val="22"/>
          <w:szCs w:val="22"/>
          <w:lang w:eastAsia="en-US"/>
        </w:rPr>
        <w:tab/>
        <w:t xml:space="preserve">Ministerstvo zemědělství </w:t>
      </w:r>
    </w:p>
    <w:p w14:paraId="236A9AE8" w14:textId="17FE1C90" w:rsid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MZCHÚ</w:t>
      </w:r>
      <w:r w:rsidRPr="001A6162">
        <w:rPr>
          <w:rFonts w:ascii="Arial" w:eastAsiaTheme="minorHAnsi" w:hAnsi="Arial" w:cs="Arial"/>
          <w:color w:val="000000" w:themeColor="text1"/>
          <w:sz w:val="22"/>
          <w:szCs w:val="22"/>
          <w:lang w:eastAsia="en-US"/>
        </w:rPr>
        <w:tab/>
      </w:r>
      <w:r w:rsidR="0095720A">
        <w:rPr>
          <w:rFonts w:ascii="Arial" w:eastAsiaTheme="minorHAnsi" w:hAnsi="Arial" w:cs="Arial"/>
          <w:color w:val="000000" w:themeColor="text1"/>
          <w:sz w:val="22"/>
          <w:szCs w:val="22"/>
          <w:lang w:eastAsia="en-US"/>
        </w:rPr>
        <w:t>m</w:t>
      </w:r>
      <w:r w:rsidR="005C3F32">
        <w:rPr>
          <w:rFonts w:ascii="Arial" w:eastAsiaTheme="minorHAnsi" w:hAnsi="Arial" w:cs="Arial"/>
          <w:color w:val="000000" w:themeColor="text1"/>
          <w:sz w:val="22"/>
          <w:szCs w:val="22"/>
          <w:lang w:eastAsia="en-US"/>
        </w:rPr>
        <w:t>aloplošn</w:t>
      </w:r>
      <w:r w:rsidR="008C7AAB">
        <w:rPr>
          <w:rFonts w:ascii="Arial" w:eastAsiaTheme="minorHAnsi" w:hAnsi="Arial" w:cs="Arial"/>
          <w:color w:val="000000" w:themeColor="text1"/>
          <w:sz w:val="22"/>
          <w:szCs w:val="22"/>
          <w:lang w:eastAsia="en-US"/>
        </w:rPr>
        <w:t>é</w:t>
      </w:r>
      <w:r w:rsidRPr="001A6162">
        <w:rPr>
          <w:rFonts w:ascii="Arial" w:eastAsiaTheme="minorHAnsi" w:hAnsi="Arial" w:cs="Arial"/>
          <w:color w:val="000000" w:themeColor="text1"/>
          <w:sz w:val="22"/>
          <w:szCs w:val="22"/>
          <w:lang w:eastAsia="en-US"/>
        </w:rPr>
        <w:t xml:space="preserve"> zvláště chráněné území</w:t>
      </w:r>
    </w:p>
    <w:p w14:paraId="4E784CE5" w14:textId="782AC77A" w:rsidR="00F619F4" w:rsidRPr="001A6162" w:rsidRDefault="00F619F4" w:rsidP="001A6162">
      <w:pPr>
        <w:spacing w:line="276" w:lineRule="auto"/>
        <w:ind w:left="2268" w:hanging="2268"/>
        <w:rPr>
          <w:rFonts w:ascii="Arial" w:eastAsiaTheme="minorHAnsi" w:hAnsi="Arial" w:cs="Arial"/>
          <w:color w:val="000000" w:themeColor="text1"/>
          <w:sz w:val="22"/>
          <w:szCs w:val="22"/>
          <w:lang w:eastAsia="en-US"/>
        </w:rPr>
      </w:pPr>
      <w:r>
        <w:rPr>
          <w:rFonts w:ascii="Arial" w:eastAsiaTheme="minorHAnsi" w:hAnsi="Arial" w:cs="Arial"/>
          <w:color w:val="000000" w:themeColor="text1"/>
          <w:sz w:val="22"/>
          <w:szCs w:val="22"/>
          <w:lang w:eastAsia="en-US"/>
        </w:rPr>
        <w:t>MZV</w:t>
      </w:r>
      <w:r>
        <w:rPr>
          <w:rFonts w:ascii="Arial" w:eastAsiaTheme="minorHAnsi" w:hAnsi="Arial" w:cs="Arial"/>
          <w:color w:val="000000" w:themeColor="text1"/>
          <w:sz w:val="22"/>
          <w:szCs w:val="22"/>
          <w:lang w:eastAsia="en-US"/>
        </w:rPr>
        <w:tab/>
        <w:t>Ministerstvo zahraničních věcí</w:t>
      </w:r>
    </w:p>
    <w:p w14:paraId="4BC56C9B" w14:textId="77777777"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MŽP</w:t>
      </w:r>
      <w:r w:rsidRPr="001A6162">
        <w:rPr>
          <w:rFonts w:ascii="Arial" w:eastAsiaTheme="minorHAnsi" w:hAnsi="Arial" w:cs="Arial"/>
          <w:color w:val="000000" w:themeColor="text1"/>
          <w:sz w:val="22"/>
          <w:szCs w:val="22"/>
          <w:lang w:eastAsia="en-US"/>
        </w:rPr>
        <w:tab/>
        <w:t>Ministerstvo životního prostředí</w:t>
      </w:r>
    </w:p>
    <w:p w14:paraId="6FE44FBC" w14:textId="50ABCF9A"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NABS</w:t>
      </w:r>
      <w:r w:rsidRPr="001A6162">
        <w:rPr>
          <w:rFonts w:ascii="Arial" w:eastAsiaTheme="minorHAnsi" w:hAnsi="Arial" w:cs="Arial"/>
          <w:color w:val="000000" w:themeColor="text1"/>
          <w:sz w:val="22"/>
          <w:szCs w:val="22"/>
          <w:lang w:eastAsia="en-US"/>
        </w:rPr>
        <w:tab/>
      </w:r>
      <w:r w:rsidR="005C3F32">
        <w:rPr>
          <w:rFonts w:ascii="Arial" w:eastAsiaTheme="minorHAnsi" w:hAnsi="Arial" w:cs="Arial"/>
          <w:color w:val="000000" w:themeColor="text1"/>
          <w:sz w:val="22"/>
          <w:szCs w:val="22"/>
          <w:lang w:eastAsia="en-US"/>
        </w:rPr>
        <w:t>k</w:t>
      </w:r>
      <w:r w:rsidRPr="001A6162">
        <w:rPr>
          <w:rFonts w:ascii="Arial" w:eastAsiaTheme="minorHAnsi" w:hAnsi="Arial" w:cs="Arial"/>
          <w:color w:val="000000" w:themeColor="text1"/>
          <w:sz w:val="22"/>
          <w:szCs w:val="22"/>
          <w:lang w:eastAsia="en-US"/>
        </w:rPr>
        <w:t>lasifikace socioekonomických cílů</w:t>
      </w:r>
    </w:p>
    <w:p w14:paraId="24D3C43A" w14:textId="38F5A84D"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Pr>
          <w:rFonts w:ascii="Arial" w:eastAsiaTheme="minorHAnsi" w:hAnsi="Arial" w:cs="Arial"/>
          <w:color w:val="000000" w:themeColor="text1"/>
          <w:sz w:val="22"/>
          <w:szCs w:val="22"/>
          <w:lang w:eastAsia="en-US"/>
        </w:rPr>
        <w:t xml:space="preserve">NACE </w:t>
      </w:r>
      <w:r>
        <w:rPr>
          <w:rFonts w:ascii="Arial" w:eastAsiaTheme="minorHAnsi" w:hAnsi="Arial" w:cs="Arial"/>
          <w:color w:val="000000" w:themeColor="text1"/>
          <w:sz w:val="22"/>
          <w:szCs w:val="22"/>
          <w:lang w:eastAsia="en-US"/>
        </w:rPr>
        <w:tab/>
      </w:r>
      <w:r w:rsidR="005C3F32">
        <w:rPr>
          <w:rFonts w:ascii="Arial" w:eastAsiaTheme="minorHAnsi" w:hAnsi="Arial" w:cs="Arial"/>
          <w:color w:val="000000" w:themeColor="text1"/>
          <w:sz w:val="22"/>
          <w:szCs w:val="22"/>
          <w:lang w:eastAsia="en-US"/>
        </w:rPr>
        <w:t>k</w:t>
      </w:r>
      <w:r w:rsidRPr="001A6162">
        <w:rPr>
          <w:rFonts w:ascii="Arial" w:eastAsiaTheme="minorHAnsi" w:hAnsi="Arial" w:cs="Arial"/>
          <w:color w:val="000000" w:themeColor="text1"/>
          <w:sz w:val="22"/>
          <w:szCs w:val="22"/>
          <w:lang w:eastAsia="en-US"/>
        </w:rPr>
        <w:t>lasifikace ekonomických činností</w:t>
      </w:r>
    </w:p>
    <w:p w14:paraId="6B1BB252" w14:textId="420ADED0"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 xml:space="preserve">NACE rev.2 </w:t>
      </w:r>
      <w:r w:rsidRPr="001A6162">
        <w:rPr>
          <w:rFonts w:ascii="Arial" w:eastAsiaTheme="minorHAnsi" w:hAnsi="Arial" w:cs="Arial"/>
          <w:color w:val="000000" w:themeColor="text1"/>
          <w:sz w:val="22"/>
          <w:szCs w:val="22"/>
          <w:lang w:eastAsia="en-US"/>
        </w:rPr>
        <w:tab/>
      </w:r>
      <w:r w:rsidR="005C3F32">
        <w:rPr>
          <w:rFonts w:ascii="Arial" w:eastAsiaTheme="minorHAnsi" w:hAnsi="Arial" w:cs="Arial"/>
          <w:color w:val="000000" w:themeColor="text1"/>
          <w:sz w:val="22"/>
          <w:szCs w:val="22"/>
          <w:lang w:eastAsia="en-US"/>
        </w:rPr>
        <w:t>k</w:t>
      </w:r>
      <w:r w:rsidR="0095720A">
        <w:rPr>
          <w:rFonts w:ascii="Arial" w:eastAsiaTheme="minorHAnsi" w:hAnsi="Arial" w:cs="Arial"/>
          <w:color w:val="000000" w:themeColor="text1"/>
          <w:sz w:val="22"/>
          <w:szCs w:val="22"/>
          <w:lang w:eastAsia="en-US"/>
        </w:rPr>
        <w:t>l</w:t>
      </w:r>
      <w:r w:rsidRPr="001A6162">
        <w:rPr>
          <w:rFonts w:ascii="Arial" w:eastAsiaTheme="minorHAnsi" w:hAnsi="Arial" w:cs="Arial"/>
          <w:color w:val="000000" w:themeColor="text1"/>
          <w:sz w:val="22"/>
          <w:szCs w:val="22"/>
          <w:lang w:eastAsia="en-US"/>
        </w:rPr>
        <w:t xml:space="preserve">asifikace ekonomických činností </w:t>
      </w:r>
      <w:r w:rsidR="005C3F32">
        <w:rPr>
          <w:rFonts w:ascii="Arial" w:eastAsiaTheme="minorHAnsi" w:hAnsi="Arial" w:cs="Arial"/>
          <w:color w:val="000000" w:themeColor="text1"/>
          <w:sz w:val="22"/>
          <w:szCs w:val="22"/>
          <w:lang w:eastAsia="en-US"/>
        </w:rPr>
        <w:t>(</w:t>
      </w:r>
      <w:r w:rsidRPr="001A6162">
        <w:rPr>
          <w:rFonts w:ascii="Arial" w:eastAsiaTheme="minorHAnsi" w:hAnsi="Arial" w:cs="Arial"/>
          <w:color w:val="000000" w:themeColor="text1"/>
          <w:sz w:val="22"/>
          <w:szCs w:val="22"/>
          <w:lang w:eastAsia="en-US"/>
        </w:rPr>
        <w:t>Revize 2</w:t>
      </w:r>
      <w:r w:rsidR="005C3F32">
        <w:rPr>
          <w:rFonts w:ascii="Arial" w:eastAsiaTheme="minorHAnsi" w:hAnsi="Arial" w:cs="Arial"/>
          <w:color w:val="000000" w:themeColor="text1"/>
          <w:sz w:val="22"/>
          <w:szCs w:val="22"/>
          <w:lang w:eastAsia="en-US"/>
        </w:rPr>
        <w:t>)</w:t>
      </w:r>
    </w:p>
    <w:p w14:paraId="2094D80C" w14:textId="4AB1DFD7"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NEPT</w:t>
      </w:r>
      <w:r w:rsidRPr="001A6162">
        <w:rPr>
          <w:rFonts w:ascii="Arial" w:eastAsiaTheme="minorHAnsi" w:hAnsi="Arial" w:cs="Arial"/>
          <w:color w:val="000000" w:themeColor="text1"/>
          <w:sz w:val="22"/>
          <w:szCs w:val="22"/>
          <w:lang w:eastAsia="en-US"/>
        </w:rPr>
        <w:tab/>
      </w:r>
      <w:r w:rsidR="008C7AAB">
        <w:rPr>
          <w:rFonts w:ascii="Arial" w:eastAsiaTheme="minorHAnsi" w:hAnsi="Arial" w:cs="Arial"/>
          <w:color w:val="000000" w:themeColor="text1"/>
          <w:sz w:val="22"/>
          <w:szCs w:val="22"/>
          <w:lang w:eastAsia="en-US"/>
        </w:rPr>
        <w:t>národní experti vysílaní</w:t>
      </w:r>
      <w:r w:rsidR="008C7AAB" w:rsidRPr="008C7AAB">
        <w:rPr>
          <w:rFonts w:ascii="Arial" w:eastAsiaTheme="minorHAnsi" w:hAnsi="Arial" w:cs="Arial"/>
          <w:color w:val="000000" w:themeColor="text1"/>
          <w:sz w:val="22"/>
          <w:szCs w:val="22"/>
          <w:lang w:eastAsia="en-US"/>
        </w:rPr>
        <w:t xml:space="preserve"> na profesionální stáže </w:t>
      </w:r>
      <w:r w:rsidR="008C7AAB">
        <w:rPr>
          <w:rFonts w:ascii="Arial" w:eastAsiaTheme="minorHAnsi" w:hAnsi="Arial" w:cs="Arial"/>
          <w:color w:val="000000" w:themeColor="text1"/>
          <w:sz w:val="22"/>
          <w:szCs w:val="22"/>
          <w:lang w:eastAsia="en-US"/>
        </w:rPr>
        <w:t>(</w:t>
      </w:r>
      <w:proofErr w:type="spellStart"/>
      <w:r w:rsidRPr="001A6162">
        <w:rPr>
          <w:rFonts w:ascii="Arial" w:eastAsiaTheme="minorHAnsi" w:hAnsi="Arial" w:cs="Arial"/>
          <w:color w:val="000000" w:themeColor="text1"/>
          <w:sz w:val="22"/>
          <w:szCs w:val="22"/>
          <w:lang w:eastAsia="en-US"/>
        </w:rPr>
        <w:t>National</w:t>
      </w:r>
      <w:proofErr w:type="spellEnd"/>
      <w:r w:rsidRPr="001A6162">
        <w:rPr>
          <w:rFonts w:ascii="Arial" w:eastAsiaTheme="minorHAnsi" w:hAnsi="Arial" w:cs="Arial"/>
          <w:color w:val="000000" w:themeColor="text1"/>
          <w:sz w:val="22"/>
          <w:szCs w:val="22"/>
          <w:lang w:eastAsia="en-US"/>
        </w:rPr>
        <w:t xml:space="preserve"> </w:t>
      </w:r>
      <w:proofErr w:type="spellStart"/>
      <w:r w:rsidRPr="001A6162">
        <w:rPr>
          <w:rFonts w:ascii="Arial" w:eastAsiaTheme="minorHAnsi" w:hAnsi="Arial" w:cs="Arial"/>
          <w:color w:val="000000" w:themeColor="text1"/>
          <w:sz w:val="22"/>
          <w:szCs w:val="22"/>
          <w:lang w:eastAsia="en-US"/>
        </w:rPr>
        <w:t>Experts</w:t>
      </w:r>
      <w:proofErr w:type="spellEnd"/>
      <w:r w:rsidRPr="001A6162">
        <w:rPr>
          <w:rFonts w:ascii="Arial" w:eastAsiaTheme="minorHAnsi" w:hAnsi="Arial" w:cs="Arial"/>
          <w:color w:val="000000" w:themeColor="text1"/>
          <w:sz w:val="22"/>
          <w:szCs w:val="22"/>
          <w:lang w:eastAsia="en-US"/>
        </w:rPr>
        <w:t xml:space="preserve"> in Professional </w:t>
      </w:r>
      <w:proofErr w:type="spellStart"/>
      <w:r w:rsidRPr="001A6162">
        <w:rPr>
          <w:rFonts w:ascii="Arial" w:eastAsiaTheme="minorHAnsi" w:hAnsi="Arial" w:cs="Arial"/>
          <w:color w:val="000000" w:themeColor="text1"/>
          <w:sz w:val="22"/>
          <w:szCs w:val="22"/>
          <w:lang w:eastAsia="en-US"/>
        </w:rPr>
        <w:t>Training</w:t>
      </w:r>
      <w:proofErr w:type="spellEnd"/>
      <w:r w:rsidR="008C7AAB">
        <w:rPr>
          <w:rFonts w:ascii="Arial" w:eastAsiaTheme="minorHAnsi" w:hAnsi="Arial" w:cs="Arial"/>
          <w:color w:val="000000" w:themeColor="text1"/>
          <w:sz w:val="22"/>
          <w:szCs w:val="22"/>
          <w:lang w:eastAsia="en-US"/>
        </w:rPr>
        <w:t>)</w:t>
      </w:r>
    </w:p>
    <w:p w14:paraId="0930F930" w14:textId="591F0438"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Pr>
          <w:rFonts w:ascii="Arial" w:eastAsiaTheme="minorHAnsi" w:hAnsi="Arial" w:cs="Arial"/>
          <w:color w:val="000000" w:themeColor="text1"/>
          <w:sz w:val="22"/>
          <w:szCs w:val="22"/>
          <w:lang w:eastAsia="en-US"/>
        </w:rPr>
        <w:t>NOK</w:t>
      </w:r>
      <w:r>
        <w:rPr>
          <w:rFonts w:ascii="Arial" w:eastAsiaTheme="minorHAnsi" w:hAnsi="Arial" w:cs="Arial"/>
          <w:color w:val="000000" w:themeColor="text1"/>
          <w:sz w:val="22"/>
          <w:szCs w:val="22"/>
          <w:lang w:eastAsia="en-US"/>
        </w:rPr>
        <w:tab/>
      </w:r>
      <w:r w:rsidRPr="001A6162">
        <w:rPr>
          <w:rFonts w:ascii="Arial" w:eastAsiaTheme="minorHAnsi" w:hAnsi="Arial" w:cs="Arial"/>
          <w:color w:val="000000" w:themeColor="text1"/>
          <w:sz w:val="22"/>
          <w:szCs w:val="22"/>
          <w:lang w:eastAsia="en-US"/>
        </w:rPr>
        <w:t>Národní orgán pro koordinaci</w:t>
      </w:r>
    </w:p>
    <w:p w14:paraId="36D45C16" w14:textId="29833FEA" w:rsidR="001A6162" w:rsidRPr="001A6162" w:rsidRDefault="001A6162" w:rsidP="001A6162">
      <w:pPr>
        <w:spacing w:line="276" w:lineRule="auto"/>
        <w:ind w:left="2268" w:hanging="2268"/>
        <w:rPr>
          <w:rFonts w:ascii="Arial" w:eastAsiaTheme="minorHAnsi" w:hAnsi="Arial" w:cs="Arial"/>
          <w:sz w:val="22"/>
          <w:szCs w:val="22"/>
          <w:lang w:eastAsia="en-US"/>
        </w:rPr>
      </w:pPr>
      <w:r w:rsidRPr="001A6162">
        <w:rPr>
          <w:rFonts w:ascii="Arial" w:eastAsiaTheme="minorHAnsi" w:hAnsi="Arial" w:cs="Arial"/>
          <w:sz w:val="22"/>
          <w:szCs w:val="22"/>
          <w:lang w:eastAsia="en-US"/>
        </w:rPr>
        <w:t>NUTS</w:t>
      </w:r>
      <w:r>
        <w:rPr>
          <w:rFonts w:ascii="Arial" w:eastAsiaTheme="minorHAnsi" w:hAnsi="Arial" w:cs="Arial"/>
          <w:sz w:val="22"/>
          <w:szCs w:val="22"/>
          <w:lang w:eastAsia="en-US"/>
        </w:rPr>
        <w:t xml:space="preserve"> </w:t>
      </w:r>
      <w:r>
        <w:rPr>
          <w:rFonts w:ascii="Arial" w:eastAsiaTheme="minorHAnsi" w:hAnsi="Arial" w:cs="Arial"/>
          <w:sz w:val="22"/>
          <w:szCs w:val="22"/>
          <w:lang w:eastAsia="en-US"/>
        </w:rPr>
        <w:tab/>
      </w:r>
      <w:r w:rsidRPr="001A6162">
        <w:rPr>
          <w:rFonts w:ascii="Arial" w:eastAsiaTheme="minorHAnsi" w:hAnsi="Arial" w:cs="Arial"/>
          <w:sz w:val="22"/>
          <w:szCs w:val="22"/>
          <w:lang w:eastAsia="en-US"/>
        </w:rPr>
        <w:t>Normalizovaná klasifikace územních celků</w:t>
      </w:r>
      <w:r w:rsidR="008C7AAB">
        <w:rPr>
          <w:rFonts w:ascii="Arial" w:eastAsiaTheme="minorHAnsi" w:hAnsi="Arial" w:cs="Arial"/>
          <w:sz w:val="22"/>
          <w:szCs w:val="22"/>
          <w:lang w:eastAsia="en-US"/>
        </w:rPr>
        <w:t xml:space="preserve"> (</w:t>
      </w:r>
      <w:proofErr w:type="spellStart"/>
      <w:r w:rsidR="008C7AAB" w:rsidRPr="008C7AAB">
        <w:rPr>
          <w:rFonts w:ascii="Arial" w:eastAsiaTheme="minorHAnsi" w:hAnsi="Arial" w:cs="Arial"/>
          <w:sz w:val="22"/>
          <w:szCs w:val="22"/>
          <w:lang w:eastAsia="en-US"/>
        </w:rPr>
        <w:t>Nomenclature</w:t>
      </w:r>
      <w:proofErr w:type="spellEnd"/>
      <w:r w:rsidR="008C7AAB" w:rsidRPr="008C7AAB">
        <w:rPr>
          <w:rFonts w:ascii="Arial" w:eastAsiaTheme="minorHAnsi" w:hAnsi="Arial" w:cs="Arial"/>
          <w:sz w:val="22"/>
          <w:szCs w:val="22"/>
          <w:lang w:eastAsia="en-US"/>
        </w:rPr>
        <w:t xml:space="preserve"> </w:t>
      </w:r>
      <w:proofErr w:type="spellStart"/>
      <w:r w:rsidR="008C7AAB" w:rsidRPr="008C7AAB">
        <w:rPr>
          <w:rFonts w:ascii="Arial" w:eastAsiaTheme="minorHAnsi" w:hAnsi="Arial" w:cs="Arial"/>
          <w:sz w:val="22"/>
          <w:szCs w:val="22"/>
          <w:lang w:eastAsia="en-US"/>
        </w:rPr>
        <w:t>of</w:t>
      </w:r>
      <w:proofErr w:type="spellEnd"/>
      <w:r w:rsidR="008C7AAB" w:rsidRPr="008C7AAB">
        <w:rPr>
          <w:rFonts w:ascii="Arial" w:eastAsiaTheme="minorHAnsi" w:hAnsi="Arial" w:cs="Arial"/>
          <w:sz w:val="22"/>
          <w:szCs w:val="22"/>
          <w:lang w:eastAsia="en-US"/>
        </w:rPr>
        <w:t xml:space="preserve"> </w:t>
      </w:r>
      <w:proofErr w:type="spellStart"/>
      <w:r w:rsidR="008C7AAB" w:rsidRPr="008C7AAB">
        <w:rPr>
          <w:rFonts w:ascii="Arial" w:eastAsiaTheme="minorHAnsi" w:hAnsi="Arial" w:cs="Arial"/>
          <w:sz w:val="22"/>
          <w:szCs w:val="22"/>
          <w:lang w:eastAsia="en-US"/>
        </w:rPr>
        <w:t>Units</w:t>
      </w:r>
      <w:proofErr w:type="spellEnd"/>
      <w:r w:rsidR="008C7AAB" w:rsidRPr="008C7AAB">
        <w:rPr>
          <w:rFonts w:ascii="Arial" w:eastAsiaTheme="minorHAnsi" w:hAnsi="Arial" w:cs="Arial"/>
          <w:sz w:val="22"/>
          <w:szCs w:val="22"/>
          <w:lang w:eastAsia="en-US"/>
        </w:rPr>
        <w:t xml:space="preserve"> </w:t>
      </w:r>
      <w:proofErr w:type="spellStart"/>
      <w:r w:rsidR="008C7AAB" w:rsidRPr="008C7AAB">
        <w:rPr>
          <w:rFonts w:ascii="Arial" w:eastAsiaTheme="minorHAnsi" w:hAnsi="Arial" w:cs="Arial"/>
          <w:sz w:val="22"/>
          <w:szCs w:val="22"/>
          <w:lang w:eastAsia="en-US"/>
        </w:rPr>
        <w:t>for</w:t>
      </w:r>
      <w:proofErr w:type="spellEnd"/>
      <w:r w:rsidR="008C7AAB" w:rsidRPr="008C7AAB">
        <w:rPr>
          <w:rFonts w:ascii="Arial" w:eastAsiaTheme="minorHAnsi" w:hAnsi="Arial" w:cs="Arial"/>
          <w:sz w:val="22"/>
          <w:szCs w:val="22"/>
          <w:lang w:eastAsia="en-US"/>
        </w:rPr>
        <w:t xml:space="preserve"> </w:t>
      </w:r>
      <w:proofErr w:type="spellStart"/>
      <w:r w:rsidR="008C7AAB" w:rsidRPr="008C7AAB">
        <w:rPr>
          <w:rFonts w:ascii="Arial" w:eastAsiaTheme="minorHAnsi" w:hAnsi="Arial" w:cs="Arial"/>
          <w:sz w:val="22"/>
          <w:szCs w:val="22"/>
          <w:lang w:eastAsia="en-US"/>
        </w:rPr>
        <w:t>Territorial</w:t>
      </w:r>
      <w:proofErr w:type="spellEnd"/>
      <w:r w:rsidR="008C7AAB" w:rsidRPr="008C7AAB">
        <w:rPr>
          <w:rFonts w:ascii="Arial" w:eastAsiaTheme="minorHAnsi" w:hAnsi="Arial" w:cs="Arial"/>
          <w:sz w:val="22"/>
          <w:szCs w:val="22"/>
          <w:lang w:eastAsia="en-US"/>
        </w:rPr>
        <w:t xml:space="preserve"> </w:t>
      </w:r>
      <w:proofErr w:type="spellStart"/>
      <w:r w:rsidR="008C7AAB" w:rsidRPr="008C7AAB">
        <w:rPr>
          <w:rFonts w:ascii="Arial" w:eastAsiaTheme="minorHAnsi" w:hAnsi="Arial" w:cs="Arial"/>
          <w:sz w:val="22"/>
          <w:szCs w:val="22"/>
          <w:lang w:eastAsia="en-US"/>
        </w:rPr>
        <w:t>Statistics</w:t>
      </w:r>
      <w:proofErr w:type="spellEnd"/>
      <w:r w:rsidR="008C7AAB">
        <w:rPr>
          <w:rFonts w:ascii="Arial" w:eastAsiaTheme="minorHAnsi" w:hAnsi="Arial" w:cs="Arial"/>
          <w:sz w:val="22"/>
          <w:szCs w:val="22"/>
          <w:lang w:eastAsia="en-US"/>
        </w:rPr>
        <w:t>)</w:t>
      </w:r>
    </w:p>
    <w:p w14:paraId="0BDD93EF" w14:textId="62B06E4A" w:rsidR="001A6162" w:rsidRPr="001A6162" w:rsidRDefault="001A6162" w:rsidP="001A6162">
      <w:pPr>
        <w:spacing w:line="276" w:lineRule="auto"/>
        <w:ind w:left="2268" w:hanging="2268"/>
        <w:rPr>
          <w:rFonts w:ascii="Arial" w:eastAsiaTheme="minorHAnsi" w:hAnsi="Arial" w:cs="Arial"/>
          <w:sz w:val="22"/>
          <w:szCs w:val="22"/>
          <w:lang w:eastAsia="en-US"/>
        </w:rPr>
      </w:pPr>
      <w:r>
        <w:rPr>
          <w:rFonts w:ascii="Arial" w:eastAsiaTheme="minorHAnsi" w:hAnsi="Arial" w:cs="Arial"/>
          <w:sz w:val="22"/>
          <w:szCs w:val="22"/>
          <w:lang w:eastAsia="en-US"/>
        </w:rPr>
        <w:t>ODA</w:t>
      </w:r>
      <w:r>
        <w:rPr>
          <w:rFonts w:ascii="Arial" w:eastAsiaTheme="minorHAnsi" w:hAnsi="Arial" w:cs="Arial"/>
          <w:sz w:val="22"/>
          <w:szCs w:val="22"/>
          <w:lang w:eastAsia="en-US"/>
        </w:rPr>
        <w:tab/>
      </w:r>
      <w:r w:rsidR="0095720A">
        <w:rPr>
          <w:rFonts w:ascii="Arial" w:eastAsiaTheme="minorHAnsi" w:hAnsi="Arial" w:cs="Arial"/>
          <w:sz w:val="22"/>
          <w:szCs w:val="22"/>
          <w:lang w:eastAsia="en-US"/>
        </w:rPr>
        <w:t>o</w:t>
      </w:r>
      <w:r w:rsidRPr="001A6162">
        <w:rPr>
          <w:rFonts w:ascii="Arial" w:eastAsiaTheme="minorHAnsi" w:hAnsi="Arial" w:cs="Arial"/>
          <w:sz w:val="22"/>
          <w:szCs w:val="22"/>
          <w:lang w:eastAsia="en-US"/>
        </w:rPr>
        <w:t>ficiální rozvojová spolupráce</w:t>
      </w:r>
    </w:p>
    <w:p w14:paraId="4E80E66E" w14:textId="0E0A6F64" w:rsidR="001A6162" w:rsidRPr="001A6162" w:rsidRDefault="001A6162" w:rsidP="001A6162">
      <w:pPr>
        <w:spacing w:line="276" w:lineRule="auto"/>
        <w:ind w:left="2268" w:hanging="2268"/>
        <w:rPr>
          <w:rFonts w:ascii="Arial" w:eastAsiaTheme="minorHAnsi" w:hAnsi="Arial" w:cs="Arial"/>
          <w:sz w:val="22"/>
          <w:szCs w:val="22"/>
          <w:lang w:eastAsia="en-US"/>
        </w:rPr>
      </w:pPr>
      <w:r w:rsidRPr="001A6162">
        <w:rPr>
          <w:rFonts w:ascii="Arial" w:eastAsiaTheme="minorHAnsi" w:hAnsi="Arial" w:cs="Arial"/>
          <w:sz w:val="22"/>
          <w:szCs w:val="22"/>
          <w:lang w:eastAsia="en-US"/>
        </w:rPr>
        <w:t>OECD</w:t>
      </w:r>
      <w:r>
        <w:rPr>
          <w:rFonts w:ascii="Arial" w:eastAsiaTheme="minorHAnsi" w:hAnsi="Arial" w:cs="Arial"/>
          <w:sz w:val="22"/>
          <w:szCs w:val="22"/>
          <w:lang w:eastAsia="en-US"/>
        </w:rPr>
        <w:tab/>
      </w:r>
      <w:r w:rsidRPr="001A6162">
        <w:rPr>
          <w:rFonts w:ascii="Arial" w:eastAsiaTheme="minorHAnsi" w:hAnsi="Arial" w:cs="Arial"/>
          <w:sz w:val="22"/>
          <w:szCs w:val="22"/>
          <w:lang w:eastAsia="en-US"/>
        </w:rPr>
        <w:t>Organizace pro hospodářskou spolupráci a rozvoj</w:t>
      </w:r>
      <w:r w:rsidR="008C7AAB">
        <w:rPr>
          <w:rFonts w:ascii="Arial" w:eastAsiaTheme="minorHAnsi" w:hAnsi="Arial" w:cs="Arial"/>
          <w:sz w:val="22"/>
          <w:szCs w:val="22"/>
          <w:lang w:eastAsia="en-US"/>
        </w:rPr>
        <w:t xml:space="preserve"> (</w:t>
      </w:r>
      <w:proofErr w:type="spellStart"/>
      <w:r w:rsidR="008C7AAB" w:rsidRPr="008C7AAB">
        <w:rPr>
          <w:rFonts w:ascii="Arial" w:eastAsiaTheme="minorHAnsi" w:hAnsi="Arial" w:cs="Arial"/>
          <w:sz w:val="22"/>
          <w:szCs w:val="22"/>
          <w:lang w:eastAsia="en-US"/>
        </w:rPr>
        <w:t>Organisation</w:t>
      </w:r>
      <w:proofErr w:type="spellEnd"/>
      <w:r w:rsidR="008C7AAB" w:rsidRPr="008C7AAB">
        <w:rPr>
          <w:rFonts w:ascii="Arial" w:eastAsiaTheme="minorHAnsi" w:hAnsi="Arial" w:cs="Arial"/>
          <w:sz w:val="22"/>
          <w:szCs w:val="22"/>
          <w:lang w:eastAsia="en-US"/>
        </w:rPr>
        <w:t xml:space="preserve"> </w:t>
      </w:r>
      <w:proofErr w:type="spellStart"/>
      <w:r w:rsidR="008C7AAB" w:rsidRPr="008C7AAB">
        <w:rPr>
          <w:rFonts w:ascii="Arial" w:eastAsiaTheme="minorHAnsi" w:hAnsi="Arial" w:cs="Arial"/>
          <w:sz w:val="22"/>
          <w:szCs w:val="22"/>
          <w:lang w:eastAsia="en-US"/>
        </w:rPr>
        <w:t>for</w:t>
      </w:r>
      <w:proofErr w:type="spellEnd"/>
      <w:r w:rsidR="008C7AAB" w:rsidRPr="008C7AAB">
        <w:rPr>
          <w:rFonts w:ascii="Arial" w:eastAsiaTheme="minorHAnsi" w:hAnsi="Arial" w:cs="Arial"/>
          <w:sz w:val="22"/>
          <w:szCs w:val="22"/>
          <w:lang w:eastAsia="en-US"/>
        </w:rPr>
        <w:t xml:space="preserve"> </w:t>
      </w:r>
      <w:proofErr w:type="spellStart"/>
      <w:r w:rsidR="008C7AAB" w:rsidRPr="008C7AAB">
        <w:rPr>
          <w:rFonts w:ascii="Arial" w:eastAsiaTheme="minorHAnsi" w:hAnsi="Arial" w:cs="Arial"/>
          <w:sz w:val="22"/>
          <w:szCs w:val="22"/>
          <w:lang w:eastAsia="en-US"/>
        </w:rPr>
        <w:t>Economic</w:t>
      </w:r>
      <w:proofErr w:type="spellEnd"/>
      <w:r w:rsidR="008C7AAB" w:rsidRPr="008C7AAB">
        <w:rPr>
          <w:rFonts w:ascii="Arial" w:eastAsiaTheme="minorHAnsi" w:hAnsi="Arial" w:cs="Arial"/>
          <w:sz w:val="22"/>
          <w:szCs w:val="22"/>
          <w:lang w:eastAsia="en-US"/>
        </w:rPr>
        <w:t xml:space="preserve"> Co-</w:t>
      </w:r>
      <w:proofErr w:type="spellStart"/>
      <w:r w:rsidR="008C7AAB" w:rsidRPr="008C7AAB">
        <w:rPr>
          <w:rFonts w:ascii="Arial" w:eastAsiaTheme="minorHAnsi" w:hAnsi="Arial" w:cs="Arial"/>
          <w:sz w:val="22"/>
          <w:szCs w:val="22"/>
          <w:lang w:eastAsia="en-US"/>
        </w:rPr>
        <w:t>operation</w:t>
      </w:r>
      <w:proofErr w:type="spellEnd"/>
      <w:r w:rsidR="008C7AAB" w:rsidRPr="008C7AAB">
        <w:rPr>
          <w:rFonts w:ascii="Arial" w:eastAsiaTheme="minorHAnsi" w:hAnsi="Arial" w:cs="Arial"/>
          <w:sz w:val="22"/>
          <w:szCs w:val="22"/>
          <w:lang w:eastAsia="en-US"/>
        </w:rPr>
        <w:t xml:space="preserve"> and </w:t>
      </w:r>
      <w:proofErr w:type="spellStart"/>
      <w:r w:rsidR="008C7AAB" w:rsidRPr="008C7AAB">
        <w:rPr>
          <w:rFonts w:ascii="Arial" w:eastAsiaTheme="minorHAnsi" w:hAnsi="Arial" w:cs="Arial"/>
          <w:sz w:val="22"/>
          <w:szCs w:val="22"/>
          <w:lang w:eastAsia="en-US"/>
        </w:rPr>
        <w:t>Development</w:t>
      </w:r>
      <w:proofErr w:type="spellEnd"/>
      <w:r w:rsidR="008C7AAB">
        <w:rPr>
          <w:rFonts w:ascii="Arial" w:eastAsiaTheme="minorHAnsi" w:hAnsi="Arial" w:cs="Arial"/>
          <w:sz w:val="22"/>
          <w:szCs w:val="22"/>
          <w:lang w:eastAsia="en-US"/>
        </w:rPr>
        <w:t>)</w:t>
      </w:r>
    </w:p>
    <w:p w14:paraId="4214E30D" w14:textId="53FCED6D" w:rsidR="001A6162" w:rsidRPr="001A6162" w:rsidRDefault="001A6162" w:rsidP="001A6162">
      <w:pPr>
        <w:spacing w:line="276" w:lineRule="auto"/>
        <w:ind w:left="2268" w:hanging="2268"/>
        <w:rPr>
          <w:rFonts w:ascii="Arial" w:eastAsiaTheme="minorHAnsi" w:hAnsi="Arial" w:cs="Arial"/>
          <w:sz w:val="22"/>
          <w:szCs w:val="22"/>
          <w:lang w:eastAsia="en-US"/>
        </w:rPr>
      </w:pPr>
      <w:r>
        <w:rPr>
          <w:rFonts w:ascii="Arial" w:eastAsiaTheme="minorHAnsi" w:hAnsi="Arial" w:cs="Arial"/>
          <w:sz w:val="22"/>
          <w:szCs w:val="22"/>
          <w:lang w:eastAsia="en-US"/>
        </w:rPr>
        <w:t>OPZ</w:t>
      </w:r>
      <w:r>
        <w:rPr>
          <w:rFonts w:ascii="Arial" w:eastAsiaTheme="minorHAnsi" w:hAnsi="Arial" w:cs="Arial"/>
          <w:sz w:val="22"/>
          <w:szCs w:val="22"/>
          <w:lang w:eastAsia="en-US"/>
        </w:rPr>
        <w:tab/>
      </w:r>
      <w:r w:rsidR="0095720A">
        <w:rPr>
          <w:rFonts w:ascii="Arial" w:eastAsiaTheme="minorHAnsi" w:hAnsi="Arial" w:cs="Arial"/>
          <w:sz w:val="22"/>
          <w:szCs w:val="22"/>
          <w:lang w:eastAsia="en-US"/>
        </w:rPr>
        <w:t>o</w:t>
      </w:r>
      <w:r w:rsidRPr="001A6162">
        <w:rPr>
          <w:rFonts w:ascii="Arial" w:eastAsiaTheme="minorHAnsi" w:hAnsi="Arial" w:cs="Arial"/>
          <w:sz w:val="22"/>
          <w:szCs w:val="22"/>
          <w:lang w:eastAsia="en-US"/>
        </w:rPr>
        <w:t>perační program Zaměstnanost</w:t>
      </w:r>
    </w:p>
    <w:p w14:paraId="36574270" w14:textId="48A58958"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ORP</w:t>
      </w:r>
      <w:r>
        <w:rPr>
          <w:rFonts w:ascii="Arial" w:eastAsiaTheme="minorHAnsi" w:hAnsi="Arial" w:cs="Arial"/>
          <w:color w:val="000000" w:themeColor="text1"/>
          <w:sz w:val="22"/>
          <w:szCs w:val="22"/>
          <w:lang w:eastAsia="en-US"/>
        </w:rPr>
        <w:tab/>
      </w:r>
      <w:r w:rsidR="0095720A">
        <w:rPr>
          <w:rFonts w:ascii="Arial" w:eastAsiaTheme="minorHAnsi" w:hAnsi="Arial" w:cs="Arial"/>
          <w:color w:val="000000" w:themeColor="text1"/>
          <w:sz w:val="22"/>
          <w:szCs w:val="22"/>
          <w:lang w:eastAsia="en-US"/>
        </w:rPr>
        <w:t>o</w:t>
      </w:r>
      <w:r w:rsidRPr="001A6162">
        <w:rPr>
          <w:rFonts w:ascii="Arial" w:eastAsiaTheme="minorHAnsi" w:hAnsi="Arial" w:cs="Arial"/>
          <w:color w:val="000000" w:themeColor="text1"/>
          <w:sz w:val="22"/>
          <w:szCs w:val="22"/>
          <w:lang w:eastAsia="en-US"/>
        </w:rPr>
        <w:t xml:space="preserve">bce s rozšířenou působností </w:t>
      </w:r>
    </w:p>
    <w:p w14:paraId="4C9C9EEC" w14:textId="46DE3AD7"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Pr>
          <w:rFonts w:ascii="Arial" w:eastAsiaTheme="minorHAnsi" w:hAnsi="Arial" w:cs="Arial"/>
          <w:color w:val="000000" w:themeColor="text1"/>
          <w:sz w:val="22"/>
          <w:szCs w:val="22"/>
          <w:lang w:eastAsia="en-US"/>
        </w:rPr>
        <w:t>OUR</w:t>
      </w:r>
      <w:r>
        <w:rPr>
          <w:rFonts w:ascii="Arial" w:eastAsiaTheme="minorHAnsi" w:hAnsi="Arial" w:cs="Arial"/>
          <w:color w:val="000000" w:themeColor="text1"/>
          <w:sz w:val="22"/>
          <w:szCs w:val="22"/>
          <w:lang w:eastAsia="en-US"/>
        </w:rPr>
        <w:tab/>
      </w:r>
      <w:r w:rsidR="0095720A">
        <w:rPr>
          <w:rFonts w:ascii="Arial" w:eastAsiaTheme="minorHAnsi" w:hAnsi="Arial" w:cs="Arial"/>
          <w:color w:val="000000" w:themeColor="text1"/>
          <w:sz w:val="22"/>
          <w:szCs w:val="22"/>
          <w:lang w:eastAsia="en-US"/>
        </w:rPr>
        <w:t>O</w:t>
      </w:r>
      <w:r w:rsidRPr="001A6162">
        <w:rPr>
          <w:rFonts w:ascii="Arial" w:eastAsiaTheme="minorHAnsi" w:hAnsi="Arial" w:cs="Arial"/>
          <w:color w:val="000000" w:themeColor="text1"/>
          <w:sz w:val="22"/>
          <w:szCs w:val="22"/>
          <w:lang w:eastAsia="en-US"/>
        </w:rPr>
        <w:t>dbor pro udržitelný rozvoj</w:t>
      </w:r>
    </w:p>
    <w:p w14:paraId="2F89B494" w14:textId="3E683B08"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Pr>
          <w:rFonts w:ascii="Arial" w:eastAsiaTheme="minorHAnsi" w:hAnsi="Arial" w:cs="Arial"/>
          <w:color w:val="000000" w:themeColor="text1"/>
          <w:sz w:val="22"/>
          <w:szCs w:val="22"/>
          <w:lang w:eastAsia="en-US"/>
        </w:rPr>
        <w:t>PIAAC</w:t>
      </w:r>
      <w:r>
        <w:rPr>
          <w:rFonts w:ascii="Arial" w:eastAsiaTheme="minorHAnsi" w:hAnsi="Arial" w:cs="Arial"/>
          <w:color w:val="000000" w:themeColor="text1"/>
          <w:sz w:val="22"/>
          <w:szCs w:val="22"/>
          <w:lang w:eastAsia="en-US"/>
        </w:rPr>
        <w:tab/>
      </w:r>
      <w:r w:rsidR="0095720A">
        <w:rPr>
          <w:rFonts w:ascii="Arial" w:eastAsiaTheme="minorHAnsi" w:hAnsi="Arial" w:cs="Arial"/>
          <w:color w:val="000000" w:themeColor="text1"/>
          <w:sz w:val="22"/>
          <w:szCs w:val="22"/>
          <w:lang w:eastAsia="en-US"/>
        </w:rPr>
        <w:t>M</w:t>
      </w:r>
      <w:r w:rsidRPr="001A6162">
        <w:rPr>
          <w:rFonts w:ascii="Arial" w:eastAsiaTheme="minorHAnsi" w:hAnsi="Arial" w:cs="Arial"/>
          <w:color w:val="000000" w:themeColor="text1"/>
          <w:sz w:val="22"/>
          <w:szCs w:val="22"/>
          <w:lang w:eastAsia="en-US"/>
        </w:rPr>
        <w:t>ezinárodní výzkum dospělých</w:t>
      </w:r>
      <w:r w:rsidR="008C7AAB">
        <w:rPr>
          <w:rFonts w:ascii="Arial" w:eastAsiaTheme="minorHAnsi" w:hAnsi="Arial" w:cs="Arial"/>
          <w:color w:val="000000" w:themeColor="text1"/>
          <w:sz w:val="22"/>
          <w:szCs w:val="22"/>
          <w:lang w:eastAsia="en-US"/>
        </w:rPr>
        <w:t xml:space="preserve"> (</w:t>
      </w:r>
      <w:proofErr w:type="spellStart"/>
      <w:r w:rsidR="008C7AAB" w:rsidRPr="008C7AAB">
        <w:rPr>
          <w:rFonts w:ascii="Arial" w:eastAsiaTheme="minorHAnsi" w:hAnsi="Arial" w:cs="Arial"/>
          <w:color w:val="000000" w:themeColor="text1"/>
          <w:sz w:val="22"/>
          <w:szCs w:val="22"/>
          <w:lang w:eastAsia="en-US"/>
        </w:rPr>
        <w:t>Programme</w:t>
      </w:r>
      <w:proofErr w:type="spellEnd"/>
      <w:r w:rsidR="008C7AAB" w:rsidRPr="008C7AAB">
        <w:rPr>
          <w:rFonts w:ascii="Arial" w:eastAsiaTheme="minorHAnsi" w:hAnsi="Arial" w:cs="Arial"/>
          <w:color w:val="000000" w:themeColor="text1"/>
          <w:sz w:val="22"/>
          <w:szCs w:val="22"/>
          <w:lang w:eastAsia="en-US"/>
        </w:rPr>
        <w:t xml:space="preserve"> </w:t>
      </w:r>
      <w:proofErr w:type="spellStart"/>
      <w:r w:rsidR="008C7AAB" w:rsidRPr="008C7AAB">
        <w:rPr>
          <w:rFonts w:ascii="Arial" w:eastAsiaTheme="minorHAnsi" w:hAnsi="Arial" w:cs="Arial"/>
          <w:color w:val="000000" w:themeColor="text1"/>
          <w:sz w:val="22"/>
          <w:szCs w:val="22"/>
          <w:lang w:eastAsia="en-US"/>
        </w:rPr>
        <w:t>for</w:t>
      </w:r>
      <w:proofErr w:type="spellEnd"/>
      <w:r w:rsidR="008C7AAB" w:rsidRPr="008C7AAB">
        <w:rPr>
          <w:rFonts w:ascii="Arial" w:eastAsiaTheme="minorHAnsi" w:hAnsi="Arial" w:cs="Arial"/>
          <w:color w:val="000000" w:themeColor="text1"/>
          <w:sz w:val="22"/>
          <w:szCs w:val="22"/>
          <w:lang w:eastAsia="en-US"/>
        </w:rPr>
        <w:t xml:space="preserve"> International </w:t>
      </w:r>
      <w:proofErr w:type="spellStart"/>
      <w:r w:rsidR="008C7AAB" w:rsidRPr="008C7AAB">
        <w:rPr>
          <w:rFonts w:ascii="Arial" w:eastAsiaTheme="minorHAnsi" w:hAnsi="Arial" w:cs="Arial"/>
          <w:color w:val="000000" w:themeColor="text1"/>
          <w:sz w:val="22"/>
          <w:szCs w:val="22"/>
          <w:lang w:eastAsia="en-US"/>
        </w:rPr>
        <w:t>Assessment</w:t>
      </w:r>
      <w:proofErr w:type="spellEnd"/>
      <w:r w:rsidR="008C7AAB" w:rsidRPr="008C7AAB">
        <w:rPr>
          <w:rFonts w:ascii="Arial" w:eastAsiaTheme="minorHAnsi" w:hAnsi="Arial" w:cs="Arial"/>
          <w:color w:val="000000" w:themeColor="text1"/>
          <w:sz w:val="22"/>
          <w:szCs w:val="22"/>
          <w:lang w:eastAsia="en-US"/>
        </w:rPr>
        <w:t xml:space="preserve"> </w:t>
      </w:r>
      <w:proofErr w:type="spellStart"/>
      <w:r w:rsidR="008C7AAB" w:rsidRPr="008C7AAB">
        <w:rPr>
          <w:rFonts w:ascii="Arial" w:eastAsiaTheme="minorHAnsi" w:hAnsi="Arial" w:cs="Arial"/>
          <w:color w:val="000000" w:themeColor="text1"/>
          <w:sz w:val="22"/>
          <w:szCs w:val="22"/>
          <w:lang w:eastAsia="en-US"/>
        </w:rPr>
        <w:t>of</w:t>
      </w:r>
      <w:proofErr w:type="spellEnd"/>
      <w:r w:rsidR="008C7AAB" w:rsidRPr="008C7AAB">
        <w:rPr>
          <w:rFonts w:ascii="Arial" w:eastAsiaTheme="minorHAnsi" w:hAnsi="Arial" w:cs="Arial"/>
          <w:color w:val="000000" w:themeColor="text1"/>
          <w:sz w:val="22"/>
          <w:szCs w:val="22"/>
          <w:lang w:eastAsia="en-US"/>
        </w:rPr>
        <w:t xml:space="preserve"> </w:t>
      </w:r>
      <w:proofErr w:type="spellStart"/>
      <w:r w:rsidR="008C7AAB" w:rsidRPr="008C7AAB">
        <w:rPr>
          <w:rFonts w:ascii="Arial" w:eastAsiaTheme="minorHAnsi" w:hAnsi="Arial" w:cs="Arial"/>
          <w:color w:val="000000" w:themeColor="text1"/>
          <w:sz w:val="22"/>
          <w:szCs w:val="22"/>
          <w:lang w:eastAsia="en-US"/>
        </w:rPr>
        <w:t>Adult</w:t>
      </w:r>
      <w:proofErr w:type="spellEnd"/>
      <w:r w:rsidR="008C7AAB" w:rsidRPr="008C7AAB">
        <w:rPr>
          <w:rFonts w:ascii="Arial" w:eastAsiaTheme="minorHAnsi" w:hAnsi="Arial" w:cs="Arial"/>
          <w:color w:val="000000" w:themeColor="text1"/>
          <w:sz w:val="22"/>
          <w:szCs w:val="22"/>
          <w:lang w:eastAsia="en-US"/>
        </w:rPr>
        <w:t xml:space="preserve"> </w:t>
      </w:r>
      <w:proofErr w:type="spellStart"/>
      <w:r w:rsidR="008C7AAB" w:rsidRPr="008C7AAB">
        <w:rPr>
          <w:rFonts w:ascii="Arial" w:eastAsiaTheme="minorHAnsi" w:hAnsi="Arial" w:cs="Arial"/>
          <w:color w:val="000000" w:themeColor="text1"/>
          <w:sz w:val="22"/>
          <w:szCs w:val="22"/>
          <w:lang w:eastAsia="en-US"/>
        </w:rPr>
        <w:t>Competencies</w:t>
      </w:r>
      <w:proofErr w:type="spellEnd"/>
      <w:r w:rsidR="008C7AAB">
        <w:rPr>
          <w:rFonts w:ascii="Arial" w:eastAsiaTheme="minorHAnsi" w:hAnsi="Arial" w:cs="Arial"/>
          <w:color w:val="000000" w:themeColor="text1"/>
          <w:sz w:val="22"/>
          <w:szCs w:val="22"/>
          <w:lang w:eastAsia="en-US"/>
        </w:rPr>
        <w:t>)</w:t>
      </w:r>
    </w:p>
    <w:p w14:paraId="50E15A5F" w14:textId="2DEC502A"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Pr>
          <w:rFonts w:ascii="Arial" w:eastAsiaTheme="minorHAnsi" w:hAnsi="Arial" w:cs="Arial"/>
          <w:color w:val="000000" w:themeColor="text1"/>
          <w:sz w:val="22"/>
          <w:szCs w:val="22"/>
          <w:lang w:eastAsia="en-US"/>
        </w:rPr>
        <w:t>PISA</w:t>
      </w:r>
      <w:r>
        <w:rPr>
          <w:rFonts w:ascii="Arial" w:eastAsiaTheme="minorHAnsi" w:hAnsi="Arial" w:cs="Arial"/>
          <w:color w:val="000000" w:themeColor="text1"/>
          <w:sz w:val="22"/>
          <w:szCs w:val="22"/>
          <w:lang w:eastAsia="en-US"/>
        </w:rPr>
        <w:tab/>
      </w:r>
      <w:r w:rsidRPr="001A6162">
        <w:rPr>
          <w:rFonts w:ascii="Arial" w:eastAsiaTheme="minorHAnsi" w:hAnsi="Arial" w:cs="Arial"/>
          <w:color w:val="000000" w:themeColor="text1"/>
          <w:sz w:val="22"/>
          <w:szCs w:val="22"/>
          <w:lang w:eastAsia="en-US"/>
        </w:rPr>
        <w:t>Program pro mezinárodní hodnocení žáků</w:t>
      </w:r>
      <w:r w:rsidR="008C7AAB">
        <w:rPr>
          <w:rFonts w:ascii="Arial" w:eastAsiaTheme="minorHAnsi" w:hAnsi="Arial" w:cs="Arial"/>
          <w:color w:val="000000" w:themeColor="text1"/>
          <w:sz w:val="22"/>
          <w:szCs w:val="22"/>
          <w:lang w:eastAsia="en-US"/>
        </w:rPr>
        <w:t xml:space="preserve"> (</w:t>
      </w:r>
      <w:proofErr w:type="spellStart"/>
      <w:r w:rsidR="008C7AAB" w:rsidRPr="008C7AAB">
        <w:rPr>
          <w:rFonts w:ascii="Arial" w:eastAsiaTheme="minorHAnsi" w:hAnsi="Arial" w:cs="Arial"/>
          <w:color w:val="000000" w:themeColor="text1"/>
          <w:sz w:val="22"/>
          <w:szCs w:val="22"/>
          <w:lang w:eastAsia="en-US"/>
        </w:rPr>
        <w:t>Programme</w:t>
      </w:r>
      <w:proofErr w:type="spellEnd"/>
      <w:r w:rsidR="008C7AAB" w:rsidRPr="008C7AAB">
        <w:rPr>
          <w:rFonts w:ascii="Arial" w:eastAsiaTheme="minorHAnsi" w:hAnsi="Arial" w:cs="Arial"/>
          <w:color w:val="000000" w:themeColor="text1"/>
          <w:sz w:val="22"/>
          <w:szCs w:val="22"/>
          <w:lang w:eastAsia="en-US"/>
        </w:rPr>
        <w:t xml:space="preserve"> </w:t>
      </w:r>
      <w:proofErr w:type="spellStart"/>
      <w:r w:rsidR="008C7AAB" w:rsidRPr="008C7AAB">
        <w:rPr>
          <w:rFonts w:ascii="Arial" w:eastAsiaTheme="minorHAnsi" w:hAnsi="Arial" w:cs="Arial"/>
          <w:color w:val="000000" w:themeColor="text1"/>
          <w:sz w:val="22"/>
          <w:szCs w:val="22"/>
          <w:lang w:eastAsia="en-US"/>
        </w:rPr>
        <w:t>for</w:t>
      </w:r>
      <w:proofErr w:type="spellEnd"/>
      <w:r w:rsidR="008C7AAB" w:rsidRPr="008C7AAB">
        <w:rPr>
          <w:rFonts w:ascii="Arial" w:eastAsiaTheme="minorHAnsi" w:hAnsi="Arial" w:cs="Arial"/>
          <w:color w:val="000000" w:themeColor="text1"/>
          <w:sz w:val="22"/>
          <w:szCs w:val="22"/>
          <w:lang w:eastAsia="en-US"/>
        </w:rPr>
        <w:t xml:space="preserve"> International Student </w:t>
      </w:r>
      <w:proofErr w:type="spellStart"/>
      <w:r w:rsidR="008C7AAB" w:rsidRPr="008C7AAB">
        <w:rPr>
          <w:rFonts w:ascii="Arial" w:eastAsiaTheme="minorHAnsi" w:hAnsi="Arial" w:cs="Arial"/>
          <w:color w:val="000000" w:themeColor="text1"/>
          <w:sz w:val="22"/>
          <w:szCs w:val="22"/>
          <w:lang w:eastAsia="en-US"/>
        </w:rPr>
        <w:t>Assessment</w:t>
      </w:r>
      <w:proofErr w:type="spellEnd"/>
      <w:r w:rsidR="008C7AAB">
        <w:rPr>
          <w:rFonts w:ascii="Arial" w:eastAsiaTheme="minorHAnsi" w:hAnsi="Arial" w:cs="Arial"/>
          <w:color w:val="000000" w:themeColor="text1"/>
          <w:sz w:val="22"/>
          <w:szCs w:val="22"/>
          <w:lang w:eastAsia="en-US"/>
        </w:rPr>
        <w:t>)</w:t>
      </w:r>
    </w:p>
    <w:p w14:paraId="7054C8B9" w14:textId="6202F47B"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Pr>
          <w:rFonts w:ascii="Arial" w:eastAsiaTheme="minorHAnsi" w:hAnsi="Arial" w:cs="Arial"/>
          <w:color w:val="000000" w:themeColor="text1"/>
          <w:sz w:val="22"/>
          <w:szCs w:val="22"/>
          <w:lang w:eastAsia="en-US"/>
        </w:rPr>
        <w:lastRenderedPageBreak/>
        <w:t>PPP</w:t>
      </w:r>
      <w:r>
        <w:rPr>
          <w:rFonts w:ascii="Arial" w:eastAsiaTheme="minorHAnsi" w:hAnsi="Arial" w:cs="Arial"/>
          <w:color w:val="000000" w:themeColor="text1"/>
          <w:sz w:val="22"/>
          <w:szCs w:val="22"/>
          <w:lang w:eastAsia="en-US"/>
        </w:rPr>
        <w:tab/>
      </w:r>
      <w:r w:rsidR="0095720A">
        <w:rPr>
          <w:rFonts w:ascii="Arial" w:eastAsiaTheme="minorHAnsi" w:hAnsi="Arial" w:cs="Arial"/>
          <w:color w:val="000000" w:themeColor="text1"/>
          <w:sz w:val="22"/>
          <w:szCs w:val="22"/>
          <w:lang w:eastAsia="en-US"/>
        </w:rPr>
        <w:t>p</w:t>
      </w:r>
      <w:r w:rsidRPr="001A6162">
        <w:rPr>
          <w:rFonts w:ascii="Arial" w:eastAsiaTheme="minorHAnsi" w:hAnsi="Arial" w:cs="Arial"/>
          <w:color w:val="000000" w:themeColor="text1"/>
          <w:sz w:val="22"/>
          <w:szCs w:val="22"/>
          <w:lang w:eastAsia="en-US"/>
        </w:rPr>
        <w:t>arita kupní síly</w:t>
      </w:r>
    </w:p>
    <w:p w14:paraId="7FA555B8" w14:textId="54110062"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Pr>
          <w:rFonts w:ascii="Arial" w:eastAsiaTheme="minorHAnsi" w:hAnsi="Arial" w:cs="Arial"/>
          <w:color w:val="000000" w:themeColor="text1"/>
          <w:sz w:val="22"/>
          <w:szCs w:val="22"/>
          <w:lang w:eastAsia="en-US"/>
        </w:rPr>
        <w:t>RCT</w:t>
      </w:r>
      <w:r>
        <w:rPr>
          <w:rFonts w:ascii="Arial" w:eastAsiaTheme="minorHAnsi" w:hAnsi="Arial" w:cs="Arial"/>
          <w:color w:val="000000" w:themeColor="text1"/>
          <w:sz w:val="22"/>
          <w:szCs w:val="22"/>
          <w:lang w:eastAsia="en-US"/>
        </w:rPr>
        <w:tab/>
      </w:r>
      <w:r w:rsidR="008C7AAB" w:rsidRPr="008C7AAB">
        <w:rPr>
          <w:rFonts w:ascii="Arial" w:eastAsiaTheme="minorHAnsi" w:hAnsi="Arial" w:cs="Arial"/>
          <w:color w:val="000000" w:themeColor="text1"/>
          <w:sz w:val="22"/>
          <w:szCs w:val="22"/>
          <w:lang w:eastAsia="en-US"/>
        </w:rPr>
        <w:t xml:space="preserve">randomizovaná kontrolovaná studie </w:t>
      </w:r>
      <w:r w:rsidR="008C7AAB">
        <w:rPr>
          <w:rFonts w:ascii="Arial" w:eastAsiaTheme="minorHAnsi" w:hAnsi="Arial" w:cs="Arial"/>
          <w:color w:val="000000" w:themeColor="text1"/>
          <w:sz w:val="22"/>
          <w:szCs w:val="22"/>
          <w:lang w:eastAsia="en-US"/>
        </w:rPr>
        <w:t>(</w:t>
      </w:r>
      <w:proofErr w:type="spellStart"/>
      <w:r w:rsidRPr="001A6162">
        <w:rPr>
          <w:rFonts w:ascii="Arial" w:eastAsiaTheme="minorHAnsi" w:hAnsi="Arial" w:cs="Arial"/>
          <w:color w:val="000000" w:themeColor="text1"/>
          <w:sz w:val="22"/>
          <w:szCs w:val="22"/>
          <w:lang w:eastAsia="en-US"/>
        </w:rPr>
        <w:t>Randomized</w:t>
      </w:r>
      <w:proofErr w:type="spellEnd"/>
      <w:r w:rsidRPr="001A6162">
        <w:rPr>
          <w:rFonts w:ascii="Arial" w:eastAsiaTheme="minorHAnsi" w:hAnsi="Arial" w:cs="Arial"/>
          <w:color w:val="000000" w:themeColor="text1"/>
          <w:sz w:val="22"/>
          <w:szCs w:val="22"/>
          <w:lang w:eastAsia="en-US"/>
        </w:rPr>
        <w:t xml:space="preserve"> </w:t>
      </w:r>
      <w:proofErr w:type="spellStart"/>
      <w:r w:rsidRPr="001A6162">
        <w:rPr>
          <w:rFonts w:ascii="Arial" w:eastAsiaTheme="minorHAnsi" w:hAnsi="Arial" w:cs="Arial"/>
          <w:color w:val="000000" w:themeColor="text1"/>
          <w:sz w:val="22"/>
          <w:szCs w:val="22"/>
          <w:lang w:eastAsia="en-US"/>
        </w:rPr>
        <w:t>Controlled</w:t>
      </w:r>
      <w:proofErr w:type="spellEnd"/>
      <w:r w:rsidRPr="001A6162">
        <w:rPr>
          <w:rFonts w:ascii="Arial" w:eastAsiaTheme="minorHAnsi" w:hAnsi="Arial" w:cs="Arial"/>
          <w:color w:val="000000" w:themeColor="text1"/>
          <w:sz w:val="22"/>
          <w:szCs w:val="22"/>
          <w:lang w:eastAsia="en-US"/>
        </w:rPr>
        <w:t xml:space="preserve"> Trial</w:t>
      </w:r>
      <w:r w:rsidR="008C7AAB">
        <w:rPr>
          <w:rFonts w:ascii="Arial" w:eastAsiaTheme="minorHAnsi" w:hAnsi="Arial" w:cs="Arial"/>
          <w:color w:val="000000" w:themeColor="text1"/>
          <w:sz w:val="22"/>
          <w:szCs w:val="22"/>
          <w:lang w:eastAsia="en-US"/>
        </w:rPr>
        <w:t>)</w:t>
      </w:r>
    </w:p>
    <w:p w14:paraId="04D65F12" w14:textId="11ABE40E"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Pr>
          <w:rFonts w:ascii="Arial" w:eastAsiaTheme="minorHAnsi" w:hAnsi="Arial" w:cs="Arial"/>
          <w:color w:val="000000" w:themeColor="text1"/>
          <w:sz w:val="22"/>
          <w:szCs w:val="22"/>
          <w:lang w:eastAsia="en-US"/>
        </w:rPr>
        <w:t>RIA</w:t>
      </w:r>
      <w:r>
        <w:rPr>
          <w:rFonts w:ascii="Arial" w:eastAsiaTheme="minorHAnsi" w:hAnsi="Arial" w:cs="Arial"/>
          <w:color w:val="000000" w:themeColor="text1"/>
          <w:sz w:val="22"/>
          <w:szCs w:val="22"/>
          <w:lang w:eastAsia="en-US"/>
        </w:rPr>
        <w:tab/>
      </w:r>
      <w:r w:rsidRPr="001A6162">
        <w:rPr>
          <w:rFonts w:ascii="Arial" w:eastAsiaTheme="minorHAnsi" w:hAnsi="Arial" w:cs="Arial"/>
          <w:color w:val="000000" w:themeColor="text1"/>
          <w:sz w:val="22"/>
          <w:szCs w:val="22"/>
          <w:lang w:eastAsia="en-US"/>
        </w:rPr>
        <w:t>Hodnocení dopadů regulace (</w:t>
      </w:r>
      <w:proofErr w:type="spellStart"/>
      <w:r w:rsidRPr="001A6162">
        <w:rPr>
          <w:rFonts w:ascii="Arial" w:eastAsiaTheme="minorHAnsi" w:hAnsi="Arial" w:cs="Arial"/>
          <w:color w:val="000000" w:themeColor="text1"/>
          <w:sz w:val="22"/>
          <w:szCs w:val="22"/>
          <w:lang w:eastAsia="en-US"/>
        </w:rPr>
        <w:t>Regulatory</w:t>
      </w:r>
      <w:proofErr w:type="spellEnd"/>
      <w:r w:rsidRPr="001A6162">
        <w:rPr>
          <w:rFonts w:ascii="Arial" w:eastAsiaTheme="minorHAnsi" w:hAnsi="Arial" w:cs="Arial"/>
          <w:color w:val="000000" w:themeColor="text1"/>
          <w:sz w:val="22"/>
          <w:szCs w:val="22"/>
          <w:lang w:eastAsia="en-US"/>
        </w:rPr>
        <w:t xml:space="preserve"> </w:t>
      </w:r>
      <w:proofErr w:type="spellStart"/>
      <w:r w:rsidRPr="001A6162">
        <w:rPr>
          <w:rFonts w:ascii="Arial" w:eastAsiaTheme="minorHAnsi" w:hAnsi="Arial" w:cs="Arial"/>
          <w:color w:val="000000" w:themeColor="text1"/>
          <w:sz w:val="22"/>
          <w:szCs w:val="22"/>
          <w:lang w:eastAsia="en-US"/>
        </w:rPr>
        <w:t>Impact</w:t>
      </w:r>
      <w:proofErr w:type="spellEnd"/>
      <w:r w:rsidRPr="001A6162">
        <w:rPr>
          <w:rFonts w:ascii="Arial" w:eastAsiaTheme="minorHAnsi" w:hAnsi="Arial" w:cs="Arial"/>
          <w:color w:val="000000" w:themeColor="text1"/>
          <w:sz w:val="22"/>
          <w:szCs w:val="22"/>
          <w:lang w:eastAsia="en-US"/>
        </w:rPr>
        <w:t xml:space="preserve"> </w:t>
      </w:r>
      <w:proofErr w:type="spellStart"/>
      <w:r w:rsidRPr="001A6162">
        <w:rPr>
          <w:rFonts w:ascii="Arial" w:eastAsiaTheme="minorHAnsi" w:hAnsi="Arial" w:cs="Arial"/>
          <w:color w:val="000000" w:themeColor="text1"/>
          <w:sz w:val="22"/>
          <w:szCs w:val="22"/>
          <w:lang w:eastAsia="en-US"/>
        </w:rPr>
        <w:t>Assessment</w:t>
      </w:r>
      <w:proofErr w:type="spellEnd"/>
      <w:r w:rsidRPr="001A6162">
        <w:rPr>
          <w:rFonts w:ascii="Arial" w:eastAsiaTheme="minorHAnsi" w:hAnsi="Arial" w:cs="Arial"/>
          <w:color w:val="000000" w:themeColor="text1"/>
          <w:sz w:val="22"/>
          <w:szCs w:val="22"/>
          <w:lang w:eastAsia="en-US"/>
        </w:rPr>
        <w:t>)</w:t>
      </w:r>
    </w:p>
    <w:p w14:paraId="2F09E652" w14:textId="0859005B"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Pr>
          <w:rFonts w:ascii="Arial" w:eastAsiaTheme="minorHAnsi" w:hAnsi="Arial" w:cs="Arial"/>
          <w:color w:val="000000" w:themeColor="text1"/>
          <w:sz w:val="22"/>
          <w:szCs w:val="22"/>
          <w:lang w:eastAsia="en-US"/>
        </w:rPr>
        <w:t xml:space="preserve">RSO </w:t>
      </w:r>
      <w:r>
        <w:rPr>
          <w:rFonts w:ascii="Arial" w:eastAsiaTheme="minorHAnsi" w:hAnsi="Arial" w:cs="Arial"/>
          <w:color w:val="000000" w:themeColor="text1"/>
          <w:sz w:val="22"/>
          <w:szCs w:val="22"/>
          <w:lang w:eastAsia="en-US"/>
        </w:rPr>
        <w:tab/>
      </w:r>
      <w:r w:rsidRPr="001A6162">
        <w:rPr>
          <w:rFonts w:ascii="Arial" w:eastAsiaTheme="minorHAnsi" w:hAnsi="Arial" w:cs="Arial"/>
          <w:color w:val="000000" w:themeColor="text1"/>
          <w:sz w:val="22"/>
          <w:szCs w:val="22"/>
          <w:lang w:eastAsia="en-US"/>
        </w:rPr>
        <w:t>Registr sčítacích obvodů</w:t>
      </w:r>
    </w:p>
    <w:p w14:paraId="29D594C8" w14:textId="77777777"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SFRB</w:t>
      </w:r>
      <w:r w:rsidRPr="001A6162">
        <w:rPr>
          <w:rFonts w:ascii="Arial" w:eastAsiaTheme="minorHAnsi" w:hAnsi="Arial" w:cs="Arial"/>
          <w:color w:val="000000" w:themeColor="text1"/>
          <w:sz w:val="22"/>
          <w:szCs w:val="22"/>
          <w:lang w:eastAsia="en-US"/>
        </w:rPr>
        <w:tab/>
        <w:t>Státní fond rozvoje bydlení</w:t>
      </w:r>
    </w:p>
    <w:p w14:paraId="01B990F4" w14:textId="77777777"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SHA 2011</w:t>
      </w:r>
      <w:r w:rsidRPr="001A6162">
        <w:rPr>
          <w:rFonts w:ascii="Arial" w:eastAsiaTheme="minorHAnsi" w:hAnsi="Arial" w:cs="Arial"/>
          <w:color w:val="000000" w:themeColor="text1"/>
          <w:sz w:val="22"/>
          <w:szCs w:val="22"/>
          <w:lang w:eastAsia="en-US"/>
        </w:rPr>
        <w:tab/>
        <w:t xml:space="preserve">Mezinárodní klasifikace druhů </w:t>
      </w:r>
      <w:r w:rsidRPr="001A6162">
        <w:rPr>
          <w:rFonts w:ascii="Arial" w:eastAsiaTheme="minorHAnsi" w:hAnsi="Arial" w:cs="Arial"/>
          <w:bCs/>
          <w:color w:val="000000" w:themeColor="text1"/>
          <w:sz w:val="22"/>
          <w:szCs w:val="22"/>
          <w:lang w:eastAsia="en-US"/>
        </w:rPr>
        <w:t>zdravotní</w:t>
      </w:r>
      <w:r w:rsidRPr="001A6162">
        <w:rPr>
          <w:rFonts w:ascii="Arial" w:eastAsiaTheme="minorHAnsi" w:hAnsi="Arial" w:cs="Arial"/>
          <w:color w:val="000000" w:themeColor="text1"/>
          <w:sz w:val="22"/>
          <w:szCs w:val="22"/>
          <w:lang w:eastAsia="en-US"/>
        </w:rPr>
        <w:t xml:space="preserve"> péče</w:t>
      </w:r>
    </w:p>
    <w:p w14:paraId="46FAA161" w14:textId="100941BB"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Pr>
          <w:rFonts w:ascii="Arial" w:eastAsiaTheme="minorHAnsi" w:hAnsi="Arial" w:cs="Arial"/>
          <w:color w:val="000000" w:themeColor="text1"/>
          <w:sz w:val="22"/>
          <w:szCs w:val="22"/>
          <w:lang w:eastAsia="en-US"/>
        </w:rPr>
        <w:t xml:space="preserve">SILC </w:t>
      </w:r>
      <w:r>
        <w:rPr>
          <w:rFonts w:ascii="Arial" w:eastAsiaTheme="minorHAnsi" w:hAnsi="Arial" w:cs="Arial"/>
          <w:color w:val="000000" w:themeColor="text1"/>
          <w:sz w:val="22"/>
          <w:szCs w:val="22"/>
          <w:lang w:eastAsia="en-US"/>
        </w:rPr>
        <w:tab/>
      </w:r>
      <w:r w:rsidRPr="001A6162">
        <w:rPr>
          <w:rFonts w:ascii="Arial" w:eastAsiaTheme="minorHAnsi" w:hAnsi="Arial" w:cs="Arial"/>
          <w:color w:val="000000" w:themeColor="text1"/>
          <w:sz w:val="22"/>
          <w:szCs w:val="22"/>
          <w:lang w:eastAsia="en-US"/>
        </w:rPr>
        <w:t>Výběrové šetření příjmů a životních podmínek domácností</w:t>
      </w:r>
      <w:r w:rsidR="008C7AAB">
        <w:rPr>
          <w:rFonts w:ascii="Arial" w:eastAsiaTheme="minorHAnsi" w:hAnsi="Arial" w:cs="Arial"/>
          <w:color w:val="000000" w:themeColor="text1"/>
          <w:sz w:val="22"/>
          <w:szCs w:val="22"/>
          <w:lang w:eastAsia="en-US"/>
        </w:rPr>
        <w:t xml:space="preserve"> (</w:t>
      </w:r>
      <w:proofErr w:type="spellStart"/>
      <w:r w:rsidR="008C7AAB" w:rsidRPr="008C7AAB">
        <w:rPr>
          <w:rFonts w:ascii="Arial" w:eastAsiaTheme="minorHAnsi" w:hAnsi="Arial" w:cs="Arial"/>
          <w:color w:val="000000" w:themeColor="text1"/>
          <w:sz w:val="22"/>
          <w:szCs w:val="22"/>
          <w:lang w:eastAsia="en-US"/>
        </w:rPr>
        <w:t>Statistics</w:t>
      </w:r>
      <w:proofErr w:type="spellEnd"/>
      <w:r w:rsidR="008C7AAB" w:rsidRPr="008C7AAB">
        <w:rPr>
          <w:rFonts w:ascii="Arial" w:eastAsiaTheme="minorHAnsi" w:hAnsi="Arial" w:cs="Arial"/>
          <w:color w:val="000000" w:themeColor="text1"/>
          <w:sz w:val="22"/>
          <w:szCs w:val="22"/>
          <w:lang w:eastAsia="en-US"/>
        </w:rPr>
        <w:t xml:space="preserve"> on </w:t>
      </w:r>
      <w:proofErr w:type="spellStart"/>
      <w:r w:rsidR="008C7AAB" w:rsidRPr="008C7AAB">
        <w:rPr>
          <w:rFonts w:ascii="Arial" w:eastAsiaTheme="minorHAnsi" w:hAnsi="Arial" w:cs="Arial"/>
          <w:color w:val="000000" w:themeColor="text1"/>
          <w:sz w:val="22"/>
          <w:szCs w:val="22"/>
          <w:lang w:eastAsia="en-US"/>
        </w:rPr>
        <w:t>Income</w:t>
      </w:r>
      <w:proofErr w:type="spellEnd"/>
      <w:r w:rsidR="008C7AAB" w:rsidRPr="008C7AAB">
        <w:rPr>
          <w:rFonts w:ascii="Arial" w:eastAsiaTheme="minorHAnsi" w:hAnsi="Arial" w:cs="Arial"/>
          <w:color w:val="000000" w:themeColor="text1"/>
          <w:sz w:val="22"/>
          <w:szCs w:val="22"/>
          <w:lang w:eastAsia="en-US"/>
        </w:rPr>
        <w:t xml:space="preserve"> and </w:t>
      </w:r>
      <w:proofErr w:type="spellStart"/>
      <w:r w:rsidR="008C7AAB" w:rsidRPr="008C7AAB">
        <w:rPr>
          <w:rFonts w:ascii="Arial" w:eastAsiaTheme="minorHAnsi" w:hAnsi="Arial" w:cs="Arial"/>
          <w:color w:val="000000" w:themeColor="text1"/>
          <w:sz w:val="22"/>
          <w:szCs w:val="22"/>
          <w:lang w:eastAsia="en-US"/>
        </w:rPr>
        <w:t>Living</w:t>
      </w:r>
      <w:proofErr w:type="spellEnd"/>
      <w:r w:rsidR="008C7AAB" w:rsidRPr="008C7AAB">
        <w:rPr>
          <w:rFonts w:ascii="Arial" w:eastAsiaTheme="minorHAnsi" w:hAnsi="Arial" w:cs="Arial"/>
          <w:color w:val="000000" w:themeColor="text1"/>
          <w:sz w:val="22"/>
          <w:szCs w:val="22"/>
          <w:lang w:eastAsia="en-US"/>
        </w:rPr>
        <w:t xml:space="preserve"> </w:t>
      </w:r>
      <w:proofErr w:type="spellStart"/>
      <w:r w:rsidR="008C7AAB" w:rsidRPr="008C7AAB">
        <w:rPr>
          <w:rFonts w:ascii="Arial" w:eastAsiaTheme="minorHAnsi" w:hAnsi="Arial" w:cs="Arial"/>
          <w:color w:val="000000" w:themeColor="text1"/>
          <w:sz w:val="22"/>
          <w:szCs w:val="22"/>
          <w:lang w:eastAsia="en-US"/>
        </w:rPr>
        <w:t>Conditions</w:t>
      </w:r>
      <w:proofErr w:type="spellEnd"/>
      <w:r w:rsidR="008C7AAB">
        <w:rPr>
          <w:rFonts w:ascii="Arial" w:eastAsiaTheme="minorHAnsi" w:hAnsi="Arial" w:cs="Arial"/>
          <w:color w:val="000000" w:themeColor="text1"/>
          <w:sz w:val="22"/>
          <w:szCs w:val="22"/>
          <w:lang w:eastAsia="en-US"/>
        </w:rPr>
        <w:t>)</w:t>
      </w:r>
    </w:p>
    <w:p w14:paraId="180DDDAF" w14:textId="6938373E"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Pr>
          <w:rFonts w:ascii="Arial" w:eastAsiaTheme="minorHAnsi" w:hAnsi="Arial" w:cs="Arial"/>
          <w:color w:val="000000" w:themeColor="text1"/>
          <w:sz w:val="22"/>
          <w:szCs w:val="22"/>
          <w:lang w:eastAsia="en-US"/>
        </w:rPr>
        <w:t xml:space="preserve">SIMS </w:t>
      </w:r>
      <w:r>
        <w:rPr>
          <w:rFonts w:ascii="Arial" w:eastAsiaTheme="minorHAnsi" w:hAnsi="Arial" w:cs="Arial"/>
          <w:color w:val="000000" w:themeColor="text1"/>
          <w:sz w:val="22"/>
          <w:szCs w:val="22"/>
          <w:lang w:eastAsia="en-US"/>
        </w:rPr>
        <w:tab/>
      </w:r>
      <w:r w:rsidR="008C7AAB" w:rsidRPr="008C7AAB">
        <w:rPr>
          <w:rFonts w:ascii="Arial" w:eastAsiaTheme="minorHAnsi" w:hAnsi="Arial" w:cs="Arial"/>
          <w:color w:val="000000" w:themeColor="text1"/>
          <w:sz w:val="22"/>
          <w:szCs w:val="22"/>
          <w:lang w:eastAsia="en-US"/>
        </w:rPr>
        <w:t>Sdružené informace matrik studentů</w:t>
      </w:r>
    </w:p>
    <w:p w14:paraId="66FE4C14" w14:textId="48DA3FE5"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SLDB</w:t>
      </w:r>
      <w:r w:rsidRPr="001A6162">
        <w:rPr>
          <w:rFonts w:ascii="Arial" w:eastAsiaTheme="minorHAnsi" w:hAnsi="Arial" w:cs="Arial"/>
          <w:color w:val="000000" w:themeColor="text1"/>
          <w:sz w:val="22"/>
          <w:szCs w:val="22"/>
          <w:lang w:eastAsia="en-US"/>
        </w:rPr>
        <w:tab/>
      </w:r>
      <w:r w:rsidR="0095720A">
        <w:rPr>
          <w:rFonts w:ascii="Arial" w:eastAsiaTheme="minorHAnsi" w:hAnsi="Arial" w:cs="Arial"/>
          <w:color w:val="000000" w:themeColor="text1"/>
          <w:sz w:val="22"/>
          <w:szCs w:val="22"/>
          <w:lang w:eastAsia="en-US"/>
        </w:rPr>
        <w:t>s</w:t>
      </w:r>
      <w:r w:rsidRPr="001A6162">
        <w:rPr>
          <w:rFonts w:ascii="Arial" w:eastAsiaTheme="minorHAnsi" w:hAnsi="Arial" w:cs="Arial"/>
          <w:color w:val="000000" w:themeColor="text1"/>
          <w:sz w:val="22"/>
          <w:szCs w:val="22"/>
          <w:lang w:eastAsia="en-US"/>
        </w:rPr>
        <w:t>čítání lidu, domů a bytů</w:t>
      </w:r>
    </w:p>
    <w:p w14:paraId="44B97C5F" w14:textId="5FCC2C27"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SO ORP</w:t>
      </w:r>
      <w:r w:rsidRPr="001A6162">
        <w:rPr>
          <w:rFonts w:ascii="Arial" w:eastAsiaTheme="minorHAnsi" w:hAnsi="Arial" w:cs="Arial"/>
          <w:color w:val="000000" w:themeColor="text1"/>
          <w:sz w:val="22"/>
          <w:szCs w:val="22"/>
          <w:lang w:eastAsia="en-US"/>
        </w:rPr>
        <w:tab/>
      </w:r>
      <w:r w:rsidR="0095720A">
        <w:rPr>
          <w:rFonts w:ascii="Arial" w:eastAsiaTheme="minorHAnsi" w:hAnsi="Arial" w:cs="Arial"/>
          <w:color w:val="000000" w:themeColor="text1"/>
          <w:sz w:val="22"/>
          <w:szCs w:val="22"/>
          <w:lang w:eastAsia="en-US"/>
        </w:rPr>
        <w:t>s</w:t>
      </w:r>
      <w:r w:rsidRPr="001A6162">
        <w:rPr>
          <w:rFonts w:ascii="Arial" w:eastAsiaTheme="minorHAnsi" w:hAnsi="Arial" w:cs="Arial"/>
          <w:color w:val="000000" w:themeColor="text1"/>
          <w:sz w:val="22"/>
          <w:szCs w:val="22"/>
          <w:lang w:eastAsia="en-US"/>
        </w:rPr>
        <w:t>právní obvod obce s rozšířenou působností</w:t>
      </w:r>
    </w:p>
    <w:p w14:paraId="1AE531F0" w14:textId="7F141423"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SO POÚ</w:t>
      </w:r>
      <w:r w:rsidRPr="001A6162">
        <w:rPr>
          <w:rFonts w:ascii="Arial" w:eastAsiaTheme="minorHAnsi" w:hAnsi="Arial" w:cs="Arial"/>
          <w:color w:val="000000" w:themeColor="text1"/>
          <w:sz w:val="22"/>
          <w:szCs w:val="22"/>
          <w:lang w:eastAsia="en-US"/>
        </w:rPr>
        <w:tab/>
      </w:r>
      <w:r w:rsidR="0095720A">
        <w:rPr>
          <w:rFonts w:ascii="Arial" w:eastAsiaTheme="minorHAnsi" w:hAnsi="Arial" w:cs="Arial"/>
          <w:color w:val="000000" w:themeColor="text1"/>
          <w:sz w:val="22"/>
          <w:szCs w:val="22"/>
          <w:lang w:eastAsia="en-US"/>
        </w:rPr>
        <w:t>s</w:t>
      </w:r>
      <w:r w:rsidRPr="001A6162">
        <w:rPr>
          <w:rFonts w:ascii="Arial" w:eastAsiaTheme="minorHAnsi" w:hAnsi="Arial" w:cs="Arial"/>
          <w:color w:val="000000" w:themeColor="text1"/>
          <w:sz w:val="22"/>
          <w:szCs w:val="22"/>
          <w:lang w:eastAsia="en-US"/>
        </w:rPr>
        <w:t>právní obvod obce s pověřeným obecním úřadem</w:t>
      </w:r>
    </w:p>
    <w:p w14:paraId="65B98D77" w14:textId="77777777"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SRRVS</w:t>
      </w:r>
      <w:r w:rsidRPr="001A6162">
        <w:rPr>
          <w:rFonts w:ascii="Arial" w:eastAsiaTheme="minorHAnsi" w:hAnsi="Arial" w:cs="Arial"/>
          <w:color w:val="000000" w:themeColor="text1"/>
          <w:sz w:val="22"/>
          <w:szCs w:val="22"/>
          <w:lang w:eastAsia="en-US"/>
        </w:rPr>
        <w:tab/>
        <w:t>Strategický rámec rozvoje veřejné správy</w:t>
      </w:r>
    </w:p>
    <w:p w14:paraId="1A7500CC" w14:textId="77777777"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SRUR</w:t>
      </w:r>
      <w:r w:rsidRPr="001A6162">
        <w:rPr>
          <w:rFonts w:ascii="Arial" w:eastAsiaTheme="minorHAnsi" w:hAnsi="Arial" w:cs="Arial"/>
          <w:color w:val="000000" w:themeColor="text1"/>
          <w:sz w:val="22"/>
          <w:szCs w:val="22"/>
          <w:lang w:eastAsia="en-US"/>
        </w:rPr>
        <w:tab/>
        <w:t>Strategický rámec udržitelného rozvoje</w:t>
      </w:r>
    </w:p>
    <w:p w14:paraId="15AC6189" w14:textId="77777777"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SSS</w:t>
      </w:r>
      <w:r w:rsidRPr="001A6162">
        <w:rPr>
          <w:rFonts w:ascii="Arial" w:eastAsiaTheme="minorHAnsi" w:hAnsi="Arial" w:cs="Arial"/>
          <w:color w:val="000000" w:themeColor="text1"/>
          <w:sz w:val="22"/>
          <w:szCs w:val="22"/>
          <w:lang w:eastAsia="en-US"/>
        </w:rPr>
        <w:tab/>
        <w:t>Sekce státní služby</w:t>
      </w:r>
    </w:p>
    <w:p w14:paraId="11268CEE" w14:textId="77777777"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TEN-T</w:t>
      </w:r>
      <w:r w:rsidRPr="001A6162">
        <w:rPr>
          <w:rFonts w:ascii="Arial" w:eastAsiaTheme="minorHAnsi" w:hAnsi="Arial" w:cs="Arial"/>
          <w:color w:val="000000" w:themeColor="text1"/>
          <w:sz w:val="22"/>
          <w:szCs w:val="22"/>
          <w:lang w:eastAsia="en-US"/>
        </w:rPr>
        <w:tab/>
        <w:t>Transevropská dopravní síť</w:t>
      </w:r>
    </w:p>
    <w:p w14:paraId="0EF936DE" w14:textId="7B315EB0"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US EPA</w:t>
      </w:r>
      <w:r w:rsidRPr="001A6162">
        <w:rPr>
          <w:rFonts w:ascii="Arial" w:eastAsiaTheme="minorHAnsi" w:hAnsi="Arial" w:cs="Arial"/>
          <w:color w:val="000000" w:themeColor="text1"/>
          <w:sz w:val="22"/>
          <w:szCs w:val="22"/>
          <w:lang w:eastAsia="en-US"/>
        </w:rPr>
        <w:tab/>
      </w:r>
      <w:r w:rsidR="008C7AAB" w:rsidRPr="008C7AAB">
        <w:rPr>
          <w:rFonts w:ascii="Arial" w:eastAsiaTheme="minorHAnsi" w:hAnsi="Arial" w:cs="Arial"/>
          <w:color w:val="000000" w:themeColor="text1"/>
          <w:sz w:val="22"/>
          <w:szCs w:val="22"/>
          <w:lang w:eastAsia="en-US"/>
        </w:rPr>
        <w:t xml:space="preserve">Agentura pro ochranu životního prostředí </w:t>
      </w:r>
      <w:r w:rsidR="008C7AAB">
        <w:rPr>
          <w:rFonts w:ascii="Arial" w:eastAsiaTheme="minorHAnsi" w:hAnsi="Arial" w:cs="Arial"/>
          <w:color w:val="000000" w:themeColor="text1"/>
          <w:sz w:val="22"/>
          <w:szCs w:val="22"/>
          <w:lang w:eastAsia="en-US"/>
        </w:rPr>
        <w:t>(</w:t>
      </w:r>
      <w:r w:rsidRPr="001A6162">
        <w:rPr>
          <w:rFonts w:ascii="Arial" w:eastAsiaTheme="minorHAnsi" w:hAnsi="Arial" w:cs="Arial"/>
          <w:color w:val="000000" w:themeColor="text1"/>
          <w:sz w:val="22"/>
          <w:szCs w:val="22"/>
          <w:lang w:eastAsia="en-US"/>
        </w:rPr>
        <w:t xml:space="preserve">United </w:t>
      </w:r>
      <w:proofErr w:type="spellStart"/>
      <w:r w:rsidRPr="001A6162">
        <w:rPr>
          <w:rFonts w:ascii="Arial" w:eastAsiaTheme="minorHAnsi" w:hAnsi="Arial" w:cs="Arial"/>
          <w:color w:val="000000" w:themeColor="text1"/>
          <w:sz w:val="22"/>
          <w:szCs w:val="22"/>
          <w:lang w:eastAsia="en-US"/>
        </w:rPr>
        <w:t>States</w:t>
      </w:r>
      <w:proofErr w:type="spellEnd"/>
      <w:r w:rsidRPr="001A6162">
        <w:rPr>
          <w:rFonts w:ascii="Arial" w:eastAsiaTheme="minorHAnsi" w:hAnsi="Arial" w:cs="Arial"/>
          <w:color w:val="000000" w:themeColor="text1"/>
          <w:sz w:val="22"/>
          <w:szCs w:val="22"/>
          <w:lang w:eastAsia="en-US"/>
        </w:rPr>
        <w:t xml:space="preserve"> </w:t>
      </w:r>
      <w:proofErr w:type="spellStart"/>
      <w:r w:rsidRPr="001A6162">
        <w:rPr>
          <w:rFonts w:ascii="Arial" w:eastAsiaTheme="minorHAnsi" w:hAnsi="Arial" w:cs="Arial"/>
          <w:color w:val="000000" w:themeColor="text1"/>
          <w:sz w:val="22"/>
          <w:szCs w:val="22"/>
          <w:lang w:eastAsia="en-US"/>
        </w:rPr>
        <w:t>Environmental</w:t>
      </w:r>
      <w:proofErr w:type="spellEnd"/>
      <w:r w:rsidRPr="001A6162">
        <w:rPr>
          <w:rFonts w:ascii="Arial" w:eastAsiaTheme="minorHAnsi" w:hAnsi="Arial" w:cs="Arial"/>
          <w:color w:val="000000" w:themeColor="text1"/>
          <w:sz w:val="22"/>
          <w:szCs w:val="22"/>
          <w:lang w:eastAsia="en-US"/>
        </w:rPr>
        <w:t xml:space="preserve"> </w:t>
      </w:r>
      <w:proofErr w:type="spellStart"/>
      <w:r w:rsidRPr="001A6162">
        <w:rPr>
          <w:rFonts w:ascii="Arial" w:eastAsiaTheme="minorHAnsi" w:hAnsi="Arial" w:cs="Arial"/>
          <w:color w:val="000000" w:themeColor="text1"/>
          <w:sz w:val="22"/>
          <w:szCs w:val="22"/>
          <w:lang w:eastAsia="en-US"/>
        </w:rPr>
        <w:t>Protection</w:t>
      </w:r>
      <w:proofErr w:type="spellEnd"/>
      <w:r w:rsidRPr="001A6162">
        <w:rPr>
          <w:rFonts w:ascii="Arial" w:eastAsiaTheme="minorHAnsi" w:hAnsi="Arial" w:cs="Arial"/>
          <w:color w:val="000000" w:themeColor="text1"/>
          <w:sz w:val="22"/>
          <w:szCs w:val="22"/>
          <w:lang w:eastAsia="en-US"/>
        </w:rPr>
        <w:t xml:space="preserve"> </w:t>
      </w:r>
      <w:proofErr w:type="spellStart"/>
      <w:r w:rsidRPr="001A6162">
        <w:rPr>
          <w:rFonts w:ascii="Arial" w:eastAsiaTheme="minorHAnsi" w:hAnsi="Arial" w:cs="Arial"/>
          <w:color w:val="000000" w:themeColor="text1"/>
          <w:sz w:val="22"/>
          <w:szCs w:val="22"/>
          <w:lang w:eastAsia="en-US"/>
        </w:rPr>
        <w:t>Agency</w:t>
      </w:r>
      <w:proofErr w:type="spellEnd"/>
      <w:r w:rsidR="008C7AAB">
        <w:rPr>
          <w:rFonts w:ascii="Arial" w:eastAsiaTheme="minorHAnsi" w:hAnsi="Arial" w:cs="Arial"/>
          <w:color w:val="000000" w:themeColor="text1"/>
          <w:sz w:val="22"/>
          <w:szCs w:val="22"/>
          <w:lang w:eastAsia="en-US"/>
        </w:rPr>
        <w:t>)</w:t>
      </w:r>
    </w:p>
    <w:p w14:paraId="09BAA32A" w14:textId="5FAD9611"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ÚSC</w:t>
      </w:r>
      <w:r w:rsidR="0095720A">
        <w:rPr>
          <w:rFonts w:ascii="Arial" w:eastAsiaTheme="minorHAnsi" w:hAnsi="Arial" w:cs="Arial"/>
          <w:color w:val="000000" w:themeColor="text1"/>
          <w:sz w:val="22"/>
          <w:szCs w:val="22"/>
          <w:lang w:eastAsia="en-US"/>
        </w:rPr>
        <w:tab/>
        <w:t>územní správní celky</w:t>
      </w:r>
    </w:p>
    <w:p w14:paraId="581244CB" w14:textId="50443686"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USDA</w:t>
      </w:r>
      <w:r w:rsidRPr="001A6162">
        <w:rPr>
          <w:rFonts w:ascii="Arial" w:eastAsiaTheme="minorHAnsi" w:hAnsi="Arial" w:cs="Arial"/>
          <w:color w:val="000000" w:themeColor="text1"/>
          <w:sz w:val="22"/>
          <w:szCs w:val="22"/>
          <w:lang w:eastAsia="en-US"/>
        </w:rPr>
        <w:tab/>
      </w:r>
      <w:r w:rsidR="008C7AAB">
        <w:rPr>
          <w:rFonts w:ascii="Arial" w:eastAsiaTheme="minorHAnsi" w:hAnsi="Arial" w:cs="Arial"/>
          <w:color w:val="000000" w:themeColor="text1"/>
          <w:sz w:val="22"/>
          <w:szCs w:val="22"/>
          <w:lang w:eastAsia="en-US"/>
        </w:rPr>
        <w:t>Ministerstvo</w:t>
      </w:r>
      <w:r w:rsidR="008C7AAB" w:rsidRPr="008C7AAB">
        <w:rPr>
          <w:rFonts w:ascii="Arial" w:eastAsiaTheme="minorHAnsi" w:hAnsi="Arial" w:cs="Arial"/>
          <w:color w:val="000000" w:themeColor="text1"/>
          <w:sz w:val="22"/>
          <w:szCs w:val="22"/>
          <w:lang w:eastAsia="en-US"/>
        </w:rPr>
        <w:t xml:space="preserve"> zemědělství </w:t>
      </w:r>
      <w:proofErr w:type="gramStart"/>
      <w:r w:rsidR="008C7AAB" w:rsidRPr="008C7AAB">
        <w:rPr>
          <w:rFonts w:ascii="Arial" w:eastAsiaTheme="minorHAnsi" w:hAnsi="Arial" w:cs="Arial"/>
          <w:color w:val="000000" w:themeColor="text1"/>
          <w:sz w:val="22"/>
          <w:szCs w:val="22"/>
          <w:lang w:eastAsia="en-US"/>
        </w:rPr>
        <w:t xml:space="preserve">USA </w:t>
      </w:r>
      <w:r w:rsidR="008C7AAB">
        <w:rPr>
          <w:rFonts w:ascii="Arial" w:eastAsiaTheme="minorHAnsi" w:hAnsi="Arial" w:cs="Arial"/>
          <w:color w:val="000000" w:themeColor="text1"/>
          <w:sz w:val="22"/>
          <w:szCs w:val="22"/>
          <w:lang w:eastAsia="en-US"/>
        </w:rPr>
        <w:t>(</w:t>
      </w:r>
      <w:r w:rsidRPr="001A6162">
        <w:rPr>
          <w:rFonts w:ascii="Arial" w:eastAsiaTheme="minorHAnsi" w:hAnsi="Arial" w:cs="Arial"/>
          <w:color w:val="000000" w:themeColor="text1"/>
          <w:sz w:val="22"/>
          <w:szCs w:val="22"/>
          <w:lang w:eastAsia="en-US"/>
        </w:rPr>
        <w:t>U.S.</w:t>
      </w:r>
      <w:proofErr w:type="gramEnd"/>
      <w:r w:rsidRPr="001A6162">
        <w:rPr>
          <w:rFonts w:ascii="Arial" w:eastAsiaTheme="minorHAnsi" w:hAnsi="Arial" w:cs="Arial"/>
          <w:color w:val="000000" w:themeColor="text1"/>
          <w:sz w:val="22"/>
          <w:szCs w:val="22"/>
          <w:lang w:eastAsia="en-US"/>
        </w:rPr>
        <w:t xml:space="preserve"> Department </w:t>
      </w:r>
      <w:proofErr w:type="spellStart"/>
      <w:r w:rsidRPr="001A6162">
        <w:rPr>
          <w:rFonts w:ascii="Arial" w:eastAsiaTheme="minorHAnsi" w:hAnsi="Arial" w:cs="Arial"/>
          <w:color w:val="000000" w:themeColor="text1"/>
          <w:sz w:val="22"/>
          <w:szCs w:val="22"/>
          <w:lang w:eastAsia="en-US"/>
        </w:rPr>
        <w:t>of</w:t>
      </w:r>
      <w:proofErr w:type="spellEnd"/>
      <w:r w:rsidRPr="001A6162">
        <w:rPr>
          <w:rFonts w:ascii="Arial" w:eastAsiaTheme="minorHAnsi" w:hAnsi="Arial" w:cs="Arial"/>
          <w:color w:val="000000" w:themeColor="text1"/>
          <w:sz w:val="22"/>
          <w:szCs w:val="22"/>
          <w:lang w:eastAsia="en-US"/>
        </w:rPr>
        <w:t xml:space="preserve"> </w:t>
      </w:r>
      <w:proofErr w:type="spellStart"/>
      <w:r w:rsidRPr="001A6162">
        <w:rPr>
          <w:rFonts w:ascii="Arial" w:eastAsiaTheme="minorHAnsi" w:hAnsi="Arial" w:cs="Arial"/>
          <w:color w:val="000000" w:themeColor="text1"/>
          <w:sz w:val="22"/>
          <w:szCs w:val="22"/>
          <w:lang w:eastAsia="en-US"/>
        </w:rPr>
        <w:t>Agriculture</w:t>
      </w:r>
      <w:proofErr w:type="spellEnd"/>
      <w:r w:rsidR="008C7AAB">
        <w:rPr>
          <w:rFonts w:ascii="Arial" w:eastAsiaTheme="minorHAnsi" w:hAnsi="Arial" w:cs="Arial"/>
          <w:color w:val="000000" w:themeColor="text1"/>
          <w:sz w:val="22"/>
          <w:szCs w:val="22"/>
          <w:lang w:eastAsia="en-US"/>
        </w:rPr>
        <w:t>)</w:t>
      </w:r>
    </w:p>
    <w:p w14:paraId="4FE604F9" w14:textId="769BF305" w:rsidR="001A6162" w:rsidRPr="001A6162" w:rsidRDefault="0095720A" w:rsidP="001A6162">
      <w:pPr>
        <w:spacing w:line="276" w:lineRule="auto"/>
        <w:ind w:left="2268" w:hanging="2268"/>
        <w:rPr>
          <w:rFonts w:ascii="Arial" w:eastAsiaTheme="minorHAnsi" w:hAnsi="Arial" w:cs="Arial"/>
          <w:color w:val="000000" w:themeColor="text1"/>
          <w:sz w:val="22"/>
          <w:szCs w:val="22"/>
          <w:lang w:eastAsia="en-US"/>
        </w:rPr>
      </w:pPr>
      <w:r>
        <w:rPr>
          <w:rFonts w:ascii="Arial" w:eastAsiaTheme="minorHAnsi" w:hAnsi="Arial" w:cs="Arial"/>
          <w:color w:val="000000" w:themeColor="text1"/>
          <w:sz w:val="22"/>
          <w:szCs w:val="22"/>
          <w:lang w:eastAsia="en-US"/>
        </w:rPr>
        <w:t>VaV</w:t>
      </w:r>
      <w:r>
        <w:rPr>
          <w:rFonts w:ascii="Arial" w:eastAsiaTheme="minorHAnsi" w:hAnsi="Arial" w:cs="Arial"/>
          <w:color w:val="000000" w:themeColor="text1"/>
          <w:sz w:val="22"/>
          <w:szCs w:val="22"/>
          <w:lang w:eastAsia="en-US"/>
        </w:rPr>
        <w:tab/>
        <w:t>v</w:t>
      </w:r>
      <w:r w:rsidR="001A6162" w:rsidRPr="001A6162">
        <w:rPr>
          <w:rFonts w:ascii="Arial" w:eastAsiaTheme="minorHAnsi" w:hAnsi="Arial" w:cs="Arial"/>
          <w:color w:val="000000" w:themeColor="text1"/>
          <w:sz w:val="22"/>
          <w:szCs w:val="22"/>
          <w:lang w:eastAsia="en-US"/>
        </w:rPr>
        <w:t>ěda a výzkum</w:t>
      </w:r>
    </w:p>
    <w:p w14:paraId="4659AD82" w14:textId="77777777"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VŠPS</w:t>
      </w:r>
      <w:r w:rsidRPr="001A6162">
        <w:rPr>
          <w:rFonts w:ascii="Arial" w:eastAsiaTheme="minorHAnsi" w:hAnsi="Arial" w:cs="Arial"/>
          <w:color w:val="000000" w:themeColor="text1"/>
          <w:sz w:val="22"/>
          <w:szCs w:val="22"/>
          <w:lang w:eastAsia="en-US"/>
        </w:rPr>
        <w:tab/>
        <w:t>Výběrové šetření pracovních sil</w:t>
      </w:r>
    </w:p>
    <w:p w14:paraId="79622106" w14:textId="77777777"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VTR 5-01</w:t>
      </w:r>
      <w:r w:rsidRPr="001A6162">
        <w:rPr>
          <w:rFonts w:ascii="Arial" w:eastAsiaTheme="minorHAnsi" w:hAnsi="Arial" w:cs="Arial"/>
          <w:color w:val="000000" w:themeColor="text1"/>
          <w:sz w:val="22"/>
          <w:szCs w:val="22"/>
          <w:lang w:eastAsia="en-US"/>
        </w:rPr>
        <w:tab/>
        <w:t>Roční výkaz o výzkumu a vývoji</w:t>
      </w:r>
    </w:p>
    <w:p w14:paraId="4499EA5A" w14:textId="7FBD527F" w:rsidR="001A6162" w:rsidRPr="001A6162" w:rsidRDefault="008C7AAB" w:rsidP="001A6162">
      <w:pPr>
        <w:spacing w:line="276" w:lineRule="auto"/>
        <w:ind w:left="2268" w:hanging="2268"/>
        <w:rPr>
          <w:rFonts w:ascii="Arial" w:eastAsiaTheme="minorHAnsi" w:hAnsi="Arial" w:cs="Arial"/>
          <w:color w:val="000000" w:themeColor="text1"/>
          <w:sz w:val="22"/>
          <w:szCs w:val="22"/>
          <w:lang w:eastAsia="en-US"/>
        </w:rPr>
      </w:pPr>
      <w:r w:rsidRPr="008C7AAB">
        <w:rPr>
          <w:rFonts w:ascii="Arial" w:eastAsiaTheme="minorHAnsi" w:hAnsi="Arial" w:cs="Arial"/>
          <w:color w:val="000000" w:themeColor="text1"/>
          <w:sz w:val="22"/>
          <w:szCs w:val="22"/>
          <w:lang w:eastAsia="en-US"/>
        </w:rPr>
        <w:t xml:space="preserve">VÚMOP, </w:t>
      </w:r>
      <w:proofErr w:type="spellStart"/>
      <w:proofErr w:type="gramStart"/>
      <w:r w:rsidRPr="008C7AAB">
        <w:rPr>
          <w:rFonts w:ascii="Arial" w:eastAsiaTheme="minorHAnsi" w:hAnsi="Arial" w:cs="Arial"/>
          <w:color w:val="000000" w:themeColor="text1"/>
          <w:sz w:val="22"/>
          <w:szCs w:val="22"/>
          <w:lang w:eastAsia="en-US"/>
        </w:rPr>
        <w:t>v.v.</w:t>
      </w:r>
      <w:proofErr w:type="gramEnd"/>
      <w:r w:rsidRPr="008C7AAB">
        <w:rPr>
          <w:rFonts w:ascii="Arial" w:eastAsiaTheme="minorHAnsi" w:hAnsi="Arial" w:cs="Arial"/>
          <w:color w:val="000000" w:themeColor="text1"/>
          <w:sz w:val="22"/>
          <w:szCs w:val="22"/>
          <w:lang w:eastAsia="en-US"/>
        </w:rPr>
        <w:t>i</w:t>
      </w:r>
      <w:proofErr w:type="spellEnd"/>
      <w:r w:rsidRPr="008C7AAB">
        <w:rPr>
          <w:rFonts w:ascii="Arial" w:eastAsiaTheme="minorHAnsi" w:hAnsi="Arial" w:cs="Arial"/>
          <w:color w:val="000000" w:themeColor="text1"/>
          <w:sz w:val="22"/>
          <w:szCs w:val="22"/>
          <w:lang w:eastAsia="en-US"/>
        </w:rPr>
        <w:t>.</w:t>
      </w:r>
      <w:r w:rsidR="001A6162" w:rsidRPr="001A6162">
        <w:rPr>
          <w:rFonts w:ascii="Arial" w:eastAsiaTheme="minorHAnsi" w:hAnsi="Arial" w:cs="Arial"/>
          <w:color w:val="000000" w:themeColor="text1"/>
          <w:sz w:val="22"/>
          <w:szCs w:val="22"/>
          <w:lang w:eastAsia="en-US"/>
        </w:rPr>
        <w:tab/>
        <w:t>Výzkumný ústav meliorací a ochrany půdy</w:t>
      </w:r>
      <w:r>
        <w:rPr>
          <w:rFonts w:ascii="Arial" w:eastAsiaTheme="minorHAnsi" w:hAnsi="Arial" w:cs="Arial"/>
          <w:color w:val="000000" w:themeColor="text1"/>
          <w:sz w:val="22"/>
          <w:szCs w:val="22"/>
          <w:lang w:eastAsia="en-US"/>
        </w:rPr>
        <w:t xml:space="preserve">, </w:t>
      </w:r>
      <w:r w:rsidRPr="008C7AAB">
        <w:rPr>
          <w:rFonts w:ascii="Arial" w:eastAsiaTheme="minorHAnsi" w:hAnsi="Arial" w:cs="Arial"/>
          <w:color w:val="000000" w:themeColor="text1"/>
          <w:sz w:val="22"/>
          <w:szCs w:val="22"/>
          <w:lang w:eastAsia="en-US"/>
        </w:rPr>
        <w:t>veřejná výzkumná instituce</w:t>
      </w:r>
    </w:p>
    <w:p w14:paraId="5FC04C3F" w14:textId="77777777"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VÚV</w:t>
      </w:r>
      <w:r w:rsidRPr="001A6162">
        <w:rPr>
          <w:rFonts w:ascii="Arial" w:eastAsiaTheme="minorHAnsi" w:hAnsi="Arial" w:cs="Arial"/>
          <w:color w:val="000000" w:themeColor="text1"/>
          <w:sz w:val="22"/>
          <w:szCs w:val="22"/>
          <w:lang w:eastAsia="en-US"/>
        </w:rPr>
        <w:tab/>
        <w:t>Výzkumný ústav vodohospodářský</w:t>
      </w:r>
    </w:p>
    <w:p w14:paraId="6F39E6A6" w14:textId="3525B733"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VZCHÚ</w:t>
      </w:r>
      <w:r w:rsidRPr="001A6162">
        <w:rPr>
          <w:rFonts w:ascii="Arial" w:eastAsiaTheme="minorHAnsi" w:hAnsi="Arial" w:cs="Arial"/>
          <w:color w:val="000000" w:themeColor="text1"/>
          <w:sz w:val="22"/>
          <w:szCs w:val="22"/>
          <w:lang w:eastAsia="en-US"/>
        </w:rPr>
        <w:tab/>
      </w:r>
      <w:r w:rsidR="0095720A">
        <w:rPr>
          <w:rFonts w:ascii="Arial" w:eastAsiaTheme="minorHAnsi" w:hAnsi="Arial" w:cs="Arial"/>
          <w:color w:val="000000" w:themeColor="text1"/>
          <w:sz w:val="22"/>
          <w:szCs w:val="22"/>
          <w:lang w:eastAsia="en-US"/>
        </w:rPr>
        <w:t>v</w:t>
      </w:r>
      <w:r w:rsidR="008C7AAB">
        <w:rPr>
          <w:rFonts w:ascii="Arial" w:eastAsiaTheme="minorHAnsi" w:hAnsi="Arial" w:cs="Arial"/>
          <w:color w:val="000000" w:themeColor="text1"/>
          <w:sz w:val="22"/>
          <w:szCs w:val="22"/>
          <w:lang w:eastAsia="en-US"/>
        </w:rPr>
        <w:t>elkoplošné zvláště chráněné</w:t>
      </w:r>
      <w:r w:rsidRPr="001A6162">
        <w:rPr>
          <w:rFonts w:ascii="Arial" w:eastAsiaTheme="minorHAnsi" w:hAnsi="Arial" w:cs="Arial"/>
          <w:color w:val="000000" w:themeColor="text1"/>
          <w:sz w:val="22"/>
          <w:szCs w:val="22"/>
          <w:lang w:eastAsia="en-US"/>
        </w:rPr>
        <w:t xml:space="preserve"> území</w:t>
      </w:r>
    </w:p>
    <w:p w14:paraId="1B525F60" w14:textId="2FB4AED1"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 xml:space="preserve">WSA </w:t>
      </w:r>
      <w:r w:rsidRPr="001A6162">
        <w:rPr>
          <w:rFonts w:ascii="Arial" w:eastAsiaTheme="minorHAnsi" w:hAnsi="Arial" w:cs="Arial"/>
          <w:color w:val="000000" w:themeColor="text1"/>
          <w:sz w:val="22"/>
          <w:szCs w:val="22"/>
          <w:lang w:eastAsia="en-US"/>
        </w:rPr>
        <w:tab/>
      </w:r>
      <w:r w:rsidR="00BE1309">
        <w:rPr>
          <w:rFonts w:ascii="Arial" w:eastAsiaTheme="minorHAnsi" w:hAnsi="Arial" w:cs="Arial"/>
          <w:color w:val="000000" w:themeColor="text1"/>
          <w:sz w:val="22"/>
          <w:szCs w:val="22"/>
          <w:lang w:eastAsia="en-US"/>
        </w:rPr>
        <w:t>ve vodě stabilní půdní agregáty (</w:t>
      </w:r>
      <w:proofErr w:type="spellStart"/>
      <w:r w:rsidR="00BE1309">
        <w:rPr>
          <w:rFonts w:ascii="Arial" w:eastAsiaTheme="minorHAnsi" w:hAnsi="Arial" w:cs="Arial"/>
          <w:color w:val="000000" w:themeColor="text1"/>
          <w:sz w:val="22"/>
          <w:szCs w:val="22"/>
          <w:lang w:eastAsia="en-US"/>
        </w:rPr>
        <w:t>Water</w:t>
      </w:r>
      <w:proofErr w:type="spellEnd"/>
      <w:r w:rsidR="00BE1309">
        <w:rPr>
          <w:rFonts w:ascii="Arial" w:eastAsiaTheme="minorHAnsi" w:hAnsi="Arial" w:cs="Arial"/>
          <w:color w:val="000000" w:themeColor="text1"/>
          <w:sz w:val="22"/>
          <w:szCs w:val="22"/>
          <w:lang w:eastAsia="en-US"/>
        </w:rPr>
        <w:t xml:space="preserve"> </w:t>
      </w:r>
      <w:proofErr w:type="spellStart"/>
      <w:r w:rsidR="00BE1309">
        <w:rPr>
          <w:rFonts w:ascii="Arial" w:eastAsiaTheme="minorHAnsi" w:hAnsi="Arial" w:cs="Arial"/>
          <w:color w:val="000000" w:themeColor="text1"/>
          <w:sz w:val="22"/>
          <w:szCs w:val="22"/>
          <w:lang w:eastAsia="en-US"/>
        </w:rPr>
        <w:t>Stable</w:t>
      </w:r>
      <w:proofErr w:type="spellEnd"/>
      <w:r w:rsidR="00BE1309">
        <w:rPr>
          <w:rFonts w:ascii="Arial" w:eastAsiaTheme="minorHAnsi" w:hAnsi="Arial" w:cs="Arial"/>
          <w:color w:val="000000" w:themeColor="text1"/>
          <w:sz w:val="22"/>
          <w:szCs w:val="22"/>
          <w:lang w:eastAsia="en-US"/>
        </w:rPr>
        <w:t xml:space="preserve"> </w:t>
      </w:r>
      <w:proofErr w:type="spellStart"/>
      <w:r w:rsidR="00BE1309">
        <w:rPr>
          <w:rFonts w:ascii="Arial" w:eastAsiaTheme="minorHAnsi" w:hAnsi="Arial" w:cs="Arial"/>
          <w:color w:val="000000" w:themeColor="text1"/>
          <w:sz w:val="22"/>
          <w:szCs w:val="22"/>
          <w:lang w:eastAsia="en-US"/>
        </w:rPr>
        <w:t>Aggregates</w:t>
      </w:r>
      <w:proofErr w:type="spellEnd"/>
      <w:r w:rsidR="00BE1309">
        <w:rPr>
          <w:rFonts w:ascii="Arial" w:eastAsiaTheme="minorHAnsi" w:hAnsi="Arial" w:cs="Arial"/>
          <w:color w:val="000000" w:themeColor="text1"/>
          <w:sz w:val="22"/>
          <w:szCs w:val="22"/>
          <w:lang w:eastAsia="en-US"/>
        </w:rPr>
        <w:t>)</w:t>
      </w:r>
    </w:p>
    <w:p w14:paraId="42219D19" w14:textId="77777777" w:rsidR="001A6162" w:rsidRPr="001A6162" w:rsidRDefault="001A6162" w:rsidP="001A6162">
      <w:pPr>
        <w:spacing w:line="276" w:lineRule="auto"/>
        <w:ind w:left="2268" w:hanging="2268"/>
        <w:rPr>
          <w:rFonts w:ascii="Arial" w:eastAsiaTheme="minorHAnsi" w:hAnsi="Arial" w:cs="Arial"/>
          <w:color w:val="000000" w:themeColor="text1"/>
          <w:sz w:val="22"/>
          <w:szCs w:val="22"/>
          <w:lang w:eastAsia="en-US"/>
        </w:rPr>
      </w:pPr>
      <w:r w:rsidRPr="001A6162">
        <w:rPr>
          <w:rFonts w:ascii="Arial" w:eastAsiaTheme="minorHAnsi" w:hAnsi="Arial" w:cs="Arial"/>
          <w:color w:val="000000" w:themeColor="text1"/>
          <w:sz w:val="22"/>
          <w:szCs w:val="22"/>
          <w:lang w:eastAsia="en-US"/>
        </w:rPr>
        <w:t>ZABAGED</w:t>
      </w:r>
      <w:r w:rsidRPr="001A6162">
        <w:rPr>
          <w:rFonts w:ascii="Arial" w:eastAsiaTheme="minorHAnsi" w:hAnsi="Arial" w:cs="Arial"/>
          <w:color w:val="000000" w:themeColor="text1"/>
          <w:sz w:val="22"/>
          <w:szCs w:val="22"/>
          <w:lang w:eastAsia="en-US"/>
        </w:rPr>
        <w:tab/>
        <w:t>Základní báze geografických dat České republiky</w:t>
      </w:r>
    </w:p>
    <w:p w14:paraId="1E949CE7" w14:textId="1718F68B" w:rsidR="001A6162" w:rsidRPr="001A6162" w:rsidRDefault="0095720A" w:rsidP="001A6162">
      <w:pPr>
        <w:spacing w:line="276" w:lineRule="auto"/>
        <w:ind w:left="2268" w:hanging="2268"/>
        <w:rPr>
          <w:rFonts w:ascii="Arial" w:eastAsiaTheme="minorHAnsi" w:hAnsi="Arial" w:cs="Arial"/>
          <w:color w:val="000000" w:themeColor="text1"/>
          <w:sz w:val="22"/>
          <w:szCs w:val="22"/>
          <w:lang w:eastAsia="en-US"/>
        </w:rPr>
      </w:pPr>
      <w:r>
        <w:rPr>
          <w:rFonts w:ascii="Arial" w:eastAsiaTheme="minorHAnsi" w:hAnsi="Arial" w:cs="Arial"/>
          <w:color w:val="000000" w:themeColor="text1"/>
          <w:sz w:val="22"/>
          <w:szCs w:val="22"/>
          <w:lang w:eastAsia="en-US"/>
        </w:rPr>
        <w:t>ZK</w:t>
      </w:r>
      <w:r>
        <w:rPr>
          <w:rFonts w:ascii="Arial" w:eastAsiaTheme="minorHAnsi" w:hAnsi="Arial" w:cs="Arial"/>
          <w:color w:val="000000" w:themeColor="text1"/>
          <w:sz w:val="22"/>
          <w:szCs w:val="22"/>
          <w:lang w:eastAsia="en-US"/>
        </w:rPr>
        <w:tab/>
        <w:t>z</w:t>
      </w:r>
      <w:r w:rsidR="001A6162" w:rsidRPr="001A6162">
        <w:rPr>
          <w:rFonts w:ascii="Arial" w:eastAsiaTheme="minorHAnsi" w:hAnsi="Arial" w:cs="Arial"/>
          <w:color w:val="000000" w:themeColor="text1"/>
          <w:sz w:val="22"/>
          <w:szCs w:val="22"/>
          <w:lang w:eastAsia="en-US"/>
        </w:rPr>
        <w:t>astupitelstva krajů</w:t>
      </w:r>
    </w:p>
    <w:p w14:paraId="46541512" w14:textId="57A9CABC" w:rsidR="001A6162" w:rsidRPr="001A6162" w:rsidRDefault="0095720A" w:rsidP="001A6162">
      <w:pPr>
        <w:spacing w:line="276" w:lineRule="auto"/>
        <w:ind w:left="2268" w:hanging="2268"/>
        <w:rPr>
          <w:rFonts w:ascii="Arial" w:eastAsiaTheme="minorHAnsi" w:hAnsi="Arial" w:cs="Arial"/>
          <w:color w:val="000000" w:themeColor="text1"/>
          <w:sz w:val="22"/>
          <w:szCs w:val="22"/>
          <w:lang w:eastAsia="en-US"/>
        </w:rPr>
      </w:pPr>
      <w:r>
        <w:rPr>
          <w:rFonts w:ascii="Arial" w:eastAsiaTheme="minorHAnsi" w:hAnsi="Arial" w:cs="Arial"/>
          <w:color w:val="000000" w:themeColor="text1"/>
          <w:sz w:val="22"/>
          <w:szCs w:val="22"/>
          <w:lang w:eastAsia="en-US"/>
        </w:rPr>
        <w:t>ZO</w:t>
      </w:r>
      <w:r>
        <w:rPr>
          <w:rFonts w:ascii="Arial" w:eastAsiaTheme="minorHAnsi" w:hAnsi="Arial" w:cs="Arial"/>
          <w:color w:val="000000" w:themeColor="text1"/>
          <w:sz w:val="22"/>
          <w:szCs w:val="22"/>
          <w:lang w:eastAsia="en-US"/>
        </w:rPr>
        <w:tab/>
        <w:t>z</w:t>
      </w:r>
      <w:r w:rsidR="001A6162" w:rsidRPr="001A6162">
        <w:rPr>
          <w:rFonts w:ascii="Arial" w:eastAsiaTheme="minorHAnsi" w:hAnsi="Arial" w:cs="Arial"/>
          <w:color w:val="000000" w:themeColor="text1"/>
          <w:sz w:val="22"/>
          <w:szCs w:val="22"/>
          <w:lang w:eastAsia="en-US"/>
        </w:rPr>
        <w:t>astupitelstva obcí</w:t>
      </w:r>
    </w:p>
    <w:p w14:paraId="22B93480" w14:textId="366E217F" w:rsidR="001A6162" w:rsidRPr="001A6162" w:rsidRDefault="001A6162" w:rsidP="001A6162">
      <w:pPr>
        <w:spacing w:line="276" w:lineRule="auto"/>
        <w:ind w:left="2268" w:hanging="2268"/>
        <w:rPr>
          <w:rFonts w:ascii="Arial" w:eastAsiaTheme="minorHAnsi" w:hAnsi="Arial" w:cs="Arial"/>
          <w:sz w:val="22"/>
          <w:szCs w:val="22"/>
          <w:lang w:eastAsia="en-US"/>
        </w:rPr>
      </w:pPr>
      <w:r>
        <w:rPr>
          <w:rFonts w:ascii="Arial" w:eastAsiaTheme="minorHAnsi" w:hAnsi="Arial" w:cs="Arial"/>
          <w:sz w:val="22"/>
          <w:szCs w:val="22"/>
          <w:lang w:eastAsia="en-US"/>
        </w:rPr>
        <w:t xml:space="preserve">ZPF </w:t>
      </w:r>
      <w:r>
        <w:rPr>
          <w:rFonts w:ascii="Arial" w:eastAsiaTheme="minorHAnsi" w:hAnsi="Arial" w:cs="Arial"/>
          <w:sz w:val="22"/>
          <w:szCs w:val="22"/>
          <w:lang w:eastAsia="en-US"/>
        </w:rPr>
        <w:tab/>
      </w:r>
      <w:r w:rsidRPr="001A6162">
        <w:rPr>
          <w:rFonts w:ascii="Arial" w:eastAsiaTheme="minorHAnsi" w:hAnsi="Arial" w:cs="Arial"/>
          <w:sz w:val="22"/>
          <w:szCs w:val="22"/>
          <w:lang w:eastAsia="en-US"/>
        </w:rPr>
        <w:t>Zemědělský půdní fond</w:t>
      </w:r>
    </w:p>
    <w:p w14:paraId="361FC7A0" w14:textId="77777777" w:rsidR="001A6162" w:rsidRPr="001A6162" w:rsidRDefault="001A6162" w:rsidP="001A6162">
      <w:pPr>
        <w:spacing w:after="200" w:line="276" w:lineRule="auto"/>
        <w:ind w:left="1410" w:hanging="1410"/>
        <w:rPr>
          <w:rFonts w:ascii="Arial" w:eastAsiaTheme="minorHAnsi" w:hAnsi="Arial" w:cs="Arial"/>
          <w:color w:val="000000" w:themeColor="text1"/>
          <w:sz w:val="22"/>
          <w:szCs w:val="22"/>
          <w:lang w:eastAsia="en-US"/>
        </w:rPr>
      </w:pPr>
    </w:p>
    <w:p w14:paraId="38DD533D" w14:textId="77777777" w:rsidR="001A6162" w:rsidRDefault="001A6162" w:rsidP="001A6162">
      <w:pPr>
        <w:rPr>
          <w:lang w:eastAsia="en-US"/>
        </w:rPr>
      </w:pPr>
    </w:p>
    <w:p w14:paraId="1DCF2826" w14:textId="49D2DC18" w:rsidR="0095720A" w:rsidRDefault="0095720A">
      <w:pPr>
        <w:spacing w:after="200" w:line="276" w:lineRule="auto"/>
        <w:rPr>
          <w:lang w:eastAsia="en-US"/>
        </w:rPr>
      </w:pPr>
      <w:r>
        <w:rPr>
          <w:lang w:eastAsia="en-US"/>
        </w:rPr>
        <w:br w:type="page"/>
      </w:r>
    </w:p>
    <w:p w14:paraId="54C1CED3" w14:textId="77777777" w:rsidR="00E86883" w:rsidRPr="00FB7FCA" w:rsidRDefault="00E86883" w:rsidP="00FB7FCA">
      <w:pPr>
        <w:pStyle w:val="Nadpis1"/>
      </w:pPr>
      <w:bookmarkStart w:id="1" w:name="_Toc476663535"/>
      <w:r w:rsidRPr="00FB7FCA">
        <w:lastRenderedPageBreak/>
        <w:t>Lidé a společnost</w:t>
      </w:r>
      <w:bookmarkEnd w:id="1"/>
      <w:r w:rsidRPr="00FB7FCA">
        <w:t xml:space="preserve"> </w:t>
      </w:r>
    </w:p>
    <w:p w14:paraId="01B56F3D" w14:textId="77777777" w:rsidR="001731DC" w:rsidRPr="00D84709" w:rsidRDefault="001731DC" w:rsidP="001731DC">
      <w:pPr>
        <w:pStyle w:val="r2030cle"/>
        <w:numPr>
          <w:ilvl w:val="0"/>
          <w:numId w:val="10"/>
        </w:numPr>
        <w:ind w:left="567" w:hanging="425"/>
        <w:jc w:val="both"/>
      </w:pPr>
      <w:r w:rsidRPr="00D84709">
        <w:t>Společenské klima je vůči rodinám všestranně příznivé, bariéry a</w:t>
      </w:r>
      <w:r>
        <w:t> </w:t>
      </w:r>
      <w:r w:rsidRPr="00D84709">
        <w:t>společenské tlaky jsou minimalizovány.</w:t>
      </w:r>
      <w:r>
        <w:t xml:space="preserve"> </w:t>
      </w:r>
      <w:r w:rsidRPr="00F755A8">
        <w:t>Rodina, rodičovství a manželství požívají zvláštní zákonné ochrany a jsou společensky vysoce oceňovány.</w:t>
      </w:r>
    </w:p>
    <w:p w14:paraId="68D3785F" w14:textId="02B9AC58" w:rsidR="00A33DDB" w:rsidRDefault="00D64E3A" w:rsidP="00BE1309">
      <w:pPr>
        <w:pStyle w:val="r2030podcle"/>
        <w:numPr>
          <w:ilvl w:val="0"/>
          <w:numId w:val="0"/>
        </w:numPr>
        <w:ind w:left="567" w:hanging="425"/>
        <w:jc w:val="both"/>
      </w:pPr>
      <w:r>
        <w:t xml:space="preserve">1.1 </w:t>
      </w:r>
      <w:r w:rsidR="00742523">
        <w:t xml:space="preserve"> </w:t>
      </w:r>
      <w:r w:rsidR="00A33DDB" w:rsidRPr="00FB7FCA">
        <w:t>Vhodné socioekonomické podmínky podporují dobré fungování rodin. Zaměřují se na finanční zajištění rodiny, slučitelnost práce a rodiny a služby péče o děti i seniory. Umožňují tak získat dostatek volného času pro zkvalitňování rodinných vztahů.</w:t>
      </w:r>
    </w:p>
    <w:tbl>
      <w:tblPr>
        <w:tblStyle w:val="Mkatabulky"/>
        <w:tblW w:w="0" w:type="auto"/>
        <w:tblLook w:val="04A0" w:firstRow="1" w:lastRow="0" w:firstColumn="1" w:lastColumn="0" w:noHBand="0" w:noVBand="1"/>
      </w:tblPr>
      <w:tblGrid>
        <w:gridCol w:w="2802"/>
        <w:gridCol w:w="6486"/>
      </w:tblGrid>
      <w:tr w:rsidR="00F40448" w:rsidRPr="00E86883" w14:paraId="5D0F517C" w14:textId="77777777" w:rsidTr="00742523">
        <w:tc>
          <w:tcPr>
            <w:tcW w:w="2802" w:type="dxa"/>
            <w:tcBorders>
              <w:top w:val="single" w:sz="4" w:space="0" w:color="auto"/>
              <w:left w:val="single" w:sz="4" w:space="0" w:color="auto"/>
              <w:bottom w:val="single" w:sz="4" w:space="0" w:color="auto"/>
              <w:right w:val="single" w:sz="4" w:space="0" w:color="auto"/>
            </w:tcBorders>
            <w:hideMark/>
          </w:tcPr>
          <w:p w14:paraId="25EBE8B2" w14:textId="77777777" w:rsidR="00F40448" w:rsidRPr="00E86883" w:rsidRDefault="00F40448" w:rsidP="00742523">
            <w:pPr>
              <w:spacing w:line="276" w:lineRule="auto"/>
              <w:rPr>
                <w:rFonts w:ascii="Arial" w:hAnsi="Arial" w:cs="Arial"/>
                <w:sz w:val="22"/>
                <w:szCs w:val="22"/>
                <w:lang w:eastAsia="en-US"/>
              </w:rPr>
            </w:pPr>
            <w:r w:rsidRPr="00E86883">
              <w:rPr>
                <w:rFonts w:ascii="Arial" w:hAnsi="Arial" w:cs="Arial"/>
                <w:sz w:val="22"/>
                <w:szCs w:val="22"/>
                <w:lang w:eastAsia="en-US"/>
              </w:rPr>
              <w:t xml:space="preserve">Název a označení indikátoru: </w:t>
            </w:r>
          </w:p>
        </w:tc>
        <w:tc>
          <w:tcPr>
            <w:tcW w:w="6486" w:type="dxa"/>
            <w:tcBorders>
              <w:top w:val="single" w:sz="4" w:space="0" w:color="auto"/>
              <w:left w:val="single" w:sz="4" w:space="0" w:color="auto"/>
              <w:bottom w:val="single" w:sz="4" w:space="0" w:color="auto"/>
              <w:right w:val="single" w:sz="4" w:space="0" w:color="auto"/>
            </w:tcBorders>
            <w:hideMark/>
          </w:tcPr>
          <w:p w14:paraId="664AC25D" w14:textId="77777777" w:rsidR="00F40448" w:rsidRPr="00E86883" w:rsidRDefault="00F40448" w:rsidP="00742523">
            <w:pPr>
              <w:spacing w:line="276" w:lineRule="auto"/>
              <w:rPr>
                <w:rFonts w:ascii="Arial" w:hAnsi="Arial" w:cs="Arial"/>
                <w:b/>
                <w:sz w:val="22"/>
                <w:szCs w:val="22"/>
                <w:lang w:eastAsia="en-US"/>
              </w:rPr>
            </w:pPr>
            <w:r>
              <w:rPr>
                <w:rFonts w:ascii="Arial" w:hAnsi="Arial" w:cs="Arial"/>
                <w:b/>
                <w:sz w:val="22"/>
                <w:szCs w:val="22"/>
                <w:lang w:eastAsia="en-US"/>
              </w:rPr>
              <w:t>1.1.1</w:t>
            </w:r>
            <w:r w:rsidRPr="00E86883">
              <w:rPr>
                <w:rFonts w:ascii="Arial" w:hAnsi="Arial" w:cs="Arial"/>
                <w:b/>
                <w:sz w:val="22"/>
                <w:szCs w:val="22"/>
                <w:lang w:eastAsia="en-US"/>
              </w:rPr>
              <w:t xml:space="preserve"> Zaměstnanost matek s dětmi do šesti let věku</w:t>
            </w:r>
          </w:p>
        </w:tc>
      </w:tr>
      <w:tr w:rsidR="00F40448" w:rsidRPr="00E86883" w14:paraId="3354833D" w14:textId="77777777" w:rsidTr="00742523">
        <w:tc>
          <w:tcPr>
            <w:tcW w:w="2802" w:type="dxa"/>
            <w:tcBorders>
              <w:top w:val="single" w:sz="4" w:space="0" w:color="auto"/>
              <w:left w:val="single" w:sz="4" w:space="0" w:color="auto"/>
              <w:bottom w:val="single" w:sz="4" w:space="0" w:color="auto"/>
              <w:right w:val="single" w:sz="4" w:space="0" w:color="auto"/>
            </w:tcBorders>
            <w:hideMark/>
          </w:tcPr>
          <w:p w14:paraId="2FB5EADF" w14:textId="77777777" w:rsidR="00F40448" w:rsidRPr="00E86883" w:rsidRDefault="00F40448" w:rsidP="00742523">
            <w:pPr>
              <w:spacing w:line="276" w:lineRule="auto"/>
              <w:rPr>
                <w:rFonts w:ascii="Arial" w:hAnsi="Arial" w:cs="Arial"/>
                <w:sz w:val="22"/>
                <w:szCs w:val="22"/>
                <w:lang w:eastAsia="en-US"/>
              </w:rPr>
            </w:pPr>
            <w:r w:rsidRPr="00E86883">
              <w:rPr>
                <w:rFonts w:ascii="Arial" w:hAnsi="Arial" w:cs="Arial"/>
                <w:sz w:val="22"/>
                <w:szCs w:val="22"/>
                <w:lang w:eastAsia="en-US"/>
              </w:rPr>
              <w:t xml:space="preserve">Stručná definice: </w:t>
            </w:r>
          </w:p>
        </w:tc>
        <w:tc>
          <w:tcPr>
            <w:tcW w:w="6486" w:type="dxa"/>
            <w:tcBorders>
              <w:top w:val="single" w:sz="4" w:space="0" w:color="auto"/>
              <w:left w:val="single" w:sz="4" w:space="0" w:color="auto"/>
              <w:bottom w:val="single" w:sz="4" w:space="0" w:color="auto"/>
              <w:right w:val="single" w:sz="4" w:space="0" w:color="auto"/>
            </w:tcBorders>
            <w:hideMark/>
          </w:tcPr>
          <w:p w14:paraId="71004B45" w14:textId="77777777" w:rsidR="00F40448" w:rsidRPr="00E86883" w:rsidRDefault="00F40448" w:rsidP="00BE1309">
            <w:pPr>
              <w:spacing w:line="276" w:lineRule="auto"/>
              <w:jc w:val="both"/>
              <w:rPr>
                <w:rFonts w:ascii="Arial" w:hAnsi="Arial" w:cs="Arial"/>
                <w:sz w:val="22"/>
                <w:szCs w:val="22"/>
                <w:lang w:eastAsia="en-US"/>
              </w:rPr>
            </w:pPr>
            <w:r w:rsidRPr="00E86883">
              <w:rPr>
                <w:rFonts w:ascii="Arial" w:hAnsi="Arial" w:cs="Arial"/>
                <w:sz w:val="22"/>
                <w:szCs w:val="22"/>
              </w:rPr>
              <w:t>Míra zaměstnanosti žen s dítětem do 6 let věku ve společné domácnosti.</w:t>
            </w:r>
          </w:p>
        </w:tc>
      </w:tr>
      <w:tr w:rsidR="00F40448" w:rsidRPr="00E86883" w14:paraId="2BA7E956" w14:textId="77777777" w:rsidTr="00742523">
        <w:tc>
          <w:tcPr>
            <w:tcW w:w="2802" w:type="dxa"/>
            <w:tcBorders>
              <w:top w:val="single" w:sz="4" w:space="0" w:color="auto"/>
              <w:left w:val="single" w:sz="4" w:space="0" w:color="auto"/>
              <w:bottom w:val="single" w:sz="4" w:space="0" w:color="auto"/>
              <w:right w:val="single" w:sz="4" w:space="0" w:color="auto"/>
            </w:tcBorders>
            <w:hideMark/>
          </w:tcPr>
          <w:p w14:paraId="4C3B87A9" w14:textId="77777777" w:rsidR="00F40448" w:rsidRPr="00E86883" w:rsidRDefault="00F40448" w:rsidP="00742523">
            <w:pPr>
              <w:spacing w:line="276" w:lineRule="auto"/>
              <w:rPr>
                <w:rFonts w:ascii="Arial" w:hAnsi="Arial" w:cs="Arial"/>
                <w:sz w:val="22"/>
                <w:szCs w:val="22"/>
                <w:lang w:eastAsia="en-US"/>
              </w:rPr>
            </w:pPr>
            <w:r w:rsidRPr="00E86883">
              <w:rPr>
                <w:rFonts w:ascii="Arial" w:hAnsi="Arial" w:cs="Arial"/>
                <w:sz w:val="22"/>
                <w:szCs w:val="22"/>
                <w:lang w:eastAsia="en-US"/>
              </w:rPr>
              <w:t>Jednotka:</w:t>
            </w:r>
          </w:p>
        </w:tc>
        <w:tc>
          <w:tcPr>
            <w:tcW w:w="6486" w:type="dxa"/>
            <w:tcBorders>
              <w:top w:val="single" w:sz="4" w:space="0" w:color="auto"/>
              <w:left w:val="single" w:sz="4" w:space="0" w:color="auto"/>
              <w:bottom w:val="single" w:sz="4" w:space="0" w:color="auto"/>
              <w:right w:val="single" w:sz="4" w:space="0" w:color="auto"/>
            </w:tcBorders>
          </w:tcPr>
          <w:p w14:paraId="22D049B2" w14:textId="77777777" w:rsidR="00F40448" w:rsidRPr="00E86883" w:rsidRDefault="00F40448"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Podíl (v %)</w:t>
            </w:r>
          </w:p>
        </w:tc>
      </w:tr>
      <w:tr w:rsidR="00F40448" w:rsidRPr="00E86883" w14:paraId="20D660A9" w14:textId="77777777" w:rsidTr="00742523">
        <w:tc>
          <w:tcPr>
            <w:tcW w:w="2802" w:type="dxa"/>
            <w:tcBorders>
              <w:top w:val="single" w:sz="4" w:space="0" w:color="auto"/>
              <w:left w:val="single" w:sz="4" w:space="0" w:color="auto"/>
              <w:bottom w:val="single" w:sz="4" w:space="0" w:color="auto"/>
              <w:right w:val="single" w:sz="4" w:space="0" w:color="auto"/>
            </w:tcBorders>
            <w:hideMark/>
          </w:tcPr>
          <w:p w14:paraId="63AF6082" w14:textId="77777777" w:rsidR="00F40448" w:rsidRPr="00E86883" w:rsidRDefault="00F40448" w:rsidP="00742523">
            <w:pPr>
              <w:spacing w:line="276" w:lineRule="auto"/>
              <w:rPr>
                <w:rFonts w:ascii="Arial" w:hAnsi="Arial" w:cs="Arial"/>
                <w:sz w:val="22"/>
                <w:szCs w:val="22"/>
                <w:lang w:eastAsia="en-US"/>
              </w:rPr>
            </w:pPr>
            <w:r w:rsidRPr="00E86883">
              <w:rPr>
                <w:rFonts w:ascii="Arial" w:hAnsi="Arial" w:cs="Arial"/>
                <w:sz w:val="22"/>
                <w:szCs w:val="22"/>
                <w:lang w:eastAsia="en-US"/>
              </w:rPr>
              <w:t xml:space="preserve">Gestor: </w:t>
            </w:r>
          </w:p>
        </w:tc>
        <w:tc>
          <w:tcPr>
            <w:tcW w:w="6486" w:type="dxa"/>
            <w:tcBorders>
              <w:top w:val="single" w:sz="4" w:space="0" w:color="auto"/>
              <w:left w:val="single" w:sz="4" w:space="0" w:color="auto"/>
              <w:bottom w:val="single" w:sz="4" w:space="0" w:color="auto"/>
              <w:right w:val="single" w:sz="4" w:space="0" w:color="auto"/>
            </w:tcBorders>
            <w:hideMark/>
          </w:tcPr>
          <w:p w14:paraId="5A163404" w14:textId="77777777" w:rsidR="00F40448" w:rsidRPr="00E86883" w:rsidRDefault="00F40448"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Český statistický úřad</w:t>
            </w:r>
          </w:p>
        </w:tc>
      </w:tr>
      <w:tr w:rsidR="00F40448" w:rsidRPr="00E86883" w14:paraId="01A3B16A" w14:textId="77777777" w:rsidTr="00742523">
        <w:tc>
          <w:tcPr>
            <w:tcW w:w="2802" w:type="dxa"/>
            <w:tcBorders>
              <w:top w:val="single" w:sz="4" w:space="0" w:color="auto"/>
              <w:left w:val="single" w:sz="4" w:space="0" w:color="auto"/>
              <w:bottom w:val="single" w:sz="4" w:space="0" w:color="auto"/>
              <w:right w:val="single" w:sz="4" w:space="0" w:color="auto"/>
            </w:tcBorders>
            <w:hideMark/>
          </w:tcPr>
          <w:p w14:paraId="5B46F9C0" w14:textId="77777777" w:rsidR="00F40448" w:rsidRPr="00E86883" w:rsidRDefault="00F40448" w:rsidP="00742523">
            <w:pPr>
              <w:spacing w:line="276" w:lineRule="auto"/>
              <w:rPr>
                <w:rFonts w:ascii="Arial" w:hAnsi="Arial" w:cs="Arial"/>
                <w:sz w:val="22"/>
                <w:szCs w:val="22"/>
                <w:lang w:eastAsia="en-US"/>
              </w:rPr>
            </w:pPr>
            <w:r w:rsidRPr="00E86883">
              <w:rPr>
                <w:rFonts w:ascii="Arial" w:hAnsi="Arial" w:cs="Arial"/>
                <w:sz w:val="22"/>
                <w:szCs w:val="22"/>
                <w:lang w:eastAsia="en-US"/>
              </w:rPr>
              <w:t xml:space="preserve">Význam indikátoru: </w:t>
            </w:r>
          </w:p>
        </w:tc>
        <w:tc>
          <w:tcPr>
            <w:tcW w:w="6486" w:type="dxa"/>
            <w:tcBorders>
              <w:top w:val="single" w:sz="4" w:space="0" w:color="auto"/>
              <w:left w:val="single" w:sz="4" w:space="0" w:color="auto"/>
              <w:bottom w:val="single" w:sz="4" w:space="0" w:color="auto"/>
              <w:right w:val="single" w:sz="4" w:space="0" w:color="auto"/>
            </w:tcBorders>
            <w:hideMark/>
          </w:tcPr>
          <w:p w14:paraId="4CE82A18" w14:textId="77777777" w:rsidR="00F40448" w:rsidRPr="00E86883" w:rsidRDefault="00F40448"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Tento ukazatel znázorňuje dopady mateřství na zaměstnanost žen, a tedy nepřímo možnosti slučitelnosti zaměstnání a péče o děti.</w:t>
            </w:r>
          </w:p>
        </w:tc>
      </w:tr>
      <w:tr w:rsidR="00F40448" w:rsidRPr="00E86883" w14:paraId="3EC75D57" w14:textId="77777777" w:rsidTr="00742523">
        <w:tc>
          <w:tcPr>
            <w:tcW w:w="2802" w:type="dxa"/>
            <w:tcBorders>
              <w:top w:val="single" w:sz="4" w:space="0" w:color="auto"/>
              <w:left w:val="single" w:sz="4" w:space="0" w:color="auto"/>
              <w:bottom w:val="single" w:sz="4" w:space="0" w:color="auto"/>
              <w:right w:val="single" w:sz="4" w:space="0" w:color="auto"/>
            </w:tcBorders>
            <w:hideMark/>
          </w:tcPr>
          <w:p w14:paraId="7FD9E90D" w14:textId="77777777" w:rsidR="00F40448" w:rsidRPr="00E86883" w:rsidRDefault="00F40448" w:rsidP="00742523">
            <w:pPr>
              <w:spacing w:line="276" w:lineRule="auto"/>
              <w:rPr>
                <w:rFonts w:ascii="Arial" w:hAnsi="Arial" w:cs="Arial"/>
                <w:sz w:val="22"/>
                <w:szCs w:val="22"/>
                <w:lang w:eastAsia="en-US"/>
              </w:rPr>
            </w:pPr>
            <w:r w:rsidRPr="00E86883">
              <w:rPr>
                <w:rFonts w:ascii="Arial" w:hAnsi="Arial" w:cs="Arial"/>
                <w:sz w:val="22"/>
                <w:szCs w:val="22"/>
                <w:lang w:eastAsia="en-US"/>
              </w:rPr>
              <w:t xml:space="preserve">Časová řada: </w:t>
            </w:r>
          </w:p>
        </w:tc>
        <w:tc>
          <w:tcPr>
            <w:tcW w:w="6486" w:type="dxa"/>
            <w:tcBorders>
              <w:top w:val="single" w:sz="4" w:space="0" w:color="auto"/>
              <w:left w:val="single" w:sz="4" w:space="0" w:color="auto"/>
              <w:bottom w:val="single" w:sz="4" w:space="0" w:color="auto"/>
              <w:right w:val="single" w:sz="4" w:space="0" w:color="auto"/>
            </w:tcBorders>
          </w:tcPr>
          <w:p w14:paraId="65CE84BE" w14:textId="77777777" w:rsidR="00F40448" w:rsidRPr="00E86883" w:rsidRDefault="00F40448" w:rsidP="00BE1309">
            <w:pPr>
              <w:spacing w:line="276" w:lineRule="auto"/>
              <w:jc w:val="both"/>
              <w:rPr>
                <w:rFonts w:ascii="Arial" w:hAnsi="Arial" w:cs="Arial"/>
                <w:sz w:val="22"/>
                <w:szCs w:val="22"/>
                <w:lang w:eastAsia="en-US"/>
              </w:rPr>
            </w:pPr>
            <w:r w:rsidRPr="00E86883">
              <w:rPr>
                <w:rFonts w:ascii="Arial" w:hAnsi="Arial" w:cs="Arial"/>
                <w:sz w:val="22"/>
                <w:szCs w:val="22"/>
              </w:rPr>
              <w:t>Dosud neexistuje, lze vytvořit od roku 2016</w:t>
            </w:r>
          </w:p>
        </w:tc>
      </w:tr>
      <w:tr w:rsidR="00F40448" w:rsidRPr="00E86883" w14:paraId="610342BF" w14:textId="77777777" w:rsidTr="00742523">
        <w:tc>
          <w:tcPr>
            <w:tcW w:w="2802" w:type="dxa"/>
            <w:tcBorders>
              <w:top w:val="single" w:sz="4" w:space="0" w:color="auto"/>
              <w:left w:val="single" w:sz="4" w:space="0" w:color="auto"/>
              <w:bottom w:val="single" w:sz="4" w:space="0" w:color="auto"/>
              <w:right w:val="single" w:sz="4" w:space="0" w:color="auto"/>
            </w:tcBorders>
            <w:hideMark/>
          </w:tcPr>
          <w:p w14:paraId="0154B72A" w14:textId="77777777" w:rsidR="00F40448" w:rsidRPr="00E86883" w:rsidRDefault="00F40448" w:rsidP="00742523">
            <w:pPr>
              <w:spacing w:line="276" w:lineRule="auto"/>
              <w:rPr>
                <w:rFonts w:ascii="Arial" w:hAnsi="Arial" w:cs="Arial"/>
                <w:sz w:val="22"/>
                <w:szCs w:val="22"/>
                <w:lang w:eastAsia="en-US"/>
              </w:rPr>
            </w:pPr>
            <w:r w:rsidRPr="00E86883">
              <w:rPr>
                <w:rFonts w:ascii="Arial" w:hAnsi="Arial" w:cs="Arial"/>
                <w:sz w:val="22"/>
                <w:szCs w:val="22"/>
                <w:lang w:eastAsia="en-US"/>
              </w:rPr>
              <w:t xml:space="preserve">Frekvence výstupu: </w:t>
            </w:r>
          </w:p>
        </w:tc>
        <w:tc>
          <w:tcPr>
            <w:tcW w:w="6486" w:type="dxa"/>
            <w:tcBorders>
              <w:top w:val="single" w:sz="4" w:space="0" w:color="auto"/>
              <w:left w:val="single" w:sz="4" w:space="0" w:color="auto"/>
              <w:bottom w:val="single" w:sz="4" w:space="0" w:color="auto"/>
              <w:right w:val="single" w:sz="4" w:space="0" w:color="auto"/>
            </w:tcBorders>
            <w:hideMark/>
          </w:tcPr>
          <w:p w14:paraId="2A037098" w14:textId="77777777" w:rsidR="00F40448" w:rsidRPr="00E86883" w:rsidRDefault="00F40448"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Ročně</w:t>
            </w:r>
          </w:p>
        </w:tc>
      </w:tr>
      <w:tr w:rsidR="00F40448" w:rsidRPr="00E86883" w14:paraId="7F38A050" w14:textId="77777777" w:rsidTr="00742523">
        <w:trPr>
          <w:trHeight w:val="70"/>
        </w:trPr>
        <w:tc>
          <w:tcPr>
            <w:tcW w:w="2802" w:type="dxa"/>
            <w:tcBorders>
              <w:top w:val="single" w:sz="4" w:space="0" w:color="auto"/>
              <w:left w:val="single" w:sz="4" w:space="0" w:color="auto"/>
              <w:bottom w:val="single" w:sz="4" w:space="0" w:color="auto"/>
              <w:right w:val="single" w:sz="4" w:space="0" w:color="auto"/>
            </w:tcBorders>
            <w:hideMark/>
          </w:tcPr>
          <w:p w14:paraId="55248253" w14:textId="77777777" w:rsidR="00F40448" w:rsidRPr="00E86883" w:rsidRDefault="00F40448" w:rsidP="00742523">
            <w:pPr>
              <w:spacing w:line="276" w:lineRule="auto"/>
              <w:rPr>
                <w:rFonts w:ascii="Arial" w:hAnsi="Arial" w:cs="Arial"/>
                <w:sz w:val="22"/>
                <w:szCs w:val="22"/>
                <w:lang w:eastAsia="en-US"/>
              </w:rPr>
            </w:pPr>
            <w:r w:rsidRPr="00E86883">
              <w:rPr>
                <w:rFonts w:ascii="Arial" w:hAnsi="Arial" w:cs="Arial"/>
                <w:sz w:val="22"/>
                <w:szCs w:val="22"/>
                <w:lang w:eastAsia="en-US"/>
              </w:rPr>
              <w:t xml:space="preserve">Členění indikátoru: </w:t>
            </w:r>
          </w:p>
        </w:tc>
        <w:tc>
          <w:tcPr>
            <w:tcW w:w="6486" w:type="dxa"/>
            <w:tcBorders>
              <w:top w:val="single" w:sz="4" w:space="0" w:color="auto"/>
              <w:left w:val="single" w:sz="4" w:space="0" w:color="auto"/>
              <w:bottom w:val="single" w:sz="4" w:space="0" w:color="auto"/>
              <w:right w:val="single" w:sz="4" w:space="0" w:color="auto"/>
            </w:tcBorders>
          </w:tcPr>
          <w:p w14:paraId="74A87FB8" w14:textId="498C6927" w:rsidR="00F40448" w:rsidRPr="00E86883" w:rsidRDefault="00C34866" w:rsidP="00BE1309">
            <w:pPr>
              <w:spacing w:line="276" w:lineRule="auto"/>
              <w:jc w:val="both"/>
              <w:rPr>
                <w:rFonts w:ascii="Arial" w:hAnsi="Arial" w:cs="Arial"/>
                <w:sz w:val="22"/>
                <w:szCs w:val="22"/>
                <w:lang w:eastAsia="en-US"/>
              </w:rPr>
            </w:pPr>
            <w:r>
              <w:rPr>
                <w:rFonts w:ascii="Arial" w:hAnsi="Arial" w:cs="Arial"/>
                <w:sz w:val="22"/>
                <w:szCs w:val="22"/>
                <w:lang w:eastAsia="en-US"/>
              </w:rPr>
              <w:t>Celostátně, ž</w:t>
            </w:r>
            <w:r w:rsidR="00F40448" w:rsidRPr="00BB61C3">
              <w:rPr>
                <w:rFonts w:ascii="Arial" w:hAnsi="Arial" w:cs="Arial"/>
                <w:sz w:val="22"/>
                <w:szCs w:val="22"/>
                <w:lang w:eastAsia="en-US"/>
              </w:rPr>
              <w:t>eny s nejmladším dítětem do šest</w:t>
            </w:r>
            <w:r>
              <w:rPr>
                <w:rFonts w:ascii="Arial" w:hAnsi="Arial" w:cs="Arial"/>
                <w:sz w:val="22"/>
                <w:szCs w:val="22"/>
                <w:lang w:eastAsia="en-US"/>
              </w:rPr>
              <w:t>i let věku</w:t>
            </w:r>
          </w:p>
        </w:tc>
      </w:tr>
      <w:tr w:rsidR="00F40448" w:rsidRPr="00E86883" w14:paraId="6E3C98CB" w14:textId="77777777" w:rsidTr="00742523">
        <w:trPr>
          <w:trHeight w:val="70"/>
        </w:trPr>
        <w:tc>
          <w:tcPr>
            <w:tcW w:w="2802" w:type="dxa"/>
            <w:tcBorders>
              <w:top w:val="single" w:sz="4" w:space="0" w:color="auto"/>
              <w:left w:val="single" w:sz="4" w:space="0" w:color="auto"/>
              <w:bottom w:val="single" w:sz="4" w:space="0" w:color="auto"/>
              <w:right w:val="single" w:sz="4" w:space="0" w:color="auto"/>
            </w:tcBorders>
            <w:hideMark/>
          </w:tcPr>
          <w:p w14:paraId="3A6B219C" w14:textId="77777777" w:rsidR="00F40448" w:rsidRPr="00E86883" w:rsidRDefault="00F40448" w:rsidP="00742523">
            <w:pPr>
              <w:spacing w:line="276" w:lineRule="auto"/>
              <w:rPr>
                <w:rFonts w:ascii="Arial" w:hAnsi="Arial" w:cs="Arial"/>
                <w:sz w:val="22"/>
                <w:szCs w:val="22"/>
                <w:lang w:eastAsia="en-US"/>
              </w:rPr>
            </w:pPr>
            <w:r w:rsidRPr="00E86883">
              <w:rPr>
                <w:rFonts w:ascii="Arial" w:hAnsi="Arial" w:cs="Arial"/>
                <w:sz w:val="22"/>
                <w:szCs w:val="22"/>
                <w:lang w:eastAsia="en-US"/>
              </w:rPr>
              <w:t>Mezinárodní srovnání:</w:t>
            </w:r>
          </w:p>
        </w:tc>
        <w:tc>
          <w:tcPr>
            <w:tcW w:w="6486" w:type="dxa"/>
            <w:tcBorders>
              <w:top w:val="single" w:sz="4" w:space="0" w:color="auto"/>
              <w:left w:val="single" w:sz="4" w:space="0" w:color="auto"/>
              <w:bottom w:val="single" w:sz="4" w:space="0" w:color="auto"/>
              <w:right w:val="single" w:sz="4" w:space="0" w:color="auto"/>
            </w:tcBorders>
            <w:hideMark/>
          </w:tcPr>
          <w:p w14:paraId="3AF543F3" w14:textId="77777777" w:rsidR="00F40448" w:rsidRPr="00E86883" w:rsidRDefault="00F40448" w:rsidP="00146D1C">
            <w:pPr>
              <w:spacing w:line="276" w:lineRule="auto"/>
              <w:jc w:val="both"/>
              <w:rPr>
                <w:rFonts w:ascii="Arial" w:hAnsi="Arial" w:cs="Arial"/>
                <w:sz w:val="22"/>
                <w:szCs w:val="22"/>
                <w:lang w:eastAsia="en-US"/>
              </w:rPr>
            </w:pPr>
            <w:r>
              <w:rPr>
                <w:rFonts w:ascii="Arial" w:hAnsi="Arial" w:cs="Arial"/>
                <w:sz w:val="22"/>
                <w:szCs w:val="22"/>
                <w:lang w:eastAsia="en-US"/>
              </w:rPr>
              <w:t>-</w:t>
            </w:r>
          </w:p>
        </w:tc>
      </w:tr>
    </w:tbl>
    <w:p w14:paraId="7D426A26" w14:textId="25BE8395" w:rsidR="00F40448" w:rsidRDefault="00F40448" w:rsidP="00742523">
      <w:pPr>
        <w:spacing w:line="276" w:lineRule="auto"/>
        <w:jc w:val="both"/>
      </w:pPr>
    </w:p>
    <w:tbl>
      <w:tblPr>
        <w:tblStyle w:val="Mkatabulky"/>
        <w:tblW w:w="0" w:type="auto"/>
        <w:shd w:val="clear" w:color="auto" w:fill="D9D9D9" w:themeFill="background1" w:themeFillShade="D9"/>
        <w:tblLook w:val="04A0" w:firstRow="1" w:lastRow="0" w:firstColumn="1" w:lastColumn="0" w:noHBand="0" w:noVBand="1"/>
      </w:tblPr>
      <w:tblGrid>
        <w:gridCol w:w="2802"/>
        <w:gridCol w:w="6486"/>
      </w:tblGrid>
      <w:tr w:rsidR="00E86883" w:rsidRPr="00E86883" w14:paraId="0C802247" w14:textId="77777777" w:rsidTr="00D64E3A">
        <w:tc>
          <w:tcPr>
            <w:tcW w:w="2802" w:type="dxa"/>
            <w:shd w:val="clear" w:color="auto" w:fill="D9D9D9" w:themeFill="background1" w:themeFillShade="D9"/>
            <w:hideMark/>
          </w:tcPr>
          <w:p w14:paraId="13BDCD60"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Název a označení indikátoru: </w:t>
            </w:r>
          </w:p>
        </w:tc>
        <w:tc>
          <w:tcPr>
            <w:tcW w:w="6486" w:type="dxa"/>
            <w:shd w:val="clear" w:color="auto" w:fill="D9D9D9" w:themeFill="background1" w:themeFillShade="D9"/>
            <w:hideMark/>
          </w:tcPr>
          <w:p w14:paraId="737C8ED3" w14:textId="5615746F" w:rsidR="00E86883" w:rsidRPr="00E86883" w:rsidRDefault="00DE6547" w:rsidP="00390609">
            <w:pPr>
              <w:spacing w:line="276" w:lineRule="auto"/>
              <w:rPr>
                <w:rFonts w:ascii="Arial" w:hAnsi="Arial" w:cs="Arial"/>
                <w:b/>
                <w:sz w:val="22"/>
                <w:szCs w:val="22"/>
                <w:lang w:eastAsia="en-US"/>
              </w:rPr>
            </w:pPr>
            <w:r>
              <w:rPr>
                <w:rFonts w:ascii="Arial" w:hAnsi="Arial" w:cs="Arial"/>
                <w:b/>
                <w:sz w:val="22"/>
                <w:szCs w:val="22"/>
                <w:lang w:eastAsia="en-US"/>
              </w:rPr>
              <w:t>1.1.</w:t>
            </w:r>
            <w:r w:rsidR="00F40448">
              <w:rPr>
                <w:rFonts w:ascii="Arial" w:hAnsi="Arial" w:cs="Arial"/>
                <w:b/>
                <w:sz w:val="22"/>
                <w:szCs w:val="22"/>
                <w:lang w:eastAsia="en-US"/>
              </w:rPr>
              <w:t>2</w:t>
            </w:r>
            <w:r w:rsidR="00E86883" w:rsidRPr="00E86883">
              <w:rPr>
                <w:rFonts w:ascii="Arial" w:hAnsi="Arial" w:cs="Arial"/>
                <w:b/>
                <w:sz w:val="22"/>
                <w:szCs w:val="22"/>
                <w:lang w:eastAsia="en-US"/>
              </w:rPr>
              <w:t xml:space="preserve"> </w:t>
            </w:r>
            <w:r w:rsidR="00390609">
              <w:rPr>
                <w:rFonts w:ascii="Arial" w:hAnsi="Arial" w:cs="Arial"/>
                <w:b/>
                <w:sz w:val="22"/>
                <w:szCs w:val="22"/>
                <w:lang w:eastAsia="en-US"/>
              </w:rPr>
              <w:t>Míra z</w:t>
            </w:r>
            <w:r w:rsidR="00E86883" w:rsidRPr="00E86883">
              <w:rPr>
                <w:rFonts w:ascii="Arial" w:hAnsi="Arial" w:cs="Arial"/>
                <w:b/>
                <w:sz w:val="22"/>
                <w:szCs w:val="22"/>
                <w:lang w:eastAsia="en-US"/>
              </w:rPr>
              <w:t>aměstnanost</w:t>
            </w:r>
            <w:r w:rsidR="00390609">
              <w:rPr>
                <w:rFonts w:ascii="Arial" w:hAnsi="Arial" w:cs="Arial"/>
                <w:b/>
                <w:sz w:val="22"/>
                <w:szCs w:val="22"/>
                <w:lang w:eastAsia="en-US"/>
              </w:rPr>
              <w:t>i</w:t>
            </w:r>
            <w:r w:rsidR="00E86883" w:rsidRPr="00E86883">
              <w:rPr>
                <w:rFonts w:ascii="Arial" w:hAnsi="Arial" w:cs="Arial"/>
                <w:b/>
                <w:sz w:val="22"/>
                <w:szCs w:val="22"/>
                <w:lang w:eastAsia="en-US"/>
              </w:rPr>
              <w:t xml:space="preserve"> matek </w:t>
            </w:r>
            <w:r w:rsidR="00390609">
              <w:rPr>
                <w:rFonts w:ascii="Arial" w:hAnsi="Arial" w:cs="Arial"/>
                <w:b/>
                <w:sz w:val="22"/>
                <w:szCs w:val="22"/>
                <w:lang w:eastAsia="en-US"/>
              </w:rPr>
              <w:t>dle věku dítěte</w:t>
            </w:r>
          </w:p>
        </w:tc>
      </w:tr>
      <w:tr w:rsidR="00E86883" w:rsidRPr="00E86883" w14:paraId="4ED3137B" w14:textId="77777777" w:rsidTr="00D64E3A">
        <w:tc>
          <w:tcPr>
            <w:tcW w:w="2802" w:type="dxa"/>
            <w:shd w:val="clear" w:color="auto" w:fill="D9D9D9" w:themeFill="background1" w:themeFillShade="D9"/>
            <w:hideMark/>
          </w:tcPr>
          <w:p w14:paraId="2AAFA761"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Stručná definice: </w:t>
            </w:r>
          </w:p>
        </w:tc>
        <w:tc>
          <w:tcPr>
            <w:tcW w:w="6486" w:type="dxa"/>
            <w:shd w:val="clear" w:color="auto" w:fill="D9D9D9" w:themeFill="background1" w:themeFillShade="D9"/>
            <w:hideMark/>
          </w:tcPr>
          <w:p w14:paraId="2FB506D0" w14:textId="5B9B3F8B"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rPr>
              <w:t>Míra zaměstnanosti žen s dítětem ve společné domácnosti</w:t>
            </w:r>
            <w:r w:rsidR="008D1390">
              <w:rPr>
                <w:rFonts w:ascii="Arial" w:hAnsi="Arial" w:cs="Arial"/>
                <w:sz w:val="22"/>
                <w:szCs w:val="22"/>
              </w:rPr>
              <w:t xml:space="preserve"> dle věku dítěte</w:t>
            </w:r>
            <w:r w:rsidRPr="00E86883">
              <w:rPr>
                <w:rFonts w:ascii="Arial" w:hAnsi="Arial" w:cs="Arial"/>
                <w:sz w:val="22"/>
                <w:szCs w:val="22"/>
              </w:rPr>
              <w:t>.</w:t>
            </w:r>
          </w:p>
        </w:tc>
      </w:tr>
      <w:tr w:rsidR="00E86883" w:rsidRPr="00E86883" w14:paraId="155D3E3C" w14:textId="77777777" w:rsidTr="00D64E3A">
        <w:tc>
          <w:tcPr>
            <w:tcW w:w="2802" w:type="dxa"/>
            <w:shd w:val="clear" w:color="auto" w:fill="D9D9D9" w:themeFill="background1" w:themeFillShade="D9"/>
            <w:hideMark/>
          </w:tcPr>
          <w:p w14:paraId="129F3F30"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Jednotka:</w:t>
            </w:r>
          </w:p>
        </w:tc>
        <w:tc>
          <w:tcPr>
            <w:tcW w:w="6486" w:type="dxa"/>
            <w:shd w:val="clear" w:color="auto" w:fill="D9D9D9" w:themeFill="background1" w:themeFillShade="D9"/>
          </w:tcPr>
          <w:p w14:paraId="0247BE54"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Podíl (v %)</w:t>
            </w:r>
          </w:p>
        </w:tc>
      </w:tr>
      <w:tr w:rsidR="00E86883" w:rsidRPr="00E86883" w14:paraId="73A473CD" w14:textId="77777777" w:rsidTr="00D64E3A">
        <w:tc>
          <w:tcPr>
            <w:tcW w:w="2802" w:type="dxa"/>
            <w:shd w:val="clear" w:color="auto" w:fill="D9D9D9" w:themeFill="background1" w:themeFillShade="D9"/>
            <w:hideMark/>
          </w:tcPr>
          <w:p w14:paraId="35295399"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Gestor: </w:t>
            </w:r>
          </w:p>
        </w:tc>
        <w:tc>
          <w:tcPr>
            <w:tcW w:w="6486" w:type="dxa"/>
            <w:shd w:val="clear" w:color="auto" w:fill="D9D9D9" w:themeFill="background1" w:themeFillShade="D9"/>
            <w:hideMark/>
          </w:tcPr>
          <w:p w14:paraId="0D78F039" w14:textId="28155974" w:rsidR="00E86883" w:rsidRPr="00E86883" w:rsidRDefault="00E86883" w:rsidP="00BE1309">
            <w:pPr>
              <w:spacing w:line="276" w:lineRule="auto"/>
              <w:jc w:val="both"/>
              <w:rPr>
                <w:rFonts w:ascii="Arial" w:hAnsi="Arial" w:cs="Arial"/>
                <w:sz w:val="22"/>
                <w:szCs w:val="22"/>
                <w:lang w:eastAsia="en-US"/>
              </w:rPr>
            </w:pPr>
          </w:p>
        </w:tc>
      </w:tr>
      <w:tr w:rsidR="00E86883" w:rsidRPr="00E86883" w14:paraId="0A93799A" w14:textId="77777777" w:rsidTr="00D64E3A">
        <w:tc>
          <w:tcPr>
            <w:tcW w:w="2802" w:type="dxa"/>
            <w:shd w:val="clear" w:color="auto" w:fill="D9D9D9" w:themeFill="background1" w:themeFillShade="D9"/>
            <w:hideMark/>
          </w:tcPr>
          <w:p w14:paraId="06FB690D"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Význam indikátoru: </w:t>
            </w:r>
          </w:p>
        </w:tc>
        <w:tc>
          <w:tcPr>
            <w:tcW w:w="6486" w:type="dxa"/>
            <w:shd w:val="clear" w:color="auto" w:fill="D9D9D9" w:themeFill="background1" w:themeFillShade="D9"/>
            <w:hideMark/>
          </w:tcPr>
          <w:p w14:paraId="75F9C8A6"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Tento ukazatel znázorňuje dopady mateřství na zaměstnanost žen, a tedy nepřímo možnosti slučitelnosti zaměstnání a péče o děti.</w:t>
            </w:r>
          </w:p>
        </w:tc>
      </w:tr>
      <w:tr w:rsidR="00E86883" w:rsidRPr="00E86883" w14:paraId="58881DCA" w14:textId="77777777" w:rsidTr="00D64E3A">
        <w:tc>
          <w:tcPr>
            <w:tcW w:w="2802" w:type="dxa"/>
            <w:shd w:val="clear" w:color="auto" w:fill="D9D9D9" w:themeFill="background1" w:themeFillShade="D9"/>
            <w:hideMark/>
          </w:tcPr>
          <w:p w14:paraId="56ACAEA2"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Časová řada: </w:t>
            </w:r>
          </w:p>
        </w:tc>
        <w:tc>
          <w:tcPr>
            <w:tcW w:w="6486" w:type="dxa"/>
            <w:shd w:val="clear" w:color="auto" w:fill="D9D9D9" w:themeFill="background1" w:themeFillShade="D9"/>
          </w:tcPr>
          <w:p w14:paraId="39B464B4"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rPr>
              <w:t>Dosud neexistuje, lze vytvořit od roku 2016</w:t>
            </w:r>
          </w:p>
        </w:tc>
      </w:tr>
      <w:tr w:rsidR="00E86883" w:rsidRPr="00E86883" w14:paraId="698D9E47" w14:textId="77777777" w:rsidTr="00D64E3A">
        <w:tc>
          <w:tcPr>
            <w:tcW w:w="2802" w:type="dxa"/>
            <w:shd w:val="clear" w:color="auto" w:fill="D9D9D9" w:themeFill="background1" w:themeFillShade="D9"/>
            <w:hideMark/>
          </w:tcPr>
          <w:p w14:paraId="78EBA466"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Frekvence výstupu: </w:t>
            </w:r>
          </w:p>
        </w:tc>
        <w:tc>
          <w:tcPr>
            <w:tcW w:w="6486" w:type="dxa"/>
            <w:shd w:val="clear" w:color="auto" w:fill="D9D9D9" w:themeFill="background1" w:themeFillShade="D9"/>
            <w:hideMark/>
          </w:tcPr>
          <w:p w14:paraId="030ECAFB"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Ročně</w:t>
            </w:r>
          </w:p>
        </w:tc>
      </w:tr>
      <w:tr w:rsidR="00E86883" w:rsidRPr="00E86883" w14:paraId="492E020C" w14:textId="77777777" w:rsidTr="00D64E3A">
        <w:trPr>
          <w:trHeight w:val="70"/>
        </w:trPr>
        <w:tc>
          <w:tcPr>
            <w:tcW w:w="2802" w:type="dxa"/>
            <w:shd w:val="clear" w:color="auto" w:fill="D9D9D9" w:themeFill="background1" w:themeFillShade="D9"/>
            <w:hideMark/>
          </w:tcPr>
          <w:p w14:paraId="78FDF23E"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Členění indikátoru: </w:t>
            </w:r>
          </w:p>
        </w:tc>
        <w:tc>
          <w:tcPr>
            <w:tcW w:w="6486" w:type="dxa"/>
            <w:shd w:val="clear" w:color="auto" w:fill="D9D9D9" w:themeFill="background1" w:themeFillShade="D9"/>
          </w:tcPr>
          <w:p w14:paraId="41432D4F" w14:textId="01BD6440" w:rsidR="00E86883" w:rsidRPr="00E86883" w:rsidRDefault="00C34866" w:rsidP="00BE1309">
            <w:pPr>
              <w:spacing w:line="276" w:lineRule="auto"/>
              <w:jc w:val="both"/>
              <w:rPr>
                <w:rFonts w:ascii="Arial" w:hAnsi="Arial" w:cs="Arial"/>
                <w:sz w:val="22"/>
                <w:szCs w:val="22"/>
                <w:lang w:eastAsia="en-US"/>
              </w:rPr>
            </w:pPr>
            <w:r>
              <w:rPr>
                <w:rFonts w:ascii="Arial" w:hAnsi="Arial" w:cs="Arial"/>
                <w:sz w:val="22"/>
                <w:szCs w:val="22"/>
                <w:lang w:eastAsia="en-US"/>
              </w:rPr>
              <w:t>Dle krajů, dle v</w:t>
            </w:r>
            <w:r w:rsidR="008D1390">
              <w:rPr>
                <w:rFonts w:ascii="Arial" w:hAnsi="Arial" w:cs="Arial"/>
                <w:sz w:val="22"/>
                <w:szCs w:val="22"/>
                <w:lang w:eastAsia="en-US"/>
              </w:rPr>
              <w:t>ěk</w:t>
            </w:r>
            <w:r>
              <w:rPr>
                <w:rFonts w:ascii="Arial" w:hAnsi="Arial" w:cs="Arial"/>
                <w:sz w:val="22"/>
                <w:szCs w:val="22"/>
                <w:lang w:eastAsia="en-US"/>
              </w:rPr>
              <w:t>u</w:t>
            </w:r>
            <w:r w:rsidR="008D1390">
              <w:rPr>
                <w:rFonts w:ascii="Arial" w:hAnsi="Arial" w:cs="Arial"/>
                <w:sz w:val="22"/>
                <w:szCs w:val="22"/>
                <w:lang w:eastAsia="en-US"/>
              </w:rPr>
              <w:t xml:space="preserve"> d</w:t>
            </w:r>
            <w:r>
              <w:rPr>
                <w:rFonts w:ascii="Arial" w:hAnsi="Arial" w:cs="Arial"/>
                <w:sz w:val="22"/>
                <w:szCs w:val="22"/>
                <w:lang w:eastAsia="en-US"/>
              </w:rPr>
              <w:t>ítěte</w:t>
            </w:r>
          </w:p>
        </w:tc>
      </w:tr>
      <w:tr w:rsidR="00E86883" w:rsidRPr="00E86883" w14:paraId="4675E705" w14:textId="77777777" w:rsidTr="00D64E3A">
        <w:trPr>
          <w:trHeight w:val="70"/>
        </w:trPr>
        <w:tc>
          <w:tcPr>
            <w:tcW w:w="2802" w:type="dxa"/>
            <w:shd w:val="clear" w:color="auto" w:fill="D9D9D9" w:themeFill="background1" w:themeFillShade="D9"/>
            <w:hideMark/>
          </w:tcPr>
          <w:p w14:paraId="051151BE"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Mezinárodní srovnání:</w:t>
            </w:r>
          </w:p>
        </w:tc>
        <w:tc>
          <w:tcPr>
            <w:tcW w:w="6486" w:type="dxa"/>
            <w:shd w:val="clear" w:color="auto" w:fill="D9D9D9" w:themeFill="background1" w:themeFillShade="D9"/>
            <w:hideMark/>
          </w:tcPr>
          <w:p w14:paraId="04798F2A" w14:textId="77777777" w:rsidR="00E86883" w:rsidRPr="00E86883" w:rsidRDefault="00793B30" w:rsidP="00C51B65">
            <w:pPr>
              <w:spacing w:line="276" w:lineRule="auto"/>
              <w:rPr>
                <w:rFonts w:ascii="Arial" w:hAnsi="Arial" w:cs="Arial"/>
                <w:sz w:val="22"/>
                <w:szCs w:val="22"/>
                <w:lang w:eastAsia="en-US"/>
              </w:rPr>
            </w:pPr>
            <w:r>
              <w:rPr>
                <w:rFonts w:ascii="Arial" w:hAnsi="Arial" w:cs="Arial"/>
                <w:sz w:val="22"/>
                <w:szCs w:val="22"/>
                <w:lang w:eastAsia="en-US"/>
              </w:rPr>
              <w:t>-</w:t>
            </w:r>
          </w:p>
        </w:tc>
      </w:tr>
    </w:tbl>
    <w:p w14:paraId="342C7D77" w14:textId="77777777" w:rsidR="00E86883" w:rsidRDefault="00E86883" w:rsidP="00C51B65">
      <w:pPr>
        <w:spacing w:line="276" w:lineRule="auto"/>
        <w:jc w:val="both"/>
        <w:rPr>
          <w:rFonts w:ascii="Arial" w:hAnsi="Arial" w:cs="Arial"/>
          <w:b/>
          <w:sz w:val="22"/>
          <w:szCs w:val="22"/>
        </w:rPr>
      </w:pPr>
    </w:p>
    <w:tbl>
      <w:tblPr>
        <w:tblStyle w:val="Mkatabulky"/>
        <w:tblW w:w="0" w:type="auto"/>
        <w:shd w:val="pct15" w:color="auto" w:fill="auto"/>
        <w:tblLook w:val="04A0" w:firstRow="1" w:lastRow="0" w:firstColumn="1" w:lastColumn="0" w:noHBand="0" w:noVBand="1"/>
      </w:tblPr>
      <w:tblGrid>
        <w:gridCol w:w="2802"/>
        <w:gridCol w:w="6486"/>
      </w:tblGrid>
      <w:tr w:rsidR="00A26C94" w:rsidRPr="00E86883" w14:paraId="4D5342E3" w14:textId="77777777" w:rsidTr="00003B31">
        <w:tc>
          <w:tcPr>
            <w:tcW w:w="2802" w:type="dxa"/>
            <w:shd w:val="pct15" w:color="auto" w:fill="auto"/>
            <w:hideMark/>
          </w:tcPr>
          <w:p w14:paraId="7F8A41A6" w14:textId="77777777" w:rsidR="00A26C94" w:rsidRPr="0079256B" w:rsidRDefault="00A26C94" w:rsidP="00003B31">
            <w:pPr>
              <w:spacing w:line="276" w:lineRule="auto"/>
              <w:rPr>
                <w:rFonts w:ascii="Arial" w:hAnsi="Arial" w:cs="Arial"/>
                <w:sz w:val="22"/>
                <w:szCs w:val="22"/>
                <w:lang w:eastAsia="en-US"/>
              </w:rPr>
            </w:pPr>
            <w:r w:rsidRPr="0079256B">
              <w:rPr>
                <w:rFonts w:ascii="Arial" w:hAnsi="Arial" w:cs="Arial"/>
                <w:sz w:val="22"/>
                <w:szCs w:val="22"/>
                <w:lang w:eastAsia="en-US"/>
              </w:rPr>
              <w:t xml:space="preserve">Název a označení indikátoru: </w:t>
            </w:r>
          </w:p>
        </w:tc>
        <w:tc>
          <w:tcPr>
            <w:tcW w:w="6486" w:type="dxa"/>
            <w:shd w:val="pct15" w:color="auto" w:fill="auto"/>
            <w:hideMark/>
          </w:tcPr>
          <w:p w14:paraId="76058885" w14:textId="1020A723" w:rsidR="00A26C94" w:rsidRPr="0079256B" w:rsidRDefault="00A26C94" w:rsidP="00A26C94">
            <w:pPr>
              <w:spacing w:line="276" w:lineRule="auto"/>
              <w:rPr>
                <w:rFonts w:ascii="Arial" w:hAnsi="Arial" w:cs="Arial"/>
                <w:b/>
                <w:sz w:val="22"/>
                <w:szCs w:val="22"/>
                <w:lang w:eastAsia="en-US"/>
              </w:rPr>
            </w:pPr>
            <w:r>
              <w:rPr>
                <w:rFonts w:ascii="Arial" w:hAnsi="Arial" w:cs="Arial"/>
                <w:b/>
                <w:sz w:val="22"/>
                <w:szCs w:val="22"/>
                <w:lang w:eastAsia="en-US"/>
              </w:rPr>
              <w:t>1.1.</w:t>
            </w:r>
            <w:r w:rsidR="00F40448">
              <w:rPr>
                <w:rFonts w:ascii="Arial" w:hAnsi="Arial" w:cs="Arial"/>
                <w:b/>
                <w:sz w:val="22"/>
                <w:szCs w:val="22"/>
                <w:lang w:eastAsia="en-US"/>
              </w:rPr>
              <w:t>3</w:t>
            </w:r>
            <w:r w:rsidRPr="0079256B">
              <w:rPr>
                <w:rFonts w:ascii="Arial" w:hAnsi="Arial" w:cs="Arial"/>
                <w:b/>
                <w:sz w:val="22"/>
                <w:szCs w:val="22"/>
                <w:lang w:eastAsia="en-US"/>
              </w:rPr>
              <w:t xml:space="preserve"> Relativní míra rizika ohrožení příjmovou chudobou u osob v domácnostech s dětmi ve srovnání s celou populací</w:t>
            </w:r>
            <w:r w:rsidRPr="0079256B" w:rsidDel="00F339E5">
              <w:rPr>
                <w:rFonts w:ascii="Arial" w:hAnsi="Arial" w:cs="Arial"/>
                <w:b/>
                <w:sz w:val="22"/>
                <w:szCs w:val="22"/>
                <w:highlight w:val="yellow"/>
                <w:lang w:eastAsia="en-US"/>
              </w:rPr>
              <w:t xml:space="preserve"> </w:t>
            </w:r>
          </w:p>
        </w:tc>
      </w:tr>
      <w:tr w:rsidR="00A26C94" w:rsidRPr="00E86883" w14:paraId="0E3128F8" w14:textId="77777777" w:rsidTr="00003B31">
        <w:tc>
          <w:tcPr>
            <w:tcW w:w="2802" w:type="dxa"/>
            <w:shd w:val="pct15" w:color="auto" w:fill="auto"/>
            <w:hideMark/>
          </w:tcPr>
          <w:p w14:paraId="0E39DFF3" w14:textId="77777777" w:rsidR="00A26C94" w:rsidRPr="0079256B" w:rsidRDefault="00A26C94" w:rsidP="00003B31">
            <w:pPr>
              <w:spacing w:line="276" w:lineRule="auto"/>
              <w:rPr>
                <w:rFonts w:ascii="Arial" w:hAnsi="Arial" w:cs="Arial"/>
                <w:sz w:val="22"/>
                <w:szCs w:val="22"/>
                <w:lang w:eastAsia="en-US"/>
              </w:rPr>
            </w:pPr>
            <w:r w:rsidRPr="0079256B">
              <w:rPr>
                <w:rFonts w:ascii="Arial" w:hAnsi="Arial" w:cs="Arial"/>
                <w:sz w:val="22"/>
                <w:szCs w:val="22"/>
                <w:lang w:eastAsia="en-US"/>
              </w:rPr>
              <w:t xml:space="preserve">Stručná definice: </w:t>
            </w:r>
          </w:p>
        </w:tc>
        <w:tc>
          <w:tcPr>
            <w:tcW w:w="6486" w:type="dxa"/>
            <w:shd w:val="pct15" w:color="auto" w:fill="auto"/>
            <w:hideMark/>
          </w:tcPr>
          <w:p w14:paraId="5D512CD1" w14:textId="39AEEA9E" w:rsidR="00A26C94" w:rsidRPr="0079256B" w:rsidRDefault="00A26C94" w:rsidP="00BE1309">
            <w:pPr>
              <w:spacing w:line="276" w:lineRule="auto"/>
              <w:jc w:val="both"/>
              <w:rPr>
                <w:rFonts w:ascii="Arial" w:hAnsi="Arial" w:cs="Arial"/>
                <w:sz w:val="22"/>
                <w:szCs w:val="22"/>
                <w:lang w:eastAsia="en-US"/>
              </w:rPr>
            </w:pPr>
            <w:r w:rsidRPr="0079256B">
              <w:rPr>
                <w:rFonts w:ascii="Arial" w:hAnsi="Arial" w:cs="Arial"/>
                <w:sz w:val="22"/>
                <w:szCs w:val="22"/>
                <w:lang w:eastAsia="en-US"/>
              </w:rPr>
              <w:t>Index – podíl míry ohrožení chudobou u osob v domácnostech s dětmi k míře ohrožení celé populace.</w:t>
            </w:r>
            <w:r>
              <w:rPr>
                <w:rFonts w:ascii="Arial" w:hAnsi="Arial" w:cs="Arial"/>
                <w:sz w:val="22"/>
                <w:szCs w:val="22"/>
                <w:lang w:eastAsia="en-US"/>
              </w:rPr>
              <w:t xml:space="preserve"> </w:t>
            </w:r>
            <w:r w:rsidRPr="0079256B">
              <w:rPr>
                <w:rFonts w:ascii="Arial" w:hAnsi="Arial" w:cs="Arial"/>
                <w:sz w:val="22"/>
                <w:szCs w:val="22"/>
                <w:lang w:eastAsia="en-US"/>
              </w:rPr>
              <w:t xml:space="preserve">Domácnosti s dětmi jsou vymezeny jako samostatně hospodařící zahrnující alespoň </w:t>
            </w:r>
            <w:r>
              <w:rPr>
                <w:rFonts w:ascii="Arial" w:hAnsi="Arial" w:cs="Arial"/>
                <w:sz w:val="22"/>
                <w:szCs w:val="22"/>
                <w:lang w:eastAsia="en-US"/>
              </w:rPr>
              <w:t>jedno dítě. (</w:t>
            </w:r>
            <w:r w:rsidRPr="00EF6A33">
              <w:rPr>
                <w:rFonts w:ascii="Arial" w:hAnsi="Arial" w:cs="Arial"/>
                <w:sz w:val="22"/>
                <w:szCs w:val="22"/>
                <w:lang w:eastAsia="en-US"/>
              </w:rPr>
              <w:t xml:space="preserve">Dítětem je osoba mladší 16 let nebo starší 16 let, pokud uvedla, že je žákem, učněm, studentem denního studia a </w:t>
            </w:r>
            <w:r w:rsidRPr="00EF6A33">
              <w:rPr>
                <w:rFonts w:ascii="Arial" w:hAnsi="Arial" w:cs="Arial"/>
                <w:sz w:val="22"/>
                <w:szCs w:val="22"/>
                <w:lang w:eastAsia="en-US"/>
              </w:rPr>
              <w:lastRenderedPageBreak/>
              <w:t xml:space="preserve">je mladší 26 </w:t>
            </w:r>
            <w:proofErr w:type="gramStart"/>
            <w:r w:rsidRPr="00EF6A33">
              <w:rPr>
                <w:rFonts w:ascii="Arial" w:hAnsi="Arial" w:cs="Arial"/>
                <w:sz w:val="22"/>
                <w:szCs w:val="22"/>
                <w:lang w:eastAsia="en-US"/>
              </w:rPr>
              <w:t>let,  její</w:t>
            </w:r>
            <w:proofErr w:type="gramEnd"/>
            <w:r w:rsidRPr="00EF6A33">
              <w:rPr>
                <w:rFonts w:ascii="Arial" w:hAnsi="Arial" w:cs="Arial"/>
                <w:sz w:val="22"/>
                <w:szCs w:val="22"/>
                <w:lang w:eastAsia="en-US"/>
              </w:rPr>
              <w:t xml:space="preserve"> pracovní doba je kratší než 20 hodin týdně a žije v společné domácnosti s rodiči, prarodiči nebo sourozencem. Dítětem je rovněž nepracující osoba starší 16 do věku 18 let včetně a osoba invalidní do věku 25 let, která žije v společné domácnosti s rodiči, prarodiči nebo sourozencem.</w:t>
            </w:r>
            <w:r>
              <w:rPr>
                <w:rFonts w:ascii="Arial" w:hAnsi="Arial" w:cs="Arial"/>
                <w:sz w:val="22"/>
                <w:szCs w:val="22"/>
                <w:lang w:eastAsia="en-US"/>
              </w:rPr>
              <w:t>)</w:t>
            </w:r>
          </w:p>
        </w:tc>
      </w:tr>
      <w:tr w:rsidR="00A26C94" w:rsidRPr="00E86883" w14:paraId="2F8525AD" w14:textId="77777777" w:rsidTr="00003B31">
        <w:tc>
          <w:tcPr>
            <w:tcW w:w="2802" w:type="dxa"/>
            <w:shd w:val="pct15" w:color="auto" w:fill="auto"/>
            <w:hideMark/>
          </w:tcPr>
          <w:p w14:paraId="0EFD59CF" w14:textId="77777777" w:rsidR="00A26C94" w:rsidRPr="0079256B" w:rsidRDefault="00A26C94" w:rsidP="00003B31">
            <w:pPr>
              <w:spacing w:line="276" w:lineRule="auto"/>
              <w:rPr>
                <w:rFonts w:ascii="Arial" w:hAnsi="Arial" w:cs="Arial"/>
                <w:sz w:val="22"/>
                <w:szCs w:val="22"/>
                <w:lang w:eastAsia="en-US"/>
              </w:rPr>
            </w:pPr>
            <w:r w:rsidRPr="0079256B">
              <w:rPr>
                <w:rFonts w:ascii="Arial" w:hAnsi="Arial" w:cs="Arial"/>
                <w:sz w:val="22"/>
                <w:szCs w:val="22"/>
                <w:lang w:eastAsia="en-US"/>
              </w:rPr>
              <w:lastRenderedPageBreak/>
              <w:t>Jednotka:</w:t>
            </w:r>
          </w:p>
        </w:tc>
        <w:tc>
          <w:tcPr>
            <w:tcW w:w="6486" w:type="dxa"/>
            <w:shd w:val="pct15" w:color="auto" w:fill="auto"/>
          </w:tcPr>
          <w:p w14:paraId="286B1804" w14:textId="77777777" w:rsidR="00A26C94" w:rsidRPr="0079256B" w:rsidRDefault="00A26C94" w:rsidP="00BE1309">
            <w:pPr>
              <w:spacing w:line="276" w:lineRule="auto"/>
              <w:jc w:val="both"/>
              <w:rPr>
                <w:rFonts w:ascii="Arial" w:hAnsi="Arial" w:cs="Arial"/>
                <w:sz w:val="22"/>
                <w:szCs w:val="22"/>
                <w:lang w:eastAsia="en-US"/>
              </w:rPr>
            </w:pPr>
            <w:r w:rsidRPr="0079256B">
              <w:rPr>
                <w:rFonts w:ascii="Arial" w:hAnsi="Arial" w:cs="Arial"/>
                <w:sz w:val="22"/>
                <w:szCs w:val="22"/>
                <w:lang w:eastAsia="en-US"/>
              </w:rPr>
              <w:t>Bezrozměrné číslo</w:t>
            </w:r>
          </w:p>
        </w:tc>
      </w:tr>
      <w:tr w:rsidR="00A26C94" w:rsidRPr="00E86883" w14:paraId="090F2CDC" w14:textId="77777777" w:rsidTr="00003B31">
        <w:tc>
          <w:tcPr>
            <w:tcW w:w="2802" w:type="dxa"/>
            <w:shd w:val="pct15" w:color="auto" w:fill="auto"/>
            <w:hideMark/>
          </w:tcPr>
          <w:p w14:paraId="2203179F" w14:textId="77777777" w:rsidR="00A26C94" w:rsidRPr="0079256B" w:rsidRDefault="00A26C94" w:rsidP="00003B31">
            <w:pPr>
              <w:spacing w:line="276" w:lineRule="auto"/>
              <w:rPr>
                <w:rFonts w:ascii="Arial" w:hAnsi="Arial" w:cs="Arial"/>
                <w:sz w:val="22"/>
                <w:szCs w:val="22"/>
                <w:lang w:eastAsia="en-US"/>
              </w:rPr>
            </w:pPr>
            <w:r w:rsidRPr="0079256B">
              <w:rPr>
                <w:rFonts w:ascii="Arial" w:hAnsi="Arial" w:cs="Arial"/>
                <w:sz w:val="22"/>
                <w:szCs w:val="22"/>
                <w:lang w:eastAsia="en-US"/>
              </w:rPr>
              <w:t xml:space="preserve">Gestor: </w:t>
            </w:r>
          </w:p>
        </w:tc>
        <w:tc>
          <w:tcPr>
            <w:tcW w:w="6486" w:type="dxa"/>
            <w:shd w:val="pct15" w:color="auto" w:fill="auto"/>
            <w:hideMark/>
          </w:tcPr>
          <w:p w14:paraId="6BADE3F5" w14:textId="77777777" w:rsidR="00A26C94" w:rsidRPr="0079256B" w:rsidRDefault="00A26C94" w:rsidP="00BE1309">
            <w:pPr>
              <w:spacing w:line="276" w:lineRule="auto"/>
              <w:jc w:val="both"/>
              <w:rPr>
                <w:rFonts w:ascii="Arial" w:hAnsi="Arial" w:cs="Arial"/>
                <w:sz w:val="22"/>
                <w:szCs w:val="22"/>
                <w:lang w:eastAsia="en-US"/>
              </w:rPr>
            </w:pPr>
            <w:r w:rsidRPr="0079256B">
              <w:rPr>
                <w:rFonts w:ascii="Arial" w:hAnsi="Arial" w:cs="Arial"/>
                <w:sz w:val="22"/>
                <w:szCs w:val="22"/>
                <w:lang w:eastAsia="en-US"/>
              </w:rPr>
              <w:t>Český statistický úřad</w:t>
            </w:r>
          </w:p>
        </w:tc>
      </w:tr>
      <w:tr w:rsidR="00A26C94" w:rsidRPr="00E86883" w14:paraId="242A50E1" w14:textId="77777777" w:rsidTr="00003B31">
        <w:tc>
          <w:tcPr>
            <w:tcW w:w="2802" w:type="dxa"/>
            <w:shd w:val="pct15" w:color="auto" w:fill="auto"/>
            <w:hideMark/>
          </w:tcPr>
          <w:p w14:paraId="2638BB55" w14:textId="77777777" w:rsidR="00A26C94" w:rsidRPr="0079256B" w:rsidRDefault="00A26C94" w:rsidP="00003B31">
            <w:pPr>
              <w:spacing w:line="276" w:lineRule="auto"/>
              <w:rPr>
                <w:rFonts w:ascii="Arial" w:hAnsi="Arial" w:cs="Arial"/>
                <w:sz w:val="22"/>
                <w:szCs w:val="22"/>
                <w:lang w:eastAsia="en-US"/>
              </w:rPr>
            </w:pPr>
            <w:r w:rsidRPr="0079256B">
              <w:rPr>
                <w:rFonts w:ascii="Arial" w:hAnsi="Arial" w:cs="Arial"/>
                <w:sz w:val="22"/>
                <w:szCs w:val="22"/>
                <w:lang w:eastAsia="en-US"/>
              </w:rPr>
              <w:t xml:space="preserve">Význam indikátoru: </w:t>
            </w:r>
          </w:p>
        </w:tc>
        <w:tc>
          <w:tcPr>
            <w:tcW w:w="6486" w:type="dxa"/>
            <w:shd w:val="pct15" w:color="auto" w:fill="auto"/>
            <w:hideMark/>
          </w:tcPr>
          <w:p w14:paraId="69776353" w14:textId="0A901251" w:rsidR="00A26C94" w:rsidRPr="0079256B" w:rsidRDefault="00A26C94" w:rsidP="00BE1309">
            <w:pPr>
              <w:spacing w:line="276" w:lineRule="auto"/>
              <w:jc w:val="both"/>
              <w:rPr>
                <w:rFonts w:ascii="Arial" w:hAnsi="Arial" w:cs="Arial"/>
                <w:sz w:val="22"/>
                <w:szCs w:val="22"/>
                <w:lang w:eastAsia="en-US"/>
              </w:rPr>
            </w:pPr>
            <w:r w:rsidRPr="0079256B">
              <w:rPr>
                <w:rFonts w:ascii="Arial" w:hAnsi="Arial" w:cs="Arial"/>
                <w:sz w:val="22"/>
                <w:szCs w:val="22"/>
                <w:lang w:eastAsia="en-US"/>
              </w:rPr>
              <w:t>Srovnává rizika ohrožení příjmovou chudobou u domácností s dětmi jako specifické cílové skupiny se situací v populaci jako celku.</w:t>
            </w:r>
          </w:p>
        </w:tc>
      </w:tr>
      <w:tr w:rsidR="00A26C94" w:rsidRPr="00E86883" w14:paraId="42535B8C" w14:textId="77777777" w:rsidTr="00003B31">
        <w:tc>
          <w:tcPr>
            <w:tcW w:w="2802" w:type="dxa"/>
            <w:shd w:val="pct15" w:color="auto" w:fill="auto"/>
            <w:hideMark/>
          </w:tcPr>
          <w:p w14:paraId="066D8688" w14:textId="77777777" w:rsidR="00A26C94" w:rsidRPr="0079256B" w:rsidRDefault="00A26C94" w:rsidP="00003B31">
            <w:pPr>
              <w:spacing w:line="276" w:lineRule="auto"/>
              <w:rPr>
                <w:rFonts w:ascii="Arial" w:hAnsi="Arial" w:cs="Arial"/>
                <w:sz w:val="22"/>
                <w:szCs w:val="22"/>
                <w:lang w:eastAsia="en-US"/>
              </w:rPr>
            </w:pPr>
            <w:r w:rsidRPr="0079256B">
              <w:rPr>
                <w:rFonts w:ascii="Arial" w:hAnsi="Arial" w:cs="Arial"/>
                <w:sz w:val="22"/>
                <w:szCs w:val="22"/>
                <w:lang w:eastAsia="en-US"/>
              </w:rPr>
              <w:t xml:space="preserve">Časová řada: </w:t>
            </w:r>
          </w:p>
        </w:tc>
        <w:tc>
          <w:tcPr>
            <w:tcW w:w="6486" w:type="dxa"/>
            <w:shd w:val="pct15" w:color="auto" w:fill="auto"/>
          </w:tcPr>
          <w:p w14:paraId="32CECB20" w14:textId="77777777" w:rsidR="00A26C94" w:rsidRPr="0079256B" w:rsidRDefault="00A26C94" w:rsidP="00BE1309">
            <w:pPr>
              <w:spacing w:line="276" w:lineRule="auto"/>
              <w:jc w:val="both"/>
              <w:rPr>
                <w:rFonts w:ascii="Arial" w:hAnsi="Arial" w:cs="Arial"/>
                <w:sz w:val="22"/>
                <w:szCs w:val="22"/>
                <w:lang w:eastAsia="en-US"/>
              </w:rPr>
            </w:pPr>
            <w:r w:rsidRPr="0079256B">
              <w:rPr>
                <w:rFonts w:ascii="Arial" w:hAnsi="Arial" w:cs="Arial"/>
                <w:sz w:val="22"/>
                <w:szCs w:val="22"/>
                <w:lang w:eastAsia="en-US"/>
              </w:rPr>
              <w:t>Od roku 2005</w:t>
            </w:r>
          </w:p>
        </w:tc>
      </w:tr>
      <w:tr w:rsidR="00A26C94" w:rsidRPr="00E86883" w14:paraId="21E6E1CC" w14:textId="77777777" w:rsidTr="00003B31">
        <w:tc>
          <w:tcPr>
            <w:tcW w:w="2802" w:type="dxa"/>
            <w:shd w:val="pct15" w:color="auto" w:fill="auto"/>
            <w:hideMark/>
          </w:tcPr>
          <w:p w14:paraId="12EBEA4C" w14:textId="77777777" w:rsidR="00A26C94" w:rsidRPr="0079256B" w:rsidRDefault="00A26C94" w:rsidP="00003B31">
            <w:pPr>
              <w:spacing w:line="276" w:lineRule="auto"/>
              <w:rPr>
                <w:rFonts w:ascii="Arial" w:hAnsi="Arial" w:cs="Arial"/>
                <w:sz w:val="22"/>
                <w:szCs w:val="22"/>
                <w:lang w:eastAsia="en-US"/>
              </w:rPr>
            </w:pPr>
            <w:r w:rsidRPr="0079256B">
              <w:rPr>
                <w:rFonts w:ascii="Arial" w:hAnsi="Arial" w:cs="Arial"/>
                <w:sz w:val="22"/>
                <w:szCs w:val="22"/>
                <w:lang w:eastAsia="en-US"/>
              </w:rPr>
              <w:t xml:space="preserve">Frekvence výstupu: </w:t>
            </w:r>
          </w:p>
        </w:tc>
        <w:tc>
          <w:tcPr>
            <w:tcW w:w="6486" w:type="dxa"/>
            <w:shd w:val="pct15" w:color="auto" w:fill="auto"/>
          </w:tcPr>
          <w:p w14:paraId="7F881051" w14:textId="77777777" w:rsidR="00A26C94" w:rsidRPr="0079256B" w:rsidRDefault="00A26C94" w:rsidP="00BE1309">
            <w:pPr>
              <w:spacing w:line="276" w:lineRule="auto"/>
              <w:jc w:val="both"/>
              <w:rPr>
                <w:rFonts w:ascii="Arial" w:hAnsi="Arial" w:cs="Arial"/>
                <w:sz w:val="22"/>
                <w:szCs w:val="22"/>
                <w:lang w:eastAsia="en-US"/>
              </w:rPr>
            </w:pPr>
            <w:r w:rsidRPr="0079256B">
              <w:rPr>
                <w:rFonts w:ascii="Arial" w:hAnsi="Arial" w:cs="Arial"/>
                <w:sz w:val="22"/>
                <w:szCs w:val="22"/>
                <w:lang w:eastAsia="en-US"/>
              </w:rPr>
              <w:t>Ročně</w:t>
            </w:r>
          </w:p>
        </w:tc>
      </w:tr>
      <w:tr w:rsidR="00A26C94" w:rsidRPr="00E86883" w14:paraId="250C9F61" w14:textId="77777777" w:rsidTr="00003B31">
        <w:trPr>
          <w:trHeight w:val="70"/>
        </w:trPr>
        <w:tc>
          <w:tcPr>
            <w:tcW w:w="2802" w:type="dxa"/>
            <w:shd w:val="pct15" w:color="auto" w:fill="auto"/>
            <w:hideMark/>
          </w:tcPr>
          <w:p w14:paraId="31711804" w14:textId="77777777" w:rsidR="00A26C94" w:rsidRPr="0079256B" w:rsidRDefault="00A26C94" w:rsidP="00003B31">
            <w:pPr>
              <w:spacing w:line="276" w:lineRule="auto"/>
              <w:rPr>
                <w:rFonts w:ascii="Arial" w:hAnsi="Arial" w:cs="Arial"/>
                <w:sz w:val="22"/>
                <w:szCs w:val="22"/>
                <w:lang w:eastAsia="en-US"/>
              </w:rPr>
            </w:pPr>
            <w:r w:rsidRPr="0079256B">
              <w:rPr>
                <w:rFonts w:ascii="Arial" w:hAnsi="Arial" w:cs="Arial"/>
                <w:sz w:val="22"/>
                <w:szCs w:val="22"/>
                <w:lang w:eastAsia="en-US"/>
              </w:rPr>
              <w:t xml:space="preserve">Členění indikátoru: </w:t>
            </w:r>
          </w:p>
        </w:tc>
        <w:tc>
          <w:tcPr>
            <w:tcW w:w="6486" w:type="dxa"/>
            <w:shd w:val="pct15" w:color="auto" w:fill="auto"/>
          </w:tcPr>
          <w:p w14:paraId="5AB3212D" w14:textId="4A5AC261" w:rsidR="00A26C94" w:rsidRPr="0079256B" w:rsidRDefault="00C34866" w:rsidP="00BE1309">
            <w:pPr>
              <w:spacing w:line="276" w:lineRule="auto"/>
              <w:jc w:val="both"/>
              <w:rPr>
                <w:rFonts w:ascii="Arial" w:hAnsi="Arial" w:cs="Arial"/>
                <w:sz w:val="22"/>
                <w:szCs w:val="22"/>
                <w:lang w:eastAsia="en-US"/>
              </w:rPr>
            </w:pPr>
            <w:r>
              <w:rPr>
                <w:rFonts w:ascii="Arial" w:hAnsi="Arial" w:cs="Arial"/>
                <w:sz w:val="22"/>
                <w:szCs w:val="22"/>
                <w:lang w:eastAsia="en-US"/>
              </w:rPr>
              <w:t>Dle počtu</w:t>
            </w:r>
            <w:r w:rsidR="00A26C94" w:rsidRPr="0079256B">
              <w:rPr>
                <w:rFonts w:ascii="Arial" w:hAnsi="Arial" w:cs="Arial"/>
                <w:sz w:val="22"/>
                <w:szCs w:val="22"/>
                <w:lang w:eastAsia="en-US"/>
              </w:rPr>
              <w:t xml:space="preserve"> dětí</w:t>
            </w:r>
            <w:r w:rsidR="00A26C94">
              <w:rPr>
                <w:rFonts w:ascii="Arial" w:hAnsi="Arial" w:cs="Arial"/>
                <w:sz w:val="22"/>
                <w:szCs w:val="22"/>
                <w:lang w:eastAsia="en-US"/>
              </w:rPr>
              <w:t xml:space="preserve"> (jedno, dvě, tři a více)</w:t>
            </w:r>
          </w:p>
        </w:tc>
      </w:tr>
      <w:tr w:rsidR="00A26C94" w:rsidRPr="00E86883" w14:paraId="5B144130" w14:textId="77777777" w:rsidTr="00003B31">
        <w:trPr>
          <w:trHeight w:val="70"/>
        </w:trPr>
        <w:tc>
          <w:tcPr>
            <w:tcW w:w="2802" w:type="dxa"/>
            <w:shd w:val="pct15" w:color="auto" w:fill="auto"/>
            <w:hideMark/>
          </w:tcPr>
          <w:p w14:paraId="704B1285" w14:textId="77777777" w:rsidR="00A26C94" w:rsidRPr="0079256B" w:rsidRDefault="00A26C94" w:rsidP="00003B31">
            <w:pPr>
              <w:spacing w:line="276" w:lineRule="auto"/>
              <w:rPr>
                <w:rFonts w:ascii="Arial" w:hAnsi="Arial" w:cs="Arial"/>
                <w:sz w:val="22"/>
                <w:szCs w:val="22"/>
                <w:lang w:eastAsia="en-US"/>
              </w:rPr>
            </w:pPr>
            <w:r w:rsidRPr="0079256B">
              <w:rPr>
                <w:rFonts w:ascii="Arial" w:hAnsi="Arial" w:cs="Arial"/>
                <w:sz w:val="22"/>
                <w:szCs w:val="22"/>
                <w:lang w:eastAsia="en-US"/>
              </w:rPr>
              <w:t>Mezinárodní srovnání:</w:t>
            </w:r>
          </w:p>
        </w:tc>
        <w:tc>
          <w:tcPr>
            <w:tcW w:w="6486" w:type="dxa"/>
            <w:shd w:val="pct15" w:color="auto" w:fill="auto"/>
          </w:tcPr>
          <w:p w14:paraId="0B1260B2" w14:textId="5D017D60" w:rsidR="00A26C94" w:rsidRPr="0079256B" w:rsidRDefault="00BE1309" w:rsidP="00BE1309">
            <w:pPr>
              <w:spacing w:line="276" w:lineRule="auto"/>
              <w:jc w:val="both"/>
              <w:rPr>
                <w:rFonts w:ascii="Arial" w:hAnsi="Arial" w:cs="Arial"/>
                <w:sz w:val="22"/>
                <w:szCs w:val="22"/>
                <w:lang w:eastAsia="en-US"/>
              </w:rPr>
            </w:pPr>
            <w:r>
              <w:rPr>
                <w:rFonts w:ascii="Arial" w:hAnsi="Arial" w:cs="Arial"/>
                <w:sz w:val="22"/>
                <w:szCs w:val="22"/>
                <w:lang w:eastAsia="en-US"/>
              </w:rPr>
              <w:t>-</w:t>
            </w:r>
          </w:p>
        </w:tc>
      </w:tr>
    </w:tbl>
    <w:p w14:paraId="4EB6DB59" w14:textId="77777777" w:rsidR="00A26C94" w:rsidRDefault="00A26C94" w:rsidP="00C51B65">
      <w:pPr>
        <w:spacing w:line="276" w:lineRule="auto"/>
        <w:jc w:val="both"/>
        <w:rPr>
          <w:rFonts w:ascii="Arial" w:hAnsi="Arial" w:cs="Arial"/>
          <w:b/>
          <w:sz w:val="22"/>
          <w:szCs w:val="22"/>
        </w:rPr>
      </w:pPr>
    </w:p>
    <w:tbl>
      <w:tblPr>
        <w:tblStyle w:val="Mkatabulky"/>
        <w:tblW w:w="0" w:type="auto"/>
        <w:tblLook w:val="04A0" w:firstRow="1" w:lastRow="0" w:firstColumn="1" w:lastColumn="0" w:noHBand="0" w:noVBand="1"/>
      </w:tblPr>
      <w:tblGrid>
        <w:gridCol w:w="2802"/>
        <w:gridCol w:w="6486"/>
      </w:tblGrid>
      <w:tr w:rsidR="008D1390" w:rsidRPr="00E86883" w14:paraId="7B42169B" w14:textId="77777777" w:rsidTr="00003B31">
        <w:tc>
          <w:tcPr>
            <w:tcW w:w="2802" w:type="dxa"/>
            <w:tcBorders>
              <w:top w:val="single" w:sz="4" w:space="0" w:color="auto"/>
              <w:left w:val="single" w:sz="4" w:space="0" w:color="auto"/>
              <w:bottom w:val="single" w:sz="4" w:space="0" w:color="auto"/>
              <w:right w:val="single" w:sz="4" w:space="0" w:color="auto"/>
            </w:tcBorders>
            <w:hideMark/>
          </w:tcPr>
          <w:p w14:paraId="3B01E92F" w14:textId="77777777" w:rsidR="008D1390" w:rsidRPr="00E86883" w:rsidRDefault="008D1390" w:rsidP="00003B31">
            <w:pPr>
              <w:spacing w:line="276" w:lineRule="auto"/>
              <w:rPr>
                <w:rFonts w:ascii="Arial" w:hAnsi="Arial" w:cs="Arial"/>
                <w:sz w:val="22"/>
                <w:szCs w:val="22"/>
                <w:lang w:eastAsia="en-US"/>
              </w:rPr>
            </w:pPr>
            <w:r w:rsidRPr="00E86883">
              <w:rPr>
                <w:rFonts w:ascii="Arial" w:hAnsi="Arial" w:cs="Arial"/>
                <w:sz w:val="22"/>
                <w:szCs w:val="22"/>
                <w:lang w:eastAsia="en-US"/>
              </w:rPr>
              <w:t xml:space="preserve">Název a označení indikátoru: </w:t>
            </w:r>
          </w:p>
        </w:tc>
        <w:tc>
          <w:tcPr>
            <w:tcW w:w="6486" w:type="dxa"/>
            <w:tcBorders>
              <w:top w:val="single" w:sz="4" w:space="0" w:color="auto"/>
              <w:left w:val="single" w:sz="4" w:space="0" w:color="auto"/>
              <w:bottom w:val="single" w:sz="4" w:space="0" w:color="auto"/>
              <w:right w:val="single" w:sz="4" w:space="0" w:color="auto"/>
            </w:tcBorders>
            <w:hideMark/>
          </w:tcPr>
          <w:p w14:paraId="535B93CE" w14:textId="541B6865" w:rsidR="008D1390" w:rsidRPr="00E86883" w:rsidRDefault="008D1390" w:rsidP="00003B31">
            <w:pPr>
              <w:spacing w:line="276" w:lineRule="auto"/>
              <w:rPr>
                <w:rFonts w:ascii="Arial" w:hAnsi="Arial" w:cs="Arial"/>
                <w:b/>
                <w:sz w:val="22"/>
                <w:szCs w:val="22"/>
                <w:lang w:eastAsia="en-US"/>
              </w:rPr>
            </w:pPr>
            <w:r w:rsidRPr="00E86883">
              <w:rPr>
                <w:rFonts w:ascii="Arial" w:hAnsi="Arial" w:cs="Arial"/>
                <w:b/>
                <w:sz w:val="22"/>
                <w:szCs w:val="22"/>
                <w:lang w:eastAsia="en-US"/>
              </w:rPr>
              <w:t>1.</w:t>
            </w:r>
            <w:r>
              <w:rPr>
                <w:rFonts w:ascii="Arial" w:hAnsi="Arial" w:cs="Arial"/>
                <w:b/>
                <w:sz w:val="22"/>
                <w:szCs w:val="22"/>
                <w:lang w:eastAsia="en-US"/>
              </w:rPr>
              <w:t>1</w:t>
            </w:r>
            <w:r w:rsidRPr="00E86883">
              <w:rPr>
                <w:rFonts w:ascii="Arial" w:hAnsi="Arial" w:cs="Arial"/>
                <w:b/>
                <w:sz w:val="22"/>
                <w:szCs w:val="22"/>
                <w:lang w:eastAsia="en-US"/>
              </w:rPr>
              <w:t>.</w:t>
            </w:r>
            <w:r w:rsidR="00F40448">
              <w:rPr>
                <w:rFonts w:ascii="Arial" w:hAnsi="Arial" w:cs="Arial"/>
                <w:b/>
                <w:sz w:val="22"/>
                <w:szCs w:val="22"/>
                <w:lang w:eastAsia="en-US"/>
              </w:rPr>
              <w:t>4</w:t>
            </w:r>
            <w:r w:rsidRPr="00E86883">
              <w:rPr>
                <w:rFonts w:ascii="Arial" w:hAnsi="Arial" w:cs="Arial"/>
                <w:b/>
                <w:sz w:val="22"/>
                <w:szCs w:val="22"/>
                <w:lang w:eastAsia="en-US"/>
              </w:rPr>
              <w:t xml:space="preserve"> Průměrný disponibilní příjem na osobu v rodinách s dětmi</w:t>
            </w:r>
            <w:r w:rsidRPr="00E86883" w:rsidDel="003F7793">
              <w:rPr>
                <w:rFonts w:ascii="Arial" w:hAnsi="Arial" w:cs="Arial"/>
                <w:b/>
                <w:sz w:val="22"/>
                <w:szCs w:val="22"/>
                <w:lang w:eastAsia="en-US"/>
              </w:rPr>
              <w:t xml:space="preserve"> </w:t>
            </w:r>
            <w:r>
              <w:rPr>
                <w:rFonts w:ascii="Arial" w:hAnsi="Arial" w:cs="Arial"/>
                <w:b/>
                <w:sz w:val="22"/>
                <w:szCs w:val="22"/>
                <w:lang w:eastAsia="en-US"/>
              </w:rPr>
              <w:t>ve srovnání s ostatními typy domácností</w:t>
            </w:r>
          </w:p>
        </w:tc>
      </w:tr>
      <w:tr w:rsidR="008D1390" w:rsidRPr="00E86883" w14:paraId="0FBEF951" w14:textId="77777777" w:rsidTr="00003B31">
        <w:tc>
          <w:tcPr>
            <w:tcW w:w="2802" w:type="dxa"/>
            <w:tcBorders>
              <w:top w:val="single" w:sz="4" w:space="0" w:color="auto"/>
              <w:left w:val="single" w:sz="4" w:space="0" w:color="auto"/>
              <w:bottom w:val="single" w:sz="4" w:space="0" w:color="auto"/>
              <w:right w:val="single" w:sz="4" w:space="0" w:color="auto"/>
            </w:tcBorders>
            <w:hideMark/>
          </w:tcPr>
          <w:p w14:paraId="316A312B" w14:textId="77777777" w:rsidR="008D1390" w:rsidRPr="00E86883" w:rsidRDefault="008D1390" w:rsidP="00003B31">
            <w:pPr>
              <w:spacing w:line="276" w:lineRule="auto"/>
              <w:rPr>
                <w:rFonts w:ascii="Arial" w:hAnsi="Arial" w:cs="Arial"/>
                <w:sz w:val="22"/>
                <w:szCs w:val="22"/>
                <w:lang w:eastAsia="en-US"/>
              </w:rPr>
            </w:pPr>
            <w:r w:rsidRPr="00E86883">
              <w:rPr>
                <w:rFonts w:ascii="Arial" w:hAnsi="Arial" w:cs="Arial"/>
                <w:sz w:val="22"/>
                <w:szCs w:val="22"/>
                <w:lang w:eastAsia="en-US"/>
              </w:rPr>
              <w:t xml:space="preserve">Stručná definice: </w:t>
            </w:r>
          </w:p>
        </w:tc>
        <w:tc>
          <w:tcPr>
            <w:tcW w:w="6486" w:type="dxa"/>
            <w:tcBorders>
              <w:top w:val="single" w:sz="4" w:space="0" w:color="auto"/>
              <w:left w:val="single" w:sz="4" w:space="0" w:color="auto"/>
              <w:bottom w:val="single" w:sz="4" w:space="0" w:color="auto"/>
              <w:right w:val="single" w:sz="4" w:space="0" w:color="auto"/>
            </w:tcBorders>
          </w:tcPr>
          <w:p w14:paraId="51ED1803" w14:textId="6A7C51D5" w:rsidR="008D1390" w:rsidRPr="00E86883" w:rsidRDefault="008D1390"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Průměrný disponibilní příjem na osobu za domácnosti s dětmi celkem a v základním třídění dle počtu dětí v domácnosti.</w:t>
            </w:r>
            <w:r>
              <w:rPr>
                <w:rFonts w:ascii="Arial" w:hAnsi="Arial" w:cs="Arial"/>
                <w:sz w:val="22"/>
                <w:szCs w:val="22"/>
                <w:lang w:eastAsia="en-US"/>
              </w:rPr>
              <w:t xml:space="preserve"> </w:t>
            </w:r>
            <w:r w:rsidRPr="00EF6A33">
              <w:rPr>
                <w:rFonts w:ascii="Arial" w:hAnsi="Arial" w:cs="Arial"/>
                <w:sz w:val="22"/>
                <w:szCs w:val="22"/>
                <w:lang w:eastAsia="en-US"/>
              </w:rPr>
              <w:t xml:space="preserve">Dítětem je osoba mladší 16 let nebo starší 16 let, pokud uvedla, že je žákem, učněm, studentem denního studia a je mladší 26 </w:t>
            </w:r>
            <w:proofErr w:type="gramStart"/>
            <w:r w:rsidRPr="00EF6A33">
              <w:rPr>
                <w:rFonts w:ascii="Arial" w:hAnsi="Arial" w:cs="Arial"/>
                <w:sz w:val="22"/>
                <w:szCs w:val="22"/>
                <w:lang w:eastAsia="en-US"/>
              </w:rPr>
              <w:t>let,  její</w:t>
            </w:r>
            <w:proofErr w:type="gramEnd"/>
            <w:r w:rsidRPr="00EF6A33">
              <w:rPr>
                <w:rFonts w:ascii="Arial" w:hAnsi="Arial" w:cs="Arial"/>
                <w:sz w:val="22"/>
                <w:szCs w:val="22"/>
                <w:lang w:eastAsia="en-US"/>
              </w:rPr>
              <w:t xml:space="preserve"> pracovní doba je kratší než 20 hodin týdně a žije v společné domácnosti s rodiči, prarodiči nebo sourozencem. Dítětem je rovněž nepracující osoba starší 16 do věku 18 let včetně a osoba invalidní do věku 25 let, která žije v společné domácnosti s rodiči, prarodiči nebo sourozencem</w:t>
            </w:r>
            <w:r>
              <w:rPr>
                <w:rFonts w:ascii="Arial" w:hAnsi="Arial" w:cs="Arial"/>
                <w:sz w:val="22"/>
                <w:szCs w:val="22"/>
                <w:lang w:eastAsia="en-US"/>
              </w:rPr>
              <w:t>. Srovnání s domácností bez dětí a s domácnostmi důchodců</w:t>
            </w:r>
            <w:r w:rsidR="008427D4">
              <w:rPr>
                <w:rFonts w:ascii="Arial" w:hAnsi="Arial" w:cs="Arial"/>
                <w:sz w:val="22"/>
                <w:szCs w:val="22"/>
                <w:lang w:eastAsia="en-US"/>
              </w:rPr>
              <w:t xml:space="preserve"> (vymezení domácnosti důchodců dle SILC)</w:t>
            </w:r>
            <w:r>
              <w:rPr>
                <w:rFonts w:ascii="Arial" w:hAnsi="Arial" w:cs="Arial"/>
                <w:sz w:val="22"/>
                <w:szCs w:val="22"/>
                <w:lang w:eastAsia="en-US"/>
              </w:rPr>
              <w:t>.</w:t>
            </w:r>
          </w:p>
        </w:tc>
      </w:tr>
      <w:tr w:rsidR="008D1390" w:rsidRPr="00E86883" w14:paraId="19B7B4D3" w14:textId="77777777" w:rsidTr="00003B31">
        <w:tc>
          <w:tcPr>
            <w:tcW w:w="2802" w:type="dxa"/>
            <w:tcBorders>
              <w:top w:val="single" w:sz="4" w:space="0" w:color="auto"/>
              <w:left w:val="single" w:sz="4" w:space="0" w:color="auto"/>
              <w:bottom w:val="single" w:sz="4" w:space="0" w:color="auto"/>
              <w:right w:val="single" w:sz="4" w:space="0" w:color="auto"/>
            </w:tcBorders>
            <w:hideMark/>
          </w:tcPr>
          <w:p w14:paraId="2C6F642E" w14:textId="77777777" w:rsidR="008D1390" w:rsidRPr="00E86883" w:rsidRDefault="008D1390" w:rsidP="00003B31">
            <w:pPr>
              <w:spacing w:line="276" w:lineRule="auto"/>
              <w:rPr>
                <w:rFonts w:ascii="Arial" w:hAnsi="Arial" w:cs="Arial"/>
                <w:sz w:val="22"/>
                <w:szCs w:val="22"/>
                <w:lang w:eastAsia="en-US"/>
              </w:rPr>
            </w:pPr>
            <w:r w:rsidRPr="00E86883">
              <w:rPr>
                <w:rFonts w:ascii="Arial" w:hAnsi="Arial" w:cs="Arial"/>
                <w:sz w:val="22"/>
                <w:szCs w:val="22"/>
                <w:lang w:eastAsia="en-US"/>
              </w:rPr>
              <w:t>Jednotka:</w:t>
            </w:r>
          </w:p>
        </w:tc>
        <w:tc>
          <w:tcPr>
            <w:tcW w:w="6486" w:type="dxa"/>
            <w:tcBorders>
              <w:top w:val="single" w:sz="4" w:space="0" w:color="auto"/>
              <w:left w:val="single" w:sz="4" w:space="0" w:color="auto"/>
              <w:bottom w:val="single" w:sz="4" w:space="0" w:color="auto"/>
              <w:right w:val="single" w:sz="4" w:space="0" w:color="auto"/>
            </w:tcBorders>
            <w:hideMark/>
          </w:tcPr>
          <w:p w14:paraId="486304B0" w14:textId="7FC2E6A7" w:rsidR="008D1390" w:rsidRPr="00E86883" w:rsidRDefault="008D1390"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 xml:space="preserve">Kč </w:t>
            </w:r>
            <w:r>
              <w:rPr>
                <w:rFonts w:ascii="Arial" w:hAnsi="Arial" w:cs="Arial"/>
                <w:sz w:val="22"/>
                <w:szCs w:val="22"/>
                <w:lang w:eastAsia="en-US"/>
              </w:rPr>
              <w:t>/ os.</w:t>
            </w:r>
          </w:p>
        </w:tc>
      </w:tr>
      <w:tr w:rsidR="008D1390" w:rsidRPr="00E86883" w14:paraId="1B918B8D" w14:textId="77777777" w:rsidTr="00003B31">
        <w:tc>
          <w:tcPr>
            <w:tcW w:w="2802" w:type="dxa"/>
            <w:tcBorders>
              <w:top w:val="single" w:sz="4" w:space="0" w:color="auto"/>
              <w:left w:val="single" w:sz="4" w:space="0" w:color="auto"/>
              <w:bottom w:val="single" w:sz="4" w:space="0" w:color="auto"/>
              <w:right w:val="single" w:sz="4" w:space="0" w:color="auto"/>
            </w:tcBorders>
            <w:hideMark/>
          </w:tcPr>
          <w:p w14:paraId="37A0B0CF" w14:textId="77777777" w:rsidR="008D1390" w:rsidRPr="00E86883" w:rsidRDefault="008D1390" w:rsidP="00003B31">
            <w:pPr>
              <w:spacing w:line="276" w:lineRule="auto"/>
              <w:rPr>
                <w:rFonts w:ascii="Arial" w:hAnsi="Arial" w:cs="Arial"/>
                <w:sz w:val="22"/>
                <w:szCs w:val="22"/>
                <w:lang w:eastAsia="en-US"/>
              </w:rPr>
            </w:pPr>
            <w:r w:rsidRPr="00E86883">
              <w:rPr>
                <w:rFonts w:ascii="Arial" w:hAnsi="Arial" w:cs="Arial"/>
                <w:sz w:val="22"/>
                <w:szCs w:val="22"/>
                <w:lang w:eastAsia="en-US"/>
              </w:rPr>
              <w:t xml:space="preserve">Gestor: </w:t>
            </w:r>
          </w:p>
        </w:tc>
        <w:tc>
          <w:tcPr>
            <w:tcW w:w="6486" w:type="dxa"/>
            <w:tcBorders>
              <w:top w:val="single" w:sz="4" w:space="0" w:color="auto"/>
              <w:left w:val="single" w:sz="4" w:space="0" w:color="auto"/>
              <w:bottom w:val="single" w:sz="4" w:space="0" w:color="auto"/>
              <w:right w:val="single" w:sz="4" w:space="0" w:color="auto"/>
            </w:tcBorders>
          </w:tcPr>
          <w:p w14:paraId="2AABCAD8" w14:textId="77777777" w:rsidR="008D1390" w:rsidRPr="00E86883" w:rsidRDefault="008D1390"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Český statistický úřad</w:t>
            </w:r>
          </w:p>
        </w:tc>
      </w:tr>
      <w:tr w:rsidR="008D1390" w:rsidRPr="00E86883" w14:paraId="79F63F32" w14:textId="77777777" w:rsidTr="00003B31">
        <w:tc>
          <w:tcPr>
            <w:tcW w:w="2802" w:type="dxa"/>
            <w:tcBorders>
              <w:top w:val="single" w:sz="4" w:space="0" w:color="auto"/>
              <w:left w:val="single" w:sz="4" w:space="0" w:color="auto"/>
              <w:bottom w:val="single" w:sz="4" w:space="0" w:color="auto"/>
              <w:right w:val="single" w:sz="4" w:space="0" w:color="auto"/>
            </w:tcBorders>
            <w:hideMark/>
          </w:tcPr>
          <w:p w14:paraId="39A353D9" w14:textId="77777777" w:rsidR="008D1390" w:rsidRPr="00E86883" w:rsidRDefault="008D1390" w:rsidP="00003B31">
            <w:pPr>
              <w:spacing w:line="276" w:lineRule="auto"/>
              <w:rPr>
                <w:rFonts w:ascii="Arial" w:hAnsi="Arial" w:cs="Arial"/>
                <w:sz w:val="22"/>
                <w:szCs w:val="22"/>
                <w:lang w:eastAsia="en-US"/>
              </w:rPr>
            </w:pPr>
            <w:r w:rsidRPr="00E86883">
              <w:rPr>
                <w:rFonts w:ascii="Arial" w:hAnsi="Arial" w:cs="Arial"/>
                <w:sz w:val="22"/>
                <w:szCs w:val="22"/>
                <w:lang w:eastAsia="en-US"/>
              </w:rPr>
              <w:t xml:space="preserve">Význam indikátoru: </w:t>
            </w:r>
          </w:p>
        </w:tc>
        <w:tc>
          <w:tcPr>
            <w:tcW w:w="6486" w:type="dxa"/>
            <w:tcBorders>
              <w:top w:val="single" w:sz="4" w:space="0" w:color="auto"/>
              <w:left w:val="single" w:sz="4" w:space="0" w:color="auto"/>
              <w:bottom w:val="single" w:sz="4" w:space="0" w:color="auto"/>
              <w:right w:val="single" w:sz="4" w:space="0" w:color="auto"/>
            </w:tcBorders>
            <w:hideMark/>
          </w:tcPr>
          <w:p w14:paraId="49D48B71" w14:textId="77777777" w:rsidR="008D1390" w:rsidRPr="00E86883" w:rsidRDefault="008D1390"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Znázorňuje ekonomické zajištění rodin podle počtu jejich dět</w:t>
            </w:r>
            <w:r>
              <w:rPr>
                <w:rFonts w:ascii="Arial" w:hAnsi="Arial" w:cs="Arial"/>
                <w:sz w:val="22"/>
                <w:szCs w:val="22"/>
                <w:lang w:eastAsia="en-US"/>
              </w:rPr>
              <w:t>í</w:t>
            </w:r>
            <w:r w:rsidRPr="00E86883">
              <w:rPr>
                <w:rFonts w:ascii="Arial" w:hAnsi="Arial" w:cs="Arial"/>
                <w:sz w:val="22"/>
                <w:szCs w:val="22"/>
                <w:lang w:eastAsia="en-US"/>
              </w:rPr>
              <w:t>. Umožňuje kvantifikovat specifické potřeby rodin s více dětmi.</w:t>
            </w:r>
          </w:p>
        </w:tc>
      </w:tr>
      <w:tr w:rsidR="008D1390" w:rsidRPr="00E86883" w14:paraId="127E6B9C" w14:textId="77777777" w:rsidTr="00003B31">
        <w:tc>
          <w:tcPr>
            <w:tcW w:w="2802" w:type="dxa"/>
            <w:tcBorders>
              <w:top w:val="single" w:sz="4" w:space="0" w:color="auto"/>
              <w:left w:val="single" w:sz="4" w:space="0" w:color="auto"/>
              <w:bottom w:val="single" w:sz="4" w:space="0" w:color="auto"/>
              <w:right w:val="single" w:sz="4" w:space="0" w:color="auto"/>
            </w:tcBorders>
            <w:hideMark/>
          </w:tcPr>
          <w:p w14:paraId="76E35680" w14:textId="77777777" w:rsidR="008D1390" w:rsidRPr="00E86883" w:rsidRDefault="008D1390" w:rsidP="00003B31">
            <w:pPr>
              <w:spacing w:line="276" w:lineRule="auto"/>
              <w:rPr>
                <w:rFonts w:ascii="Arial" w:hAnsi="Arial" w:cs="Arial"/>
                <w:sz w:val="22"/>
                <w:szCs w:val="22"/>
                <w:lang w:eastAsia="en-US"/>
              </w:rPr>
            </w:pPr>
            <w:r w:rsidRPr="00E86883">
              <w:rPr>
                <w:rFonts w:ascii="Arial" w:hAnsi="Arial" w:cs="Arial"/>
                <w:sz w:val="22"/>
                <w:szCs w:val="22"/>
                <w:lang w:eastAsia="en-US"/>
              </w:rPr>
              <w:t xml:space="preserve">Časová řada: </w:t>
            </w:r>
          </w:p>
        </w:tc>
        <w:tc>
          <w:tcPr>
            <w:tcW w:w="6486" w:type="dxa"/>
            <w:tcBorders>
              <w:top w:val="single" w:sz="4" w:space="0" w:color="auto"/>
              <w:left w:val="single" w:sz="4" w:space="0" w:color="auto"/>
              <w:bottom w:val="single" w:sz="4" w:space="0" w:color="auto"/>
              <w:right w:val="single" w:sz="4" w:space="0" w:color="auto"/>
            </w:tcBorders>
          </w:tcPr>
          <w:p w14:paraId="0A7A5793" w14:textId="77777777" w:rsidR="008D1390" w:rsidRPr="00E86883" w:rsidRDefault="008D1390"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 xml:space="preserve">Od </w:t>
            </w:r>
            <w:r>
              <w:rPr>
                <w:rFonts w:ascii="Arial" w:hAnsi="Arial" w:cs="Arial"/>
                <w:sz w:val="22"/>
                <w:szCs w:val="22"/>
                <w:lang w:eastAsia="en-US"/>
              </w:rPr>
              <w:t xml:space="preserve">roku </w:t>
            </w:r>
            <w:r w:rsidRPr="00E86883">
              <w:rPr>
                <w:rFonts w:ascii="Arial" w:hAnsi="Arial" w:cs="Arial"/>
                <w:sz w:val="22"/>
                <w:szCs w:val="22"/>
                <w:lang w:eastAsia="en-US"/>
              </w:rPr>
              <w:t>2005</w:t>
            </w:r>
          </w:p>
        </w:tc>
      </w:tr>
      <w:tr w:rsidR="008D1390" w:rsidRPr="00E86883" w14:paraId="76A28BCB" w14:textId="77777777" w:rsidTr="00003B31">
        <w:tc>
          <w:tcPr>
            <w:tcW w:w="2802" w:type="dxa"/>
            <w:tcBorders>
              <w:top w:val="single" w:sz="4" w:space="0" w:color="auto"/>
              <w:left w:val="single" w:sz="4" w:space="0" w:color="auto"/>
              <w:bottom w:val="single" w:sz="4" w:space="0" w:color="auto"/>
              <w:right w:val="single" w:sz="4" w:space="0" w:color="auto"/>
            </w:tcBorders>
            <w:hideMark/>
          </w:tcPr>
          <w:p w14:paraId="16F304E9" w14:textId="77777777" w:rsidR="008D1390" w:rsidRPr="00E86883" w:rsidRDefault="008D1390" w:rsidP="00003B31">
            <w:pPr>
              <w:spacing w:line="276" w:lineRule="auto"/>
              <w:rPr>
                <w:rFonts w:ascii="Arial" w:hAnsi="Arial" w:cs="Arial"/>
                <w:sz w:val="22"/>
                <w:szCs w:val="22"/>
                <w:lang w:eastAsia="en-US"/>
              </w:rPr>
            </w:pPr>
            <w:r w:rsidRPr="00E86883">
              <w:rPr>
                <w:rFonts w:ascii="Arial" w:hAnsi="Arial" w:cs="Arial"/>
                <w:sz w:val="22"/>
                <w:szCs w:val="22"/>
                <w:lang w:eastAsia="en-US"/>
              </w:rPr>
              <w:t xml:space="preserve">Frekvence výstupu: </w:t>
            </w:r>
          </w:p>
        </w:tc>
        <w:tc>
          <w:tcPr>
            <w:tcW w:w="6486" w:type="dxa"/>
            <w:tcBorders>
              <w:top w:val="single" w:sz="4" w:space="0" w:color="auto"/>
              <w:left w:val="single" w:sz="4" w:space="0" w:color="auto"/>
              <w:bottom w:val="single" w:sz="4" w:space="0" w:color="auto"/>
              <w:right w:val="single" w:sz="4" w:space="0" w:color="auto"/>
            </w:tcBorders>
            <w:hideMark/>
          </w:tcPr>
          <w:p w14:paraId="04100BD5" w14:textId="77777777" w:rsidR="008D1390" w:rsidRPr="00E86883" w:rsidRDefault="008D1390" w:rsidP="00BE1309">
            <w:pPr>
              <w:spacing w:line="276" w:lineRule="auto"/>
              <w:jc w:val="both"/>
              <w:rPr>
                <w:rFonts w:ascii="Arial" w:hAnsi="Arial" w:cs="Arial"/>
                <w:strike/>
                <w:sz w:val="22"/>
                <w:szCs w:val="22"/>
                <w:lang w:eastAsia="en-US"/>
              </w:rPr>
            </w:pPr>
            <w:r w:rsidRPr="00E86883">
              <w:rPr>
                <w:rFonts w:ascii="Arial" w:hAnsi="Arial" w:cs="Arial"/>
                <w:sz w:val="22"/>
                <w:szCs w:val="22"/>
                <w:lang w:eastAsia="en-US"/>
              </w:rPr>
              <w:t>Ročně</w:t>
            </w:r>
          </w:p>
        </w:tc>
      </w:tr>
      <w:tr w:rsidR="008D1390" w:rsidRPr="00E86883" w14:paraId="7759C7E1" w14:textId="77777777" w:rsidTr="00003B31">
        <w:trPr>
          <w:trHeight w:val="70"/>
        </w:trPr>
        <w:tc>
          <w:tcPr>
            <w:tcW w:w="2802" w:type="dxa"/>
            <w:tcBorders>
              <w:top w:val="single" w:sz="4" w:space="0" w:color="auto"/>
              <w:left w:val="single" w:sz="4" w:space="0" w:color="auto"/>
              <w:bottom w:val="single" w:sz="4" w:space="0" w:color="auto"/>
              <w:right w:val="single" w:sz="4" w:space="0" w:color="auto"/>
            </w:tcBorders>
            <w:hideMark/>
          </w:tcPr>
          <w:p w14:paraId="54D9EB66" w14:textId="77777777" w:rsidR="008D1390" w:rsidRPr="00E86883" w:rsidRDefault="008D1390" w:rsidP="00003B31">
            <w:pPr>
              <w:spacing w:line="276" w:lineRule="auto"/>
              <w:rPr>
                <w:rFonts w:ascii="Arial" w:hAnsi="Arial" w:cs="Arial"/>
                <w:sz w:val="22"/>
                <w:szCs w:val="22"/>
                <w:lang w:eastAsia="en-US"/>
              </w:rPr>
            </w:pPr>
            <w:r w:rsidRPr="00E86883">
              <w:rPr>
                <w:rFonts w:ascii="Arial" w:hAnsi="Arial" w:cs="Arial"/>
                <w:sz w:val="22"/>
                <w:szCs w:val="22"/>
                <w:lang w:eastAsia="en-US"/>
              </w:rPr>
              <w:t xml:space="preserve">Členění indikátoru: </w:t>
            </w:r>
          </w:p>
        </w:tc>
        <w:tc>
          <w:tcPr>
            <w:tcW w:w="6486" w:type="dxa"/>
            <w:tcBorders>
              <w:top w:val="single" w:sz="4" w:space="0" w:color="auto"/>
              <w:left w:val="single" w:sz="4" w:space="0" w:color="auto"/>
              <w:bottom w:val="single" w:sz="4" w:space="0" w:color="auto"/>
              <w:right w:val="single" w:sz="4" w:space="0" w:color="auto"/>
            </w:tcBorders>
          </w:tcPr>
          <w:p w14:paraId="47287D3F" w14:textId="77777777" w:rsidR="008D1390" w:rsidRPr="00E86883" w:rsidRDefault="008D1390"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Domácnosti s dětmi celkem, domácnosti s jedním, se dvěma a se třemi a více dětmi.</w:t>
            </w:r>
          </w:p>
        </w:tc>
      </w:tr>
      <w:tr w:rsidR="008D1390" w:rsidRPr="00E86883" w14:paraId="10D834A7" w14:textId="77777777" w:rsidTr="00003B31">
        <w:trPr>
          <w:trHeight w:val="70"/>
        </w:trPr>
        <w:tc>
          <w:tcPr>
            <w:tcW w:w="2802" w:type="dxa"/>
            <w:tcBorders>
              <w:top w:val="single" w:sz="4" w:space="0" w:color="auto"/>
              <w:left w:val="single" w:sz="4" w:space="0" w:color="auto"/>
              <w:bottom w:val="single" w:sz="4" w:space="0" w:color="auto"/>
              <w:right w:val="single" w:sz="4" w:space="0" w:color="auto"/>
            </w:tcBorders>
            <w:hideMark/>
          </w:tcPr>
          <w:p w14:paraId="4A55F574" w14:textId="77777777" w:rsidR="008D1390" w:rsidRPr="00E86883" w:rsidRDefault="008D1390" w:rsidP="00003B31">
            <w:pPr>
              <w:spacing w:line="276" w:lineRule="auto"/>
              <w:rPr>
                <w:rFonts w:ascii="Arial" w:hAnsi="Arial" w:cs="Arial"/>
                <w:sz w:val="22"/>
                <w:szCs w:val="22"/>
                <w:lang w:eastAsia="en-US"/>
              </w:rPr>
            </w:pPr>
            <w:r w:rsidRPr="00E86883">
              <w:rPr>
                <w:rFonts w:ascii="Arial" w:hAnsi="Arial" w:cs="Arial"/>
                <w:sz w:val="22"/>
                <w:szCs w:val="22"/>
                <w:lang w:eastAsia="en-US"/>
              </w:rPr>
              <w:t>Mezinárodní srovnání:</w:t>
            </w:r>
          </w:p>
        </w:tc>
        <w:tc>
          <w:tcPr>
            <w:tcW w:w="6486" w:type="dxa"/>
            <w:tcBorders>
              <w:top w:val="single" w:sz="4" w:space="0" w:color="auto"/>
              <w:left w:val="single" w:sz="4" w:space="0" w:color="auto"/>
              <w:bottom w:val="single" w:sz="4" w:space="0" w:color="auto"/>
              <w:right w:val="single" w:sz="4" w:space="0" w:color="auto"/>
            </w:tcBorders>
          </w:tcPr>
          <w:p w14:paraId="5EB64093" w14:textId="2AE3D537" w:rsidR="008D1390" w:rsidRPr="00E86883" w:rsidRDefault="00BE1309" w:rsidP="00BE1309">
            <w:pPr>
              <w:spacing w:line="276" w:lineRule="auto"/>
              <w:jc w:val="both"/>
              <w:rPr>
                <w:rFonts w:ascii="Arial" w:hAnsi="Arial" w:cs="Arial"/>
                <w:sz w:val="22"/>
                <w:szCs w:val="22"/>
                <w:lang w:eastAsia="en-US"/>
              </w:rPr>
            </w:pPr>
            <w:r>
              <w:rPr>
                <w:rFonts w:ascii="Arial" w:hAnsi="Arial" w:cs="Arial"/>
                <w:sz w:val="22"/>
                <w:szCs w:val="22"/>
                <w:lang w:eastAsia="en-US"/>
              </w:rPr>
              <w:t>-</w:t>
            </w:r>
          </w:p>
        </w:tc>
      </w:tr>
    </w:tbl>
    <w:p w14:paraId="1BB32F52" w14:textId="77777777" w:rsidR="008D1390" w:rsidRDefault="008D1390" w:rsidP="00C51B65">
      <w:pPr>
        <w:spacing w:line="276" w:lineRule="auto"/>
        <w:jc w:val="both"/>
        <w:rPr>
          <w:rFonts w:ascii="Arial" w:hAnsi="Arial" w:cs="Arial"/>
          <w:b/>
          <w:sz w:val="22"/>
          <w:szCs w:val="22"/>
        </w:rPr>
      </w:pPr>
    </w:p>
    <w:tbl>
      <w:tblPr>
        <w:tblStyle w:val="Mkatabulky"/>
        <w:tblW w:w="0" w:type="auto"/>
        <w:tblLook w:val="04A0" w:firstRow="1" w:lastRow="0" w:firstColumn="1" w:lastColumn="0" w:noHBand="0" w:noVBand="1"/>
      </w:tblPr>
      <w:tblGrid>
        <w:gridCol w:w="2802"/>
        <w:gridCol w:w="6486"/>
      </w:tblGrid>
      <w:tr w:rsidR="008D1390" w14:paraId="4E0DED18" w14:textId="77777777" w:rsidTr="00003B31">
        <w:tc>
          <w:tcPr>
            <w:tcW w:w="2802" w:type="dxa"/>
            <w:tcBorders>
              <w:top w:val="single" w:sz="4" w:space="0" w:color="auto"/>
              <w:left w:val="single" w:sz="4" w:space="0" w:color="auto"/>
              <w:bottom w:val="single" w:sz="4" w:space="0" w:color="auto"/>
              <w:right w:val="single" w:sz="4" w:space="0" w:color="auto"/>
            </w:tcBorders>
            <w:hideMark/>
          </w:tcPr>
          <w:p w14:paraId="6D9E5D1A" w14:textId="77777777" w:rsidR="008D1390" w:rsidRPr="006E725D" w:rsidRDefault="008D1390" w:rsidP="00003B31">
            <w:pPr>
              <w:spacing w:line="276" w:lineRule="auto"/>
              <w:rPr>
                <w:rFonts w:ascii="Arial" w:hAnsi="Arial" w:cs="Arial"/>
                <w:sz w:val="22"/>
                <w:lang w:eastAsia="en-US"/>
              </w:rPr>
            </w:pPr>
            <w:r w:rsidRPr="003D5A5F">
              <w:rPr>
                <w:rFonts w:ascii="Arial" w:hAnsi="Arial" w:cs="Arial"/>
                <w:sz w:val="22"/>
                <w:lang w:eastAsia="en-US"/>
              </w:rPr>
              <w:t xml:space="preserve">Název a označení indikátoru: </w:t>
            </w:r>
          </w:p>
        </w:tc>
        <w:tc>
          <w:tcPr>
            <w:tcW w:w="6486" w:type="dxa"/>
            <w:tcBorders>
              <w:top w:val="single" w:sz="4" w:space="0" w:color="auto"/>
              <w:left w:val="single" w:sz="4" w:space="0" w:color="auto"/>
              <w:bottom w:val="single" w:sz="4" w:space="0" w:color="auto"/>
              <w:right w:val="single" w:sz="4" w:space="0" w:color="auto"/>
            </w:tcBorders>
            <w:hideMark/>
          </w:tcPr>
          <w:p w14:paraId="6F669924" w14:textId="3A80C2A8" w:rsidR="008D1390" w:rsidRPr="006E725D" w:rsidRDefault="008D1390" w:rsidP="00003B31">
            <w:pPr>
              <w:spacing w:line="276" w:lineRule="auto"/>
              <w:rPr>
                <w:rFonts w:ascii="Arial" w:hAnsi="Arial" w:cs="Arial"/>
                <w:b/>
                <w:sz w:val="22"/>
                <w:lang w:eastAsia="en-US"/>
              </w:rPr>
            </w:pPr>
            <w:r>
              <w:rPr>
                <w:rFonts w:ascii="Arial" w:hAnsi="Arial" w:cs="Arial"/>
                <w:b/>
                <w:sz w:val="22"/>
                <w:lang w:eastAsia="en-US"/>
              </w:rPr>
              <w:t>1.1.</w:t>
            </w:r>
            <w:r w:rsidR="00F40448">
              <w:rPr>
                <w:rFonts w:ascii="Arial" w:hAnsi="Arial" w:cs="Arial"/>
                <w:b/>
                <w:sz w:val="22"/>
                <w:lang w:eastAsia="en-US"/>
              </w:rPr>
              <w:t>5</w:t>
            </w:r>
            <w:r w:rsidRPr="006E725D">
              <w:rPr>
                <w:rFonts w:ascii="Arial" w:hAnsi="Arial" w:cs="Arial"/>
                <w:b/>
                <w:sz w:val="22"/>
                <w:lang w:eastAsia="en-US"/>
              </w:rPr>
              <w:t xml:space="preserve"> Úhrnná plodnost</w:t>
            </w:r>
          </w:p>
        </w:tc>
      </w:tr>
      <w:tr w:rsidR="008D1390" w14:paraId="1B22A536" w14:textId="77777777" w:rsidTr="00003B31">
        <w:tc>
          <w:tcPr>
            <w:tcW w:w="2802" w:type="dxa"/>
            <w:tcBorders>
              <w:top w:val="single" w:sz="4" w:space="0" w:color="auto"/>
              <w:left w:val="single" w:sz="4" w:space="0" w:color="auto"/>
              <w:bottom w:val="single" w:sz="4" w:space="0" w:color="auto"/>
              <w:right w:val="single" w:sz="4" w:space="0" w:color="auto"/>
            </w:tcBorders>
            <w:hideMark/>
          </w:tcPr>
          <w:p w14:paraId="074D84AB" w14:textId="77777777" w:rsidR="008D1390" w:rsidRPr="003D5A5F" w:rsidRDefault="008D1390" w:rsidP="00BE1309">
            <w:pPr>
              <w:spacing w:line="276" w:lineRule="auto"/>
              <w:jc w:val="both"/>
              <w:rPr>
                <w:rFonts w:ascii="Arial" w:hAnsi="Arial" w:cs="Arial"/>
                <w:sz w:val="22"/>
                <w:lang w:eastAsia="en-US"/>
              </w:rPr>
            </w:pPr>
            <w:r w:rsidRPr="003D5A5F">
              <w:rPr>
                <w:rFonts w:ascii="Arial" w:hAnsi="Arial" w:cs="Arial"/>
                <w:sz w:val="22"/>
                <w:lang w:eastAsia="en-US"/>
              </w:rPr>
              <w:t xml:space="preserve">Stručná definice: </w:t>
            </w:r>
          </w:p>
        </w:tc>
        <w:tc>
          <w:tcPr>
            <w:tcW w:w="6486" w:type="dxa"/>
            <w:tcBorders>
              <w:top w:val="single" w:sz="4" w:space="0" w:color="auto"/>
              <w:left w:val="single" w:sz="4" w:space="0" w:color="auto"/>
              <w:bottom w:val="single" w:sz="4" w:space="0" w:color="auto"/>
              <w:right w:val="single" w:sz="4" w:space="0" w:color="auto"/>
            </w:tcBorders>
            <w:hideMark/>
          </w:tcPr>
          <w:p w14:paraId="43E74A85" w14:textId="77777777" w:rsidR="008D1390" w:rsidRPr="003D5A5F" w:rsidRDefault="008D1390" w:rsidP="00BE1309">
            <w:pPr>
              <w:spacing w:line="276" w:lineRule="auto"/>
              <w:jc w:val="both"/>
              <w:rPr>
                <w:rFonts w:ascii="Arial" w:hAnsi="Arial" w:cs="Arial"/>
                <w:sz w:val="22"/>
                <w:lang w:eastAsia="en-US"/>
              </w:rPr>
            </w:pPr>
            <w:r w:rsidRPr="003D5A5F">
              <w:rPr>
                <w:rFonts w:ascii="Arial" w:hAnsi="Arial" w:cs="Arial"/>
                <w:sz w:val="22"/>
                <w:lang w:eastAsia="en-US"/>
              </w:rPr>
              <w:t>Počet</w:t>
            </w:r>
            <w:r>
              <w:rPr>
                <w:rFonts w:ascii="Arial" w:hAnsi="Arial" w:cs="Arial"/>
                <w:b/>
                <w:sz w:val="22"/>
                <w:lang w:eastAsia="en-US"/>
              </w:rPr>
              <w:t xml:space="preserve"> </w:t>
            </w:r>
            <w:r w:rsidRPr="003D5A5F">
              <w:rPr>
                <w:rFonts w:ascii="Arial" w:hAnsi="Arial" w:cs="Arial"/>
                <w:sz w:val="22"/>
                <w:lang w:eastAsia="en-US"/>
              </w:rPr>
              <w:t xml:space="preserve">dětí, které by se živě narodily každé ženě během celého jejího reprodukčního věku (15 – 49 let), pokud by se během tohoto reprodukčního období neměnily míry plodnosti žen podle věku a zůstaly na úrovni roku, za který je úhrnná plodnost vypočítána. Hodnota úhrnné plodnosti 2,1 zajišťuje prostou </w:t>
            </w:r>
            <w:r w:rsidRPr="003D5A5F">
              <w:rPr>
                <w:rFonts w:ascii="Arial" w:hAnsi="Arial" w:cs="Arial"/>
                <w:sz w:val="22"/>
                <w:lang w:eastAsia="en-US"/>
              </w:rPr>
              <w:lastRenderedPageBreak/>
              <w:t>reprodukci obyvatelstva.</w:t>
            </w:r>
          </w:p>
        </w:tc>
      </w:tr>
      <w:tr w:rsidR="008D1390" w14:paraId="38152100" w14:textId="77777777" w:rsidTr="00003B31">
        <w:tc>
          <w:tcPr>
            <w:tcW w:w="2802" w:type="dxa"/>
            <w:tcBorders>
              <w:top w:val="single" w:sz="4" w:space="0" w:color="auto"/>
              <w:left w:val="single" w:sz="4" w:space="0" w:color="auto"/>
              <w:bottom w:val="single" w:sz="4" w:space="0" w:color="auto"/>
              <w:right w:val="single" w:sz="4" w:space="0" w:color="auto"/>
            </w:tcBorders>
            <w:hideMark/>
          </w:tcPr>
          <w:p w14:paraId="1B28DABE" w14:textId="77777777" w:rsidR="008D1390" w:rsidRPr="006E725D" w:rsidRDefault="008D1390" w:rsidP="00BE1309">
            <w:pPr>
              <w:spacing w:line="276" w:lineRule="auto"/>
              <w:jc w:val="both"/>
              <w:rPr>
                <w:rFonts w:ascii="Arial" w:hAnsi="Arial" w:cs="Arial"/>
                <w:sz w:val="22"/>
                <w:lang w:eastAsia="en-US"/>
              </w:rPr>
            </w:pPr>
            <w:r w:rsidRPr="003D5A5F">
              <w:rPr>
                <w:rFonts w:ascii="Arial" w:hAnsi="Arial" w:cs="Arial"/>
                <w:sz w:val="22"/>
                <w:lang w:eastAsia="en-US"/>
              </w:rPr>
              <w:lastRenderedPageBreak/>
              <w:t>Jednotka:</w:t>
            </w:r>
          </w:p>
        </w:tc>
        <w:tc>
          <w:tcPr>
            <w:tcW w:w="6486" w:type="dxa"/>
            <w:tcBorders>
              <w:top w:val="single" w:sz="4" w:space="0" w:color="auto"/>
              <w:left w:val="single" w:sz="4" w:space="0" w:color="auto"/>
              <w:bottom w:val="single" w:sz="4" w:space="0" w:color="auto"/>
              <w:right w:val="single" w:sz="4" w:space="0" w:color="auto"/>
            </w:tcBorders>
            <w:hideMark/>
          </w:tcPr>
          <w:p w14:paraId="095C6180" w14:textId="5F7B44DC" w:rsidR="008D1390" w:rsidRPr="006E725D" w:rsidRDefault="004B546D" w:rsidP="00BE1309">
            <w:pPr>
              <w:spacing w:line="276" w:lineRule="auto"/>
              <w:jc w:val="both"/>
              <w:rPr>
                <w:rFonts w:ascii="Arial" w:hAnsi="Arial" w:cs="Arial"/>
                <w:sz w:val="22"/>
                <w:lang w:eastAsia="en-US"/>
              </w:rPr>
            </w:pPr>
            <w:r>
              <w:rPr>
                <w:rFonts w:ascii="Arial" w:hAnsi="Arial" w:cs="Arial"/>
                <w:sz w:val="22"/>
                <w:lang w:eastAsia="en-US"/>
              </w:rPr>
              <w:t>Počet</w:t>
            </w:r>
          </w:p>
        </w:tc>
      </w:tr>
      <w:tr w:rsidR="008D1390" w14:paraId="07E49BF6" w14:textId="77777777" w:rsidTr="00003B31">
        <w:tc>
          <w:tcPr>
            <w:tcW w:w="2802" w:type="dxa"/>
            <w:tcBorders>
              <w:top w:val="single" w:sz="4" w:space="0" w:color="auto"/>
              <w:left w:val="single" w:sz="4" w:space="0" w:color="auto"/>
              <w:bottom w:val="single" w:sz="4" w:space="0" w:color="auto"/>
              <w:right w:val="single" w:sz="4" w:space="0" w:color="auto"/>
            </w:tcBorders>
            <w:hideMark/>
          </w:tcPr>
          <w:p w14:paraId="1D9FCB01" w14:textId="77777777" w:rsidR="008D1390" w:rsidRPr="003D5A5F" w:rsidRDefault="008D1390" w:rsidP="00BE1309">
            <w:pPr>
              <w:spacing w:line="276" w:lineRule="auto"/>
              <w:jc w:val="both"/>
              <w:rPr>
                <w:rFonts w:ascii="Arial" w:hAnsi="Arial" w:cs="Arial"/>
                <w:sz w:val="22"/>
                <w:lang w:eastAsia="en-US"/>
              </w:rPr>
            </w:pPr>
            <w:r w:rsidRPr="003D5A5F">
              <w:rPr>
                <w:rFonts w:ascii="Arial" w:hAnsi="Arial" w:cs="Arial"/>
                <w:sz w:val="22"/>
                <w:lang w:eastAsia="en-US"/>
              </w:rPr>
              <w:t xml:space="preserve">Gestor: </w:t>
            </w:r>
          </w:p>
        </w:tc>
        <w:tc>
          <w:tcPr>
            <w:tcW w:w="6486" w:type="dxa"/>
            <w:tcBorders>
              <w:top w:val="single" w:sz="4" w:space="0" w:color="auto"/>
              <w:left w:val="single" w:sz="4" w:space="0" w:color="auto"/>
              <w:bottom w:val="single" w:sz="4" w:space="0" w:color="auto"/>
              <w:right w:val="single" w:sz="4" w:space="0" w:color="auto"/>
            </w:tcBorders>
            <w:hideMark/>
          </w:tcPr>
          <w:p w14:paraId="163B9C37" w14:textId="77777777" w:rsidR="008D1390" w:rsidRPr="003D5A5F" w:rsidRDefault="008D1390" w:rsidP="00BE1309">
            <w:pPr>
              <w:spacing w:line="276" w:lineRule="auto"/>
              <w:jc w:val="both"/>
              <w:rPr>
                <w:rFonts w:ascii="Arial" w:hAnsi="Arial" w:cs="Arial"/>
                <w:sz w:val="22"/>
                <w:lang w:eastAsia="en-US"/>
              </w:rPr>
            </w:pPr>
            <w:r w:rsidRPr="003D5A5F">
              <w:rPr>
                <w:rFonts w:ascii="Arial" w:hAnsi="Arial" w:cs="Arial"/>
                <w:sz w:val="22"/>
                <w:lang w:eastAsia="en-US"/>
              </w:rPr>
              <w:t>Český statistický úřad</w:t>
            </w:r>
          </w:p>
        </w:tc>
      </w:tr>
      <w:tr w:rsidR="008D1390" w14:paraId="1A2072D5" w14:textId="77777777" w:rsidTr="00003B31">
        <w:tc>
          <w:tcPr>
            <w:tcW w:w="2802" w:type="dxa"/>
            <w:tcBorders>
              <w:top w:val="single" w:sz="4" w:space="0" w:color="auto"/>
              <w:left w:val="single" w:sz="4" w:space="0" w:color="auto"/>
              <w:bottom w:val="single" w:sz="4" w:space="0" w:color="auto"/>
              <w:right w:val="single" w:sz="4" w:space="0" w:color="auto"/>
            </w:tcBorders>
            <w:hideMark/>
          </w:tcPr>
          <w:p w14:paraId="683FE5C3" w14:textId="77777777" w:rsidR="008D1390" w:rsidRPr="003D5A5F" w:rsidRDefault="008D1390" w:rsidP="00BE1309">
            <w:pPr>
              <w:spacing w:line="276" w:lineRule="auto"/>
              <w:jc w:val="both"/>
              <w:rPr>
                <w:rFonts w:ascii="Arial" w:hAnsi="Arial" w:cs="Arial"/>
                <w:sz w:val="22"/>
                <w:lang w:eastAsia="en-US"/>
              </w:rPr>
            </w:pPr>
            <w:r w:rsidRPr="003D5A5F">
              <w:rPr>
                <w:rFonts w:ascii="Arial" w:hAnsi="Arial" w:cs="Arial"/>
                <w:sz w:val="22"/>
                <w:lang w:eastAsia="en-US"/>
              </w:rPr>
              <w:t xml:space="preserve">Význam indikátoru: </w:t>
            </w:r>
          </w:p>
        </w:tc>
        <w:tc>
          <w:tcPr>
            <w:tcW w:w="6486" w:type="dxa"/>
            <w:tcBorders>
              <w:top w:val="single" w:sz="4" w:space="0" w:color="auto"/>
              <w:left w:val="single" w:sz="4" w:space="0" w:color="auto"/>
              <w:bottom w:val="single" w:sz="4" w:space="0" w:color="auto"/>
              <w:right w:val="single" w:sz="4" w:space="0" w:color="auto"/>
            </w:tcBorders>
            <w:hideMark/>
          </w:tcPr>
          <w:p w14:paraId="765E48EC" w14:textId="15D70268" w:rsidR="008D1390" w:rsidRPr="003D5A5F" w:rsidRDefault="004B546D" w:rsidP="00BE1309">
            <w:pPr>
              <w:spacing w:line="276" w:lineRule="auto"/>
              <w:jc w:val="both"/>
              <w:rPr>
                <w:rFonts w:ascii="Arial" w:hAnsi="Arial" w:cs="Arial"/>
                <w:sz w:val="22"/>
                <w:lang w:eastAsia="en-US"/>
              </w:rPr>
            </w:pPr>
            <w:r w:rsidRPr="004B546D">
              <w:rPr>
                <w:rFonts w:ascii="Arial" w:hAnsi="Arial" w:cs="Arial"/>
                <w:sz w:val="22"/>
                <w:lang w:eastAsia="en-US"/>
              </w:rPr>
              <w:t>Vyjadřuje aktuální úroveň plodnosti v populaci.</w:t>
            </w:r>
          </w:p>
        </w:tc>
      </w:tr>
      <w:tr w:rsidR="008D1390" w14:paraId="1D3F7596" w14:textId="77777777" w:rsidTr="00003B31">
        <w:tc>
          <w:tcPr>
            <w:tcW w:w="2802" w:type="dxa"/>
            <w:tcBorders>
              <w:top w:val="single" w:sz="4" w:space="0" w:color="auto"/>
              <w:left w:val="single" w:sz="4" w:space="0" w:color="auto"/>
              <w:bottom w:val="single" w:sz="4" w:space="0" w:color="auto"/>
              <w:right w:val="single" w:sz="4" w:space="0" w:color="auto"/>
            </w:tcBorders>
            <w:hideMark/>
          </w:tcPr>
          <w:p w14:paraId="69E21AD6" w14:textId="77777777" w:rsidR="008D1390" w:rsidRPr="003D5A5F" w:rsidRDefault="008D1390" w:rsidP="00BE1309">
            <w:pPr>
              <w:spacing w:line="276" w:lineRule="auto"/>
              <w:jc w:val="both"/>
              <w:rPr>
                <w:rFonts w:ascii="Arial" w:hAnsi="Arial" w:cs="Arial"/>
                <w:sz w:val="22"/>
                <w:lang w:eastAsia="en-US"/>
              </w:rPr>
            </w:pPr>
            <w:r w:rsidRPr="003D5A5F">
              <w:rPr>
                <w:rFonts w:ascii="Arial" w:hAnsi="Arial" w:cs="Arial"/>
                <w:sz w:val="22"/>
                <w:lang w:eastAsia="en-US"/>
              </w:rPr>
              <w:t xml:space="preserve">Časová řada: </w:t>
            </w:r>
          </w:p>
        </w:tc>
        <w:tc>
          <w:tcPr>
            <w:tcW w:w="6486" w:type="dxa"/>
            <w:tcBorders>
              <w:top w:val="single" w:sz="4" w:space="0" w:color="auto"/>
              <w:left w:val="single" w:sz="4" w:space="0" w:color="auto"/>
              <w:bottom w:val="single" w:sz="4" w:space="0" w:color="auto"/>
              <w:right w:val="single" w:sz="4" w:space="0" w:color="auto"/>
            </w:tcBorders>
            <w:hideMark/>
          </w:tcPr>
          <w:p w14:paraId="222C6C32" w14:textId="77777777" w:rsidR="008D1390" w:rsidRPr="003D5A5F" w:rsidRDefault="008D1390" w:rsidP="00BE1309">
            <w:pPr>
              <w:spacing w:line="276" w:lineRule="auto"/>
              <w:jc w:val="both"/>
              <w:rPr>
                <w:rFonts w:ascii="Arial" w:hAnsi="Arial" w:cs="Arial"/>
                <w:sz w:val="22"/>
                <w:lang w:eastAsia="en-US"/>
              </w:rPr>
            </w:pPr>
            <w:r w:rsidRPr="003D5A5F">
              <w:rPr>
                <w:rFonts w:ascii="Arial" w:hAnsi="Arial" w:cs="Arial"/>
                <w:sz w:val="22"/>
                <w:lang w:eastAsia="en-US"/>
              </w:rPr>
              <w:t>Od roku 1</w:t>
            </w:r>
            <w:r w:rsidRPr="006E725D">
              <w:rPr>
                <w:rFonts w:ascii="Arial" w:hAnsi="Arial" w:cs="Arial"/>
                <w:sz w:val="22"/>
                <w:lang w:eastAsia="en-US"/>
              </w:rPr>
              <w:t xml:space="preserve">990 </w:t>
            </w:r>
          </w:p>
        </w:tc>
      </w:tr>
      <w:tr w:rsidR="008D1390" w14:paraId="61D7B54B" w14:textId="77777777" w:rsidTr="00003B31">
        <w:tc>
          <w:tcPr>
            <w:tcW w:w="2802" w:type="dxa"/>
            <w:tcBorders>
              <w:top w:val="single" w:sz="4" w:space="0" w:color="auto"/>
              <w:left w:val="single" w:sz="4" w:space="0" w:color="auto"/>
              <w:bottom w:val="single" w:sz="4" w:space="0" w:color="auto"/>
              <w:right w:val="single" w:sz="4" w:space="0" w:color="auto"/>
            </w:tcBorders>
            <w:hideMark/>
          </w:tcPr>
          <w:p w14:paraId="268EB08B" w14:textId="77777777" w:rsidR="008D1390" w:rsidRPr="003D5A5F" w:rsidRDefault="008D1390" w:rsidP="00BE1309">
            <w:pPr>
              <w:spacing w:line="276" w:lineRule="auto"/>
              <w:jc w:val="both"/>
              <w:rPr>
                <w:rFonts w:ascii="Arial" w:hAnsi="Arial" w:cs="Arial"/>
                <w:sz w:val="22"/>
                <w:lang w:eastAsia="en-US"/>
              </w:rPr>
            </w:pPr>
            <w:r w:rsidRPr="003D5A5F">
              <w:rPr>
                <w:rFonts w:ascii="Arial" w:hAnsi="Arial" w:cs="Arial"/>
                <w:sz w:val="22"/>
                <w:lang w:eastAsia="en-US"/>
              </w:rPr>
              <w:t xml:space="preserve">Frekvence výstupu: </w:t>
            </w:r>
          </w:p>
        </w:tc>
        <w:tc>
          <w:tcPr>
            <w:tcW w:w="6486" w:type="dxa"/>
            <w:tcBorders>
              <w:top w:val="single" w:sz="4" w:space="0" w:color="auto"/>
              <w:left w:val="single" w:sz="4" w:space="0" w:color="auto"/>
              <w:bottom w:val="single" w:sz="4" w:space="0" w:color="auto"/>
              <w:right w:val="single" w:sz="4" w:space="0" w:color="auto"/>
            </w:tcBorders>
            <w:hideMark/>
          </w:tcPr>
          <w:p w14:paraId="4B178F0D" w14:textId="77777777" w:rsidR="008D1390" w:rsidRPr="003D5A5F" w:rsidRDefault="008D1390" w:rsidP="00BE1309">
            <w:pPr>
              <w:spacing w:line="276" w:lineRule="auto"/>
              <w:jc w:val="both"/>
              <w:rPr>
                <w:rFonts w:ascii="Arial" w:hAnsi="Arial" w:cs="Arial"/>
                <w:strike/>
                <w:sz w:val="22"/>
                <w:lang w:eastAsia="en-US"/>
              </w:rPr>
            </w:pPr>
            <w:r w:rsidRPr="003D5A5F">
              <w:rPr>
                <w:rFonts w:ascii="Arial" w:hAnsi="Arial" w:cs="Arial"/>
                <w:sz w:val="22"/>
                <w:lang w:eastAsia="en-US"/>
              </w:rPr>
              <w:t>Ročně</w:t>
            </w:r>
          </w:p>
        </w:tc>
      </w:tr>
      <w:tr w:rsidR="008D1390" w14:paraId="2CE58DA3" w14:textId="77777777" w:rsidTr="00003B31">
        <w:trPr>
          <w:trHeight w:val="70"/>
        </w:trPr>
        <w:tc>
          <w:tcPr>
            <w:tcW w:w="2802" w:type="dxa"/>
            <w:tcBorders>
              <w:top w:val="single" w:sz="4" w:space="0" w:color="auto"/>
              <w:left w:val="single" w:sz="4" w:space="0" w:color="auto"/>
              <w:bottom w:val="single" w:sz="4" w:space="0" w:color="auto"/>
              <w:right w:val="single" w:sz="4" w:space="0" w:color="auto"/>
            </w:tcBorders>
            <w:hideMark/>
          </w:tcPr>
          <w:p w14:paraId="2B52FAB4" w14:textId="77777777" w:rsidR="008D1390" w:rsidRPr="003D5A5F" w:rsidRDefault="008D1390" w:rsidP="00BE1309">
            <w:pPr>
              <w:spacing w:line="276" w:lineRule="auto"/>
              <w:jc w:val="both"/>
              <w:rPr>
                <w:rFonts w:ascii="Arial" w:hAnsi="Arial" w:cs="Arial"/>
                <w:sz w:val="22"/>
                <w:lang w:eastAsia="en-US"/>
              </w:rPr>
            </w:pPr>
            <w:r w:rsidRPr="003D5A5F">
              <w:rPr>
                <w:rFonts w:ascii="Arial" w:hAnsi="Arial" w:cs="Arial"/>
                <w:sz w:val="22"/>
                <w:lang w:eastAsia="en-US"/>
              </w:rPr>
              <w:t xml:space="preserve">Členění indikátoru: </w:t>
            </w:r>
          </w:p>
        </w:tc>
        <w:tc>
          <w:tcPr>
            <w:tcW w:w="6486" w:type="dxa"/>
            <w:tcBorders>
              <w:top w:val="single" w:sz="4" w:space="0" w:color="auto"/>
              <w:left w:val="single" w:sz="4" w:space="0" w:color="auto"/>
              <w:bottom w:val="single" w:sz="4" w:space="0" w:color="auto"/>
              <w:right w:val="single" w:sz="4" w:space="0" w:color="auto"/>
            </w:tcBorders>
            <w:hideMark/>
          </w:tcPr>
          <w:p w14:paraId="296899EB" w14:textId="2F451F14" w:rsidR="008D1390" w:rsidRPr="003D5A5F" w:rsidRDefault="00D74D21" w:rsidP="00BE1309">
            <w:pPr>
              <w:spacing w:line="276" w:lineRule="auto"/>
              <w:jc w:val="both"/>
              <w:rPr>
                <w:rFonts w:ascii="Arial" w:hAnsi="Arial" w:cs="Arial"/>
                <w:sz w:val="22"/>
                <w:lang w:eastAsia="en-US"/>
              </w:rPr>
            </w:pPr>
            <w:r>
              <w:rPr>
                <w:rFonts w:ascii="Arial" w:hAnsi="Arial" w:cs="Arial"/>
                <w:sz w:val="22"/>
                <w:lang w:eastAsia="en-US"/>
              </w:rPr>
              <w:t>Celostátně</w:t>
            </w:r>
            <w:r w:rsidR="004B546D">
              <w:rPr>
                <w:rFonts w:ascii="Arial" w:hAnsi="Arial" w:cs="Arial"/>
                <w:sz w:val="22"/>
                <w:lang w:eastAsia="en-US"/>
              </w:rPr>
              <w:t xml:space="preserve"> </w:t>
            </w:r>
          </w:p>
        </w:tc>
      </w:tr>
      <w:tr w:rsidR="008D1390" w14:paraId="6D3EE838" w14:textId="77777777" w:rsidTr="00003B31">
        <w:trPr>
          <w:trHeight w:val="70"/>
        </w:trPr>
        <w:tc>
          <w:tcPr>
            <w:tcW w:w="2802" w:type="dxa"/>
            <w:tcBorders>
              <w:top w:val="single" w:sz="4" w:space="0" w:color="auto"/>
              <w:left w:val="single" w:sz="4" w:space="0" w:color="auto"/>
              <w:bottom w:val="single" w:sz="4" w:space="0" w:color="auto"/>
              <w:right w:val="single" w:sz="4" w:space="0" w:color="auto"/>
            </w:tcBorders>
            <w:hideMark/>
          </w:tcPr>
          <w:p w14:paraId="7D7761B4" w14:textId="77777777" w:rsidR="008D1390" w:rsidRPr="003D5A5F" w:rsidRDefault="008D1390" w:rsidP="00BE1309">
            <w:pPr>
              <w:spacing w:line="276" w:lineRule="auto"/>
              <w:jc w:val="both"/>
              <w:rPr>
                <w:rFonts w:ascii="Arial" w:hAnsi="Arial" w:cs="Arial"/>
                <w:sz w:val="22"/>
                <w:lang w:eastAsia="en-US"/>
              </w:rPr>
            </w:pPr>
            <w:r w:rsidRPr="003D5A5F">
              <w:rPr>
                <w:rFonts w:ascii="Arial" w:hAnsi="Arial" w:cs="Arial"/>
                <w:sz w:val="22"/>
                <w:lang w:eastAsia="en-US"/>
              </w:rPr>
              <w:t>Mezinárodní srovnání:</w:t>
            </w:r>
          </w:p>
        </w:tc>
        <w:tc>
          <w:tcPr>
            <w:tcW w:w="6486" w:type="dxa"/>
            <w:tcBorders>
              <w:top w:val="single" w:sz="4" w:space="0" w:color="auto"/>
              <w:left w:val="single" w:sz="4" w:space="0" w:color="auto"/>
              <w:bottom w:val="single" w:sz="4" w:space="0" w:color="auto"/>
              <w:right w:val="single" w:sz="4" w:space="0" w:color="auto"/>
            </w:tcBorders>
            <w:hideMark/>
          </w:tcPr>
          <w:p w14:paraId="67EC3F22" w14:textId="60626B1A" w:rsidR="008D1390" w:rsidRPr="003D5A5F" w:rsidRDefault="004B546D" w:rsidP="00BE1309">
            <w:pPr>
              <w:spacing w:line="276" w:lineRule="auto"/>
              <w:jc w:val="both"/>
              <w:rPr>
                <w:rFonts w:ascii="Arial" w:hAnsi="Arial" w:cs="Arial"/>
                <w:sz w:val="22"/>
                <w:lang w:eastAsia="en-US"/>
              </w:rPr>
            </w:pPr>
            <w:proofErr w:type="spellStart"/>
            <w:r>
              <w:rPr>
                <w:rFonts w:ascii="Arial" w:hAnsi="Arial" w:cs="Arial"/>
                <w:sz w:val="22"/>
                <w:lang w:eastAsia="en-US"/>
              </w:rPr>
              <w:t>Eurostat</w:t>
            </w:r>
            <w:proofErr w:type="spellEnd"/>
            <w:r w:rsidR="008D1390" w:rsidRPr="003D5A5F">
              <w:rPr>
                <w:rFonts w:ascii="Arial" w:hAnsi="Arial" w:cs="Arial"/>
                <w:sz w:val="22"/>
                <w:lang w:eastAsia="en-US"/>
              </w:rPr>
              <w:t>, OECD</w:t>
            </w:r>
          </w:p>
        </w:tc>
      </w:tr>
    </w:tbl>
    <w:p w14:paraId="1454D1C8" w14:textId="5E6CD9D5" w:rsidR="00A33DDB" w:rsidRPr="008D1390" w:rsidRDefault="00D64E3A" w:rsidP="00FB6CF6">
      <w:pPr>
        <w:pStyle w:val="r2030podcle"/>
        <w:numPr>
          <w:ilvl w:val="0"/>
          <w:numId w:val="0"/>
        </w:numPr>
        <w:spacing w:after="0"/>
        <w:ind w:left="567" w:hanging="425"/>
        <w:jc w:val="both"/>
        <w:rPr>
          <w:bCs/>
        </w:rPr>
      </w:pPr>
      <w:r>
        <w:t xml:space="preserve">1.2 </w:t>
      </w:r>
      <w:r w:rsidR="00A33DDB" w:rsidRPr="00A33DDB">
        <w:t>Rodinám se specifickými potřebami je věnována zvláštní pozornost. Jsou přijímána cílená opatření přispívající k rovnému přístupu ke vzdělávání a uplatnění členů těchto rodin na trhu práce i ve společnosti.</w:t>
      </w:r>
    </w:p>
    <w:tbl>
      <w:tblPr>
        <w:tblStyle w:val="Mkatabulky"/>
        <w:tblpPr w:leftFromText="141" w:rightFromText="141" w:vertAnchor="text" w:horzAnchor="margin" w:tblpXSpec="center" w:tblpY="556"/>
        <w:tblW w:w="0" w:type="auto"/>
        <w:shd w:val="pct15" w:color="auto" w:fill="auto"/>
        <w:tblLook w:val="04A0" w:firstRow="1" w:lastRow="0" w:firstColumn="1" w:lastColumn="0" w:noHBand="0" w:noVBand="1"/>
      </w:tblPr>
      <w:tblGrid>
        <w:gridCol w:w="2802"/>
        <w:gridCol w:w="6486"/>
      </w:tblGrid>
      <w:tr w:rsidR="00A26C94" w:rsidRPr="00E86883" w14:paraId="0C2CDD74" w14:textId="77777777" w:rsidTr="00003B31">
        <w:tc>
          <w:tcPr>
            <w:tcW w:w="2802" w:type="dxa"/>
            <w:shd w:val="pct15" w:color="auto" w:fill="auto"/>
            <w:hideMark/>
          </w:tcPr>
          <w:p w14:paraId="3C2B2865" w14:textId="77777777" w:rsidR="00A26C94" w:rsidRPr="0079256B" w:rsidRDefault="00A26C94" w:rsidP="00003B31">
            <w:pPr>
              <w:spacing w:line="276" w:lineRule="auto"/>
              <w:rPr>
                <w:rFonts w:ascii="Arial" w:hAnsi="Arial" w:cs="Arial"/>
                <w:sz w:val="22"/>
                <w:szCs w:val="22"/>
                <w:lang w:eastAsia="en-US"/>
              </w:rPr>
            </w:pPr>
            <w:r w:rsidRPr="0079256B">
              <w:rPr>
                <w:rFonts w:ascii="Arial" w:hAnsi="Arial" w:cs="Arial"/>
                <w:sz w:val="22"/>
                <w:szCs w:val="22"/>
                <w:lang w:eastAsia="en-US"/>
              </w:rPr>
              <w:t xml:space="preserve">Název a označení indikátoru: </w:t>
            </w:r>
          </w:p>
        </w:tc>
        <w:tc>
          <w:tcPr>
            <w:tcW w:w="6486" w:type="dxa"/>
            <w:shd w:val="pct15" w:color="auto" w:fill="auto"/>
            <w:hideMark/>
          </w:tcPr>
          <w:p w14:paraId="5EB97791" w14:textId="332D0283" w:rsidR="00A26C94" w:rsidRPr="0079256B" w:rsidRDefault="00A26C94" w:rsidP="00003B31">
            <w:pPr>
              <w:spacing w:line="276" w:lineRule="auto"/>
              <w:rPr>
                <w:rFonts w:ascii="Arial" w:hAnsi="Arial" w:cs="Arial"/>
                <w:b/>
                <w:sz w:val="22"/>
                <w:szCs w:val="22"/>
                <w:lang w:eastAsia="en-US"/>
              </w:rPr>
            </w:pPr>
            <w:r w:rsidRPr="0079256B">
              <w:rPr>
                <w:rFonts w:ascii="Arial" w:hAnsi="Arial" w:cs="Arial"/>
                <w:b/>
                <w:sz w:val="22"/>
                <w:szCs w:val="22"/>
                <w:lang w:eastAsia="en-US"/>
              </w:rPr>
              <w:t>1.</w:t>
            </w:r>
            <w:r w:rsidR="00D64E3A">
              <w:rPr>
                <w:rFonts w:ascii="Arial" w:hAnsi="Arial" w:cs="Arial"/>
                <w:b/>
                <w:sz w:val="22"/>
                <w:szCs w:val="22"/>
                <w:lang w:eastAsia="en-US"/>
              </w:rPr>
              <w:t>2</w:t>
            </w:r>
            <w:r w:rsidRPr="0079256B">
              <w:rPr>
                <w:rFonts w:ascii="Arial" w:hAnsi="Arial" w:cs="Arial"/>
                <w:b/>
                <w:sz w:val="22"/>
                <w:szCs w:val="22"/>
                <w:lang w:eastAsia="en-US"/>
              </w:rPr>
              <w:t>.</w:t>
            </w:r>
            <w:r w:rsidR="00D64E3A">
              <w:rPr>
                <w:rFonts w:ascii="Arial" w:hAnsi="Arial" w:cs="Arial"/>
                <w:b/>
                <w:sz w:val="22"/>
                <w:szCs w:val="22"/>
                <w:lang w:eastAsia="en-US"/>
              </w:rPr>
              <w:t>1</w:t>
            </w:r>
            <w:r w:rsidRPr="0079256B">
              <w:rPr>
                <w:rFonts w:ascii="Arial" w:hAnsi="Arial" w:cs="Arial"/>
                <w:b/>
                <w:sz w:val="22"/>
                <w:szCs w:val="22"/>
                <w:lang w:eastAsia="en-US"/>
              </w:rPr>
              <w:t xml:space="preserve"> Relativní míra rizika ohrožení příjmovou chudobou u osob v domácnostech s dětmi </w:t>
            </w:r>
            <w:r>
              <w:rPr>
                <w:rFonts w:ascii="Arial" w:hAnsi="Arial" w:cs="Arial"/>
                <w:b/>
                <w:sz w:val="22"/>
                <w:szCs w:val="22"/>
                <w:lang w:eastAsia="en-US"/>
              </w:rPr>
              <w:t xml:space="preserve">se specifickými potřebami </w:t>
            </w:r>
            <w:r w:rsidRPr="0079256B">
              <w:rPr>
                <w:rFonts w:ascii="Arial" w:hAnsi="Arial" w:cs="Arial"/>
                <w:b/>
                <w:sz w:val="22"/>
                <w:szCs w:val="22"/>
                <w:lang w:eastAsia="en-US"/>
              </w:rPr>
              <w:t>ve srovnání s celou populací</w:t>
            </w:r>
            <w:r w:rsidRPr="0079256B" w:rsidDel="00F339E5">
              <w:rPr>
                <w:rFonts w:ascii="Arial" w:hAnsi="Arial" w:cs="Arial"/>
                <w:b/>
                <w:sz w:val="22"/>
                <w:szCs w:val="22"/>
                <w:highlight w:val="yellow"/>
                <w:lang w:eastAsia="en-US"/>
              </w:rPr>
              <w:t xml:space="preserve"> </w:t>
            </w:r>
          </w:p>
        </w:tc>
      </w:tr>
      <w:tr w:rsidR="00A26C94" w:rsidRPr="00E86883" w14:paraId="346AAEE5" w14:textId="77777777" w:rsidTr="00003B31">
        <w:tc>
          <w:tcPr>
            <w:tcW w:w="2802" w:type="dxa"/>
            <w:shd w:val="pct15" w:color="auto" w:fill="auto"/>
            <w:hideMark/>
          </w:tcPr>
          <w:p w14:paraId="30387492" w14:textId="77777777" w:rsidR="00A26C94" w:rsidRPr="0079256B" w:rsidRDefault="00A26C94" w:rsidP="00003B31">
            <w:pPr>
              <w:spacing w:line="276" w:lineRule="auto"/>
              <w:rPr>
                <w:rFonts w:ascii="Arial" w:hAnsi="Arial" w:cs="Arial"/>
                <w:sz w:val="22"/>
                <w:szCs w:val="22"/>
                <w:lang w:eastAsia="en-US"/>
              </w:rPr>
            </w:pPr>
            <w:r w:rsidRPr="0079256B">
              <w:rPr>
                <w:rFonts w:ascii="Arial" w:hAnsi="Arial" w:cs="Arial"/>
                <w:sz w:val="22"/>
                <w:szCs w:val="22"/>
                <w:lang w:eastAsia="en-US"/>
              </w:rPr>
              <w:t xml:space="preserve">Stručná definice: </w:t>
            </w:r>
          </w:p>
        </w:tc>
        <w:tc>
          <w:tcPr>
            <w:tcW w:w="6486" w:type="dxa"/>
            <w:shd w:val="pct15" w:color="auto" w:fill="auto"/>
            <w:hideMark/>
          </w:tcPr>
          <w:p w14:paraId="00DCDF2F" w14:textId="272E5A72" w:rsidR="00A26C94" w:rsidRPr="0079256B" w:rsidRDefault="00A26C94" w:rsidP="00BE1309">
            <w:pPr>
              <w:spacing w:line="276" w:lineRule="auto"/>
              <w:jc w:val="both"/>
              <w:rPr>
                <w:rFonts w:ascii="Arial" w:hAnsi="Arial" w:cs="Arial"/>
                <w:sz w:val="22"/>
                <w:szCs w:val="22"/>
                <w:lang w:eastAsia="en-US"/>
              </w:rPr>
            </w:pPr>
            <w:r w:rsidRPr="0079256B">
              <w:rPr>
                <w:rFonts w:ascii="Arial" w:hAnsi="Arial" w:cs="Arial"/>
                <w:sz w:val="22"/>
                <w:szCs w:val="22"/>
                <w:lang w:eastAsia="en-US"/>
              </w:rPr>
              <w:t>Index – podíl míry ohrožení chudobou u osob v domácnostech s</w:t>
            </w:r>
            <w:r>
              <w:rPr>
                <w:rFonts w:ascii="Arial" w:hAnsi="Arial" w:cs="Arial"/>
                <w:sz w:val="22"/>
                <w:szCs w:val="22"/>
                <w:lang w:eastAsia="en-US"/>
              </w:rPr>
              <w:t> </w:t>
            </w:r>
            <w:r w:rsidRPr="0079256B">
              <w:rPr>
                <w:rFonts w:ascii="Arial" w:hAnsi="Arial" w:cs="Arial"/>
                <w:sz w:val="22"/>
                <w:szCs w:val="22"/>
                <w:lang w:eastAsia="en-US"/>
              </w:rPr>
              <w:t>dětmi</w:t>
            </w:r>
            <w:r>
              <w:rPr>
                <w:rFonts w:ascii="Arial" w:hAnsi="Arial" w:cs="Arial"/>
                <w:sz w:val="22"/>
                <w:szCs w:val="22"/>
                <w:lang w:eastAsia="en-US"/>
              </w:rPr>
              <w:t xml:space="preserve"> </w:t>
            </w:r>
            <w:r w:rsidRPr="00D64E3A">
              <w:rPr>
                <w:rFonts w:ascii="Arial" w:hAnsi="Arial" w:cs="Arial"/>
                <w:sz w:val="22"/>
                <w:szCs w:val="22"/>
                <w:lang w:eastAsia="en-US"/>
              </w:rPr>
              <w:t>se specifickými potřebami</w:t>
            </w:r>
            <w:r>
              <w:rPr>
                <w:rFonts w:ascii="Arial" w:hAnsi="Arial" w:cs="Arial"/>
                <w:b/>
                <w:sz w:val="22"/>
                <w:szCs w:val="22"/>
                <w:lang w:eastAsia="en-US"/>
              </w:rPr>
              <w:t xml:space="preserve"> </w:t>
            </w:r>
            <w:r w:rsidRPr="0079256B">
              <w:rPr>
                <w:rFonts w:ascii="Arial" w:hAnsi="Arial" w:cs="Arial"/>
                <w:sz w:val="22"/>
                <w:szCs w:val="22"/>
                <w:lang w:eastAsia="en-US"/>
              </w:rPr>
              <w:t>k míře ohrožení celé populace.</w:t>
            </w:r>
            <w:r>
              <w:rPr>
                <w:rFonts w:ascii="Arial" w:hAnsi="Arial" w:cs="Arial"/>
                <w:sz w:val="22"/>
                <w:szCs w:val="22"/>
                <w:lang w:eastAsia="en-US"/>
              </w:rPr>
              <w:t xml:space="preserve"> </w:t>
            </w:r>
            <w:r w:rsidRPr="0079256B">
              <w:rPr>
                <w:rFonts w:ascii="Arial" w:hAnsi="Arial" w:cs="Arial"/>
                <w:sz w:val="22"/>
                <w:szCs w:val="22"/>
                <w:lang w:eastAsia="en-US"/>
              </w:rPr>
              <w:t xml:space="preserve">Domácnosti s dětmi jsou vymezeny jako samostatně hospodařící zahrnující alespoň </w:t>
            </w:r>
            <w:r>
              <w:rPr>
                <w:rFonts w:ascii="Arial" w:hAnsi="Arial" w:cs="Arial"/>
                <w:sz w:val="22"/>
                <w:szCs w:val="22"/>
                <w:lang w:eastAsia="en-US"/>
              </w:rPr>
              <w:t xml:space="preserve">jedno dítě. </w:t>
            </w:r>
          </w:p>
        </w:tc>
      </w:tr>
      <w:tr w:rsidR="00A26C94" w:rsidRPr="00E86883" w14:paraId="332F650D" w14:textId="77777777" w:rsidTr="00003B31">
        <w:tc>
          <w:tcPr>
            <w:tcW w:w="2802" w:type="dxa"/>
            <w:shd w:val="pct15" w:color="auto" w:fill="auto"/>
            <w:hideMark/>
          </w:tcPr>
          <w:p w14:paraId="7BC45018" w14:textId="77777777" w:rsidR="00A26C94" w:rsidRPr="0079256B" w:rsidRDefault="00A26C94" w:rsidP="00003B31">
            <w:pPr>
              <w:spacing w:line="276" w:lineRule="auto"/>
              <w:rPr>
                <w:rFonts w:ascii="Arial" w:hAnsi="Arial" w:cs="Arial"/>
                <w:sz w:val="22"/>
                <w:szCs w:val="22"/>
                <w:lang w:eastAsia="en-US"/>
              </w:rPr>
            </w:pPr>
            <w:r w:rsidRPr="0079256B">
              <w:rPr>
                <w:rFonts w:ascii="Arial" w:hAnsi="Arial" w:cs="Arial"/>
                <w:sz w:val="22"/>
                <w:szCs w:val="22"/>
                <w:lang w:eastAsia="en-US"/>
              </w:rPr>
              <w:t>Jednotka:</w:t>
            </w:r>
          </w:p>
        </w:tc>
        <w:tc>
          <w:tcPr>
            <w:tcW w:w="6486" w:type="dxa"/>
            <w:shd w:val="pct15" w:color="auto" w:fill="auto"/>
          </w:tcPr>
          <w:p w14:paraId="3541AA4F" w14:textId="77777777" w:rsidR="00A26C94" w:rsidRPr="0079256B" w:rsidRDefault="00A26C94" w:rsidP="00BE1309">
            <w:pPr>
              <w:spacing w:line="276" w:lineRule="auto"/>
              <w:jc w:val="both"/>
              <w:rPr>
                <w:rFonts w:ascii="Arial" w:hAnsi="Arial" w:cs="Arial"/>
                <w:sz w:val="22"/>
                <w:szCs w:val="22"/>
                <w:lang w:eastAsia="en-US"/>
              </w:rPr>
            </w:pPr>
            <w:r w:rsidRPr="0079256B">
              <w:rPr>
                <w:rFonts w:ascii="Arial" w:hAnsi="Arial" w:cs="Arial"/>
                <w:sz w:val="22"/>
                <w:szCs w:val="22"/>
                <w:lang w:eastAsia="en-US"/>
              </w:rPr>
              <w:t>Bezrozměrné číslo</w:t>
            </w:r>
          </w:p>
        </w:tc>
      </w:tr>
      <w:tr w:rsidR="00A26C94" w:rsidRPr="00E86883" w14:paraId="75ABE3CB" w14:textId="77777777" w:rsidTr="00003B31">
        <w:tc>
          <w:tcPr>
            <w:tcW w:w="2802" w:type="dxa"/>
            <w:shd w:val="pct15" w:color="auto" w:fill="auto"/>
            <w:hideMark/>
          </w:tcPr>
          <w:p w14:paraId="3C448115" w14:textId="77777777" w:rsidR="00A26C94" w:rsidRPr="0079256B" w:rsidRDefault="00A26C94" w:rsidP="00003B31">
            <w:pPr>
              <w:spacing w:line="276" w:lineRule="auto"/>
              <w:rPr>
                <w:rFonts w:ascii="Arial" w:hAnsi="Arial" w:cs="Arial"/>
                <w:sz w:val="22"/>
                <w:szCs w:val="22"/>
                <w:lang w:eastAsia="en-US"/>
              </w:rPr>
            </w:pPr>
            <w:r w:rsidRPr="0079256B">
              <w:rPr>
                <w:rFonts w:ascii="Arial" w:hAnsi="Arial" w:cs="Arial"/>
                <w:sz w:val="22"/>
                <w:szCs w:val="22"/>
                <w:lang w:eastAsia="en-US"/>
              </w:rPr>
              <w:t xml:space="preserve">Gestor: </w:t>
            </w:r>
          </w:p>
        </w:tc>
        <w:tc>
          <w:tcPr>
            <w:tcW w:w="6486" w:type="dxa"/>
            <w:shd w:val="pct15" w:color="auto" w:fill="auto"/>
            <w:hideMark/>
          </w:tcPr>
          <w:p w14:paraId="2B18E8E8" w14:textId="3AB3B883" w:rsidR="00A26C94" w:rsidRPr="0079256B" w:rsidRDefault="00A26C94" w:rsidP="00BE1309">
            <w:pPr>
              <w:spacing w:line="276" w:lineRule="auto"/>
              <w:jc w:val="both"/>
              <w:rPr>
                <w:rFonts w:ascii="Arial" w:hAnsi="Arial" w:cs="Arial"/>
                <w:sz w:val="22"/>
                <w:szCs w:val="22"/>
                <w:lang w:eastAsia="en-US"/>
              </w:rPr>
            </w:pPr>
          </w:p>
        </w:tc>
      </w:tr>
      <w:tr w:rsidR="00A26C94" w:rsidRPr="00E86883" w14:paraId="27A31BCB" w14:textId="77777777" w:rsidTr="00003B31">
        <w:tc>
          <w:tcPr>
            <w:tcW w:w="2802" w:type="dxa"/>
            <w:shd w:val="pct15" w:color="auto" w:fill="auto"/>
            <w:hideMark/>
          </w:tcPr>
          <w:p w14:paraId="5E4EE8F1" w14:textId="77777777" w:rsidR="00A26C94" w:rsidRPr="0079256B" w:rsidRDefault="00A26C94" w:rsidP="00003B31">
            <w:pPr>
              <w:spacing w:line="276" w:lineRule="auto"/>
              <w:rPr>
                <w:rFonts w:ascii="Arial" w:hAnsi="Arial" w:cs="Arial"/>
                <w:sz w:val="22"/>
                <w:szCs w:val="22"/>
                <w:lang w:eastAsia="en-US"/>
              </w:rPr>
            </w:pPr>
            <w:r w:rsidRPr="0079256B">
              <w:rPr>
                <w:rFonts w:ascii="Arial" w:hAnsi="Arial" w:cs="Arial"/>
                <w:sz w:val="22"/>
                <w:szCs w:val="22"/>
                <w:lang w:eastAsia="en-US"/>
              </w:rPr>
              <w:t xml:space="preserve">Význam indikátoru: </w:t>
            </w:r>
          </w:p>
        </w:tc>
        <w:tc>
          <w:tcPr>
            <w:tcW w:w="6486" w:type="dxa"/>
            <w:shd w:val="pct15" w:color="auto" w:fill="auto"/>
            <w:hideMark/>
          </w:tcPr>
          <w:p w14:paraId="144B4BAE" w14:textId="6B275175" w:rsidR="00A26C94" w:rsidRPr="0079256B" w:rsidRDefault="00A26C94" w:rsidP="00BE1309">
            <w:pPr>
              <w:spacing w:line="276" w:lineRule="auto"/>
              <w:jc w:val="both"/>
              <w:rPr>
                <w:rFonts w:ascii="Arial" w:hAnsi="Arial" w:cs="Arial"/>
                <w:sz w:val="22"/>
                <w:szCs w:val="22"/>
                <w:lang w:eastAsia="en-US"/>
              </w:rPr>
            </w:pPr>
            <w:r w:rsidRPr="0079256B">
              <w:rPr>
                <w:rFonts w:ascii="Arial" w:hAnsi="Arial" w:cs="Arial"/>
                <w:sz w:val="22"/>
                <w:szCs w:val="22"/>
                <w:lang w:eastAsia="en-US"/>
              </w:rPr>
              <w:t>Srovnává rizika ohrožení příjmovou chudobou u domácností s</w:t>
            </w:r>
            <w:r>
              <w:rPr>
                <w:rFonts w:ascii="Arial" w:hAnsi="Arial" w:cs="Arial"/>
                <w:sz w:val="22"/>
                <w:szCs w:val="22"/>
                <w:lang w:eastAsia="en-US"/>
              </w:rPr>
              <w:t> </w:t>
            </w:r>
            <w:r w:rsidRPr="0079256B">
              <w:rPr>
                <w:rFonts w:ascii="Arial" w:hAnsi="Arial" w:cs="Arial"/>
                <w:sz w:val="22"/>
                <w:szCs w:val="22"/>
                <w:lang w:eastAsia="en-US"/>
              </w:rPr>
              <w:t>dětmi</w:t>
            </w:r>
            <w:r>
              <w:rPr>
                <w:rFonts w:ascii="Arial" w:hAnsi="Arial" w:cs="Arial"/>
                <w:sz w:val="22"/>
                <w:szCs w:val="22"/>
                <w:lang w:eastAsia="en-US"/>
              </w:rPr>
              <w:t xml:space="preserve"> </w:t>
            </w:r>
            <w:r w:rsidRPr="00D64E3A">
              <w:rPr>
                <w:rFonts w:ascii="Arial" w:hAnsi="Arial" w:cs="Arial"/>
                <w:sz w:val="22"/>
                <w:szCs w:val="22"/>
                <w:lang w:eastAsia="en-US"/>
              </w:rPr>
              <w:t>se specifickými potřebami</w:t>
            </w:r>
            <w:r>
              <w:rPr>
                <w:rFonts w:ascii="Arial" w:hAnsi="Arial" w:cs="Arial"/>
                <w:b/>
                <w:sz w:val="22"/>
                <w:szCs w:val="22"/>
                <w:lang w:eastAsia="en-US"/>
              </w:rPr>
              <w:t xml:space="preserve"> </w:t>
            </w:r>
            <w:r w:rsidRPr="0079256B">
              <w:rPr>
                <w:rFonts w:ascii="Arial" w:hAnsi="Arial" w:cs="Arial"/>
                <w:sz w:val="22"/>
                <w:szCs w:val="22"/>
                <w:lang w:eastAsia="en-US"/>
              </w:rPr>
              <w:t>jako specifické cílové skupiny se situací v populaci jako celku.</w:t>
            </w:r>
          </w:p>
        </w:tc>
      </w:tr>
      <w:tr w:rsidR="00A26C94" w:rsidRPr="00E86883" w14:paraId="35CE43DB" w14:textId="77777777" w:rsidTr="00003B31">
        <w:tc>
          <w:tcPr>
            <w:tcW w:w="2802" w:type="dxa"/>
            <w:shd w:val="pct15" w:color="auto" w:fill="auto"/>
            <w:hideMark/>
          </w:tcPr>
          <w:p w14:paraId="376DFC76" w14:textId="77777777" w:rsidR="00A26C94" w:rsidRPr="0079256B" w:rsidRDefault="00A26C94" w:rsidP="00003B31">
            <w:pPr>
              <w:spacing w:line="276" w:lineRule="auto"/>
              <w:rPr>
                <w:rFonts w:ascii="Arial" w:hAnsi="Arial" w:cs="Arial"/>
                <w:sz w:val="22"/>
                <w:szCs w:val="22"/>
                <w:lang w:eastAsia="en-US"/>
              </w:rPr>
            </w:pPr>
            <w:r w:rsidRPr="0079256B">
              <w:rPr>
                <w:rFonts w:ascii="Arial" w:hAnsi="Arial" w:cs="Arial"/>
                <w:sz w:val="22"/>
                <w:szCs w:val="22"/>
                <w:lang w:eastAsia="en-US"/>
              </w:rPr>
              <w:t xml:space="preserve">Časová řada: </w:t>
            </w:r>
          </w:p>
        </w:tc>
        <w:tc>
          <w:tcPr>
            <w:tcW w:w="6486" w:type="dxa"/>
            <w:shd w:val="pct15" w:color="auto" w:fill="auto"/>
          </w:tcPr>
          <w:p w14:paraId="117AF9CF" w14:textId="1BBA3AEE" w:rsidR="00A26C94" w:rsidRPr="0079256B" w:rsidRDefault="00A26C94" w:rsidP="00BE1309">
            <w:pPr>
              <w:spacing w:line="276" w:lineRule="auto"/>
              <w:jc w:val="both"/>
              <w:rPr>
                <w:rFonts w:ascii="Arial" w:hAnsi="Arial" w:cs="Arial"/>
                <w:sz w:val="22"/>
                <w:szCs w:val="22"/>
                <w:lang w:eastAsia="en-US"/>
              </w:rPr>
            </w:pPr>
          </w:p>
        </w:tc>
      </w:tr>
      <w:tr w:rsidR="00A26C94" w:rsidRPr="00E86883" w14:paraId="08B70400" w14:textId="77777777" w:rsidTr="00003B31">
        <w:tc>
          <w:tcPr>
            <w:tcW w:w="2802" w:type="dxa"/>
            <w:shd w:val="pct15" w:color="auto" w:fill="auto"/>
            <w:hideMark/>
          </w:tcPr>
          <w:p w14:paraId="450DF13D" w14:textId="77777777" w:rsidR="00A26C94" w:rsidRPr="0079256B" w:rsidRDefault="00A26C94" w:rsidP="00003B31">
            <w:pPr>
              <w:spacing w:line="276" w:lineRule="auto"/>
              <w:rPr>
                <w:rFonts w:ascii="Arial" w:hAnsi="Arial" w:cs="Arial"/>
                <w:sz w:val="22"/>
                <w:szCs w:val="22"/>
                <w:lang w:eastAsia="en-US"/>
              </w:rPr>
            </w:pPr>
            <w:r w:rsidRPr="0079256B">
              <w:rPr>
                <w:rFonts w:ascii="Arial" w:hAnsi="Arial" w:cs="Arial"/>
                <w:sz w:val="22"/>
                <w:szCs w:val="22"/>
                <w:lang w:eastAsia="en-US"/>
              </w:rPr>
              <w:t xml:space="preserve">Frekvence výstupu: </w:t>
            </w:r>
          </w:p>
        </w:tc>
        <w:tc>
          <w:tcPr>
            <w:tcW w:w="6486" w:type="dxa"/>
            <w:shd w:val="pct15" w:color="auto" w:fill="auto"/>
          </w:tcPr>
          <w:p w14:paraId="42EC9258" w14:textId="52737EEC" w:rsidR="00A26C94" w:rsidRPr="0079256B" w:rsidRDefault="00A26C94" w:rsidP="00BE1309">
            <w:pPr>
              <w:spacing w:line="276" w:lineRule="auto"/>
              <w:jc w:val="both"/>
              <w:rPr>
                <w:rFonts w:ascii="Arial" w:hAnsi="Arial" w:cs="Arial"/>
                <w:sz w:val="22"/>
                <w:szCs w:val="22"/>
                <w:lang w:eastAsia="en-US"/>
              </w:rPr>
            </w:pPr>
          </w:p>
        </w:tc>
      </w:tr>
      <w:tr w:rsidR="00A26C94" w:rsidRPr="00E86883" w14:paraId="58F13BDC" w14:textId="77777777" w:rsidTr="00003B31">
        <w:trPr>
          <w:trHeight w:val="70"/>
        </w:trPr>
        <w:tc>
          <w:tcPr>
            <w:tcW w:w="2802" w:type="dxa"/>
            <w:shd w:val="pct15" w:color="auto" w:fill="auto"/>
            <w:hideMark/>
          </w:tcPr>
          <w:p w14:paraId="70213928" w14:textId="77777777" w:rsidR="00A26C94" w:rsidRPr="0079256B" w:rsidRDefault="00A26C94" w:rsidP="00003B31">
            <w:pPr>
              <w:spacing w:line="276" w:lineRule="auto"/>
              <w:rPr>
                <w:rFonts w:ascii="Arial" w:hAnsi="Arial" w:cs="Arial"/>
                <w:sz w:val="22"/>
                <w:szCs w:val="22"/>
                <w:lang w:eastAsia="en-US"/>
              </w:rPr>
            </w:pPr>
            <w:r w:rsidRPr="0079256B">
              <w:rPr>
                <w:rFonts w:ascii="Arial" w:hAnsi="Arial" w:cs="Arial"/>
                <w:sz w:val="22"/>
                <w:szCs w:val="22"/>
                <w:lang w:eastAsia="en-US"/>
              </w:rPr>
              <w:t xml:space="preserve">Členění indikátoru: </w:t>
            </w:r>
          </w:p>
        </w:tc>
        <w:tc>
          <w:tcPr>
            <w:tcW w:w="6486" w:type="dxa"/>
            <w:shd w:val="pct15" w:color="auto" w:fill="auto"/>
          </w:tcPr>
          <w:p w14:paraId="459AA679" w14:textId="1BB9AF6C" w:rsidR="00A26C94" w:rsidRPr="0079256B" w:rsidRDefault="00D74D21" w:rsidP="00BE1309">
            <w:pPr>
              <w:spacing w:line="276" w:lineRule="auto"/>
              <w:jc w:val="both"/>
              <w:rPr>
                <w:rFonts w:ascii="Arial" w:hAnsi="Arial" w:cs="Arial"/>
                <w:sz w:val="22"/>
                <w:szCs w:val="22"/>
                <w:lang w:eastAsia="en-US"/>
              </w:rPr>
            </w:pPr>
            <w:r>
              <w:rPr>
                <w:rFonts w:ascii="Arial" w:hAnsi="Arial" w:cs="Arial"/>
                <w:sz w:val="22"/>
                <w:szCs w:val="22"/>
                <w:lang w:eastAsia="en-US"/>
              </w:rPr>
              <w:t>Dle počtu</w:t>
            </w:r>
            <w:r w:rsidR="00A26C94" w:rsidRPr="0079256B">
              <w:rPr>
                <w:rFonts w:ascii="Arial" w:hAnsi="Arial" w:cs="Arial"/>
                <w:sz w:val="22"/>
                <w:szCs w:val="22"/>
                <w:lang w:eastAsia="en-US"/>
              </w:rPr>
              <w:t xml:space="preserve"> dětí</w:t>
            </w:r>
            <w:r w:rsidR="00A26C94">
              <w:rPr>
                <w:rFonts w:ascii="Arial" w:hAnsi="Arial" w:cs="Arial"/>
                <w:sz w:val="22"/>
                <w:szCs w:val="22"/>
                <w:lang w:eastAsia="en-US"/>
              </w:rPr>
              <w:t xml:space="preserve"> (jedno, dvě, tři a více)</w:t>
            </w:r>
          </w:p>
        </w:tc>
      </w:tr>
      <w:tr w:rsidR="00A26C94" w:rsidRPr="00E86883" w14:paraId="123CC6E0" w14:textId="77777777" w:rsidTr="00003B31">
        <w:trPr>
          <w:trHeight w:val="70"/>
        </w:trPr>
        <w:tc>
          <w:tcPr>
            <w:tcW w:w="2802" w:type="dxa"/>
            <w:shd w:val="pct15" w:color="auto" w:fill="auto"/>
            <w:hideMark/>
          </w:tcPr>
          <w:p w14:paraId="399240D6" w14:textId="77777777" w:rsidR="00A26C94" w:rsidRPr="0079256B" w:rsidRDefault="00A26C94" w:rsidP="00003B31">
            <w:pPr>
              <w:spacing w:line="276" w:lineRule="auto"/>
              <w:rPr>
                <w:rFonts w:ascii="Arial" w:hAnsi="Arial" w:cs="Arial"/>
                <w:sz w:val="22"/>
                <w:szCs w:val="22"/>
                <w:lang w:eastAsia="en-US"/>
              </w:rPr>
            </w:pPr>
            <w:r w:rsidRPr="0079256B">
              <w:rPr>
                <w:rFonts w:ascii="Arial" w:hAnsi="Arial" w:cs="Arial"/>
                <w:sz w:val="22"/>
                <w:szCs w:val="22"/>
                <w:lang w:eastAsia="en-US"/>
              </w:rPr>
              <w:t>Mezinárodní srovnání:</w:t>
            </w:r>
          </w:p>
        </w:tc>
        <w:tc>
          <w:tcPr>
            <w:tcW w:w="6486" w:type="dxa"/>
            <w:shd w:val="pct15" w:color="auto" w:fill="auto"/>
          </w:tcPr>
          <w:p w14:paraId="3ACE2A62" w14:textId="33D901FF" w:rsidR="00A26C94" w:rsidRPr="0079256B" w:rsidRDefault="00A26C94" w:rsidP="00003B31">
            <w:pPr>
              <w:spacing w:line="276" w:lineRule="auto"/>
              <w:rPr>
                <w:rFonts w:ascii="Arial" w:hAnsi="Arial" w:cs="Arial"/>
                <w:sz w:val="22"/>
                <w:szCs w:val="22"/>
                <w:lang w:eastAsia="en-US"/>
              </w:rPr>
            </w:pPr>
          </w:p>
        </w:tc>
      </w:tr>
    </w:tbl>
    <w:p w14:paraId="493284B7" w14:textId="77777777" w:rsidR="004B546D" w:rsidRDefault="004B546D" w:rsidP="004B546D">
      <w:pPr>
        <w:pStyle w:val="r2030cle"/>
        <w:numPr>
          <w:ilvl w:val="0"/>
          <w:numId w:val="0"/>
        </w:numPr>
        <w:spacing w:before="0"/>
        <w:ind w:left="966"/>
      </w:pPr>
    </w:p>
    <w:p w14:paraId="0E26266F" w14:textId="71D44E98" w:rsidR="00B75EA2" w:rsidRDefault="00C04F62" w:rsidP="00FB6CF6">
      <w:pPr>
        <w:pStyle w:val="r2030cle"/>
        <w:numPr>
          <w:ilvl w:val="0"/>
          <w:numId w:val="16"/>
        </w:numPr>
        <w:ind w:left="567" w:hanging="425"/>
        <w:jc w:val="both"/>
      </w:pPr>
      <w:r w:rsidRPr="00C04F62">
        <w:t>Technologický a sociální rozvoj rozšiřují přístup k důstojné práci.</w:t>
      </w:r>
    </w:p>
    <w:p w14:paraId="689D39E7" w14:textId="14B9F7BF" w:rsidR="00E86883" w:rsidRPr="00B75EA2" w:rsidRDefault="008F714A" w:rsidP="00FB6CF6">
      <w:pPr>
        <w:pStyle w:val="r2030podcle"/>
        <w:numPr>
          <w:ilvl w:val="1"/>
          <w:numId w:val="17"/>
        </w:numPr>
        <w:ind w:left="567" w:hanging="425"/>
        <w:jc w:val="both"/>
      </w:pPr>
      <w:r w:rsidRPr="00B75EA2">
        <w:t>Trh práce vykazuje na celostátní i regionální úrovni nižší strukturální nerovnováhy, zmírňuje se polarizace trhu práce i její společenské dopady.</w:t>
      </w:r>
    </w:p>
    <w:tbl>
      <w:tblPr>
        <w:tblStyle w:val="Mkatabulky"/>
        <w:tblW w:w="0" w:type="auto"/>
        <w:tblLook w:val="04A0" w:firstRow="1" w:lastRow="0" w:firstColumn="1" w:lastColumn="0" w:noHBand="0" w:noVBand="1"/>
      </w:tblPr>
      <w:tblGrid>
        <w:gridCol w:w="2802"/>
        <w:gridCol w:w="6486"/>
      </w:tblGrid>
      <w:tr w:rsidR="00E86883" w:rsidRPr="00E86883" w14:paraId="101E826C"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72C33AFE"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Název a označení indikátoru: </w:t>
            </w:r>
          </w:p>
        </w:tc>
        <w:tc>
          <w:tcPr>
            <w:tcW w:w="6486" w:type="dxa"/>
            <w:tcBorders>
              <w:top w:val="single" w:sz="4" w:space="0" w:color="auto"/>
              <w:left w:val="single" w:sz="4" w:space="0" w:color="auto"/>
              <w:bottom w:val="single" w:sz="4" w:space="0" w:color="auto"/>
              <w:right w:val="single" w:sz="4" w:space="0" w:color="auto"/>
            </w:tcBorders>
            <w:hideMark/>
          </w:tcPr>
          <w:p w14:paraId="46BB0794" w14:textId="77777777" w:rsidR="00E86883" w:rsidRPr="00E86883" w:rsidRDefault="00E86883" w:rsidP="00C51B65">
            <w:pPr>
              <w:spacing w:line="276" w:lineRule="auto"/>
              <w:rPr>
                <w:rFonts w:ascii="Arial" w:hAnsi="Arial" w:cs="Arial"/>
                <w:b/>
                <w:sz w:val="22"/>
                <w:szCs w:val="22"/>
                <w:lang w:eastAsia="en-US"/>
              </w:rPr>
            </w:pPr>
            <w:r w:rsidRPr="00E86883">
              <w:rPr>
                <w:rFonts w:ascii="Arial" w:eastAsia="Calibri" w:hAnsi="Arial" w:cs="Arial"/>
                <w:b/>
                <w:sz w:val="22"/>
                <w:szCs w:val="22"/>
                <w:lang w:eastAsia="en-US"/>
              </w:rPr>
              <w:t xml:space="preserve">2.1.1 Nenaplněná poptávka dle jednotlivých profesí/kvalifikací </w:t>
            </w:r>
          </w:p>
        </w:tc>
      </w:tr>
      <w:tr w:rsidR="00E86883" w:rsidRPr="00E86883" w14:paraId="5AAC84E7"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7D7E31E9"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Stručná definice: </w:t>
            </w:r>
          </w:p>
        </w:tc>
        <w:tc>
          <w:tcPr>
            <w:tcW w:w="6486" w:type="dxa"/>
            <w:tcBorders>
              <w:top w:val="single" w:sz="4" w:space="0" w:color="auto"/>
              <w:left w:val="single" w:sz="4" w:space="0" w:color="auto"/>
              <w:bottom w:val="single" w:sz="4" w:space="0" w:color="auto"/>
              <w:right w:val="single" w:sz="4" w:space="0" w:color="auto"/>
            </w:tcBorders>
          </w:tcPr>
          <w:p w14:paraId="6D4DBF30" w14:textId="277B1BF8" w:rsidR="00E86883" w:rsidRPr="00E86883" w:rsidRDefault="00E86883" w:rsidP="00FB6CF6">
            <w:pPr>
              <w:spacing w:line="276" w:lineRule="auto"/>
              <w:jc w:val="both"/>
              <w:rPr>
                <w:rFonts w:ascii="Arial" w:hAnsi="Arial" w:cs="Arial"/>
                <w:sz w:val="22"/>
                <w:szCs w:val="22"/>
                <w:lang w:eastAsia="en-US"/>
              </w:rPr>
            </w:pPr>
            <w:r w:rsidRPr="00E86883">
              <w:rPr>
                <w:rFonts w:ascii="Arial" w:hAnsi="Arial" w:cs="Arial"/>
                <w:sz w:val="22"/>
                <w:szCs w:val="22"/>
                <w:lang w:eastAsia="en-US"/>
              </w:rPr>
              <w:t>Počet uchazečů o zaměstnání a volných pracovních míst dle klasifikace zaměstnání CZ-ISCO v rámci hlavních tříd této klasifikace v jednotlivých krajích ČR</w:t>
            </w:r>
            <w:r w:rsidR="004B546D">
              <w:rPr>
                <w:rFonts w:ascii="Arial" w:hAnsi="Arial" w:cs="Arial"/>
                <w:sz w:val="22"/>
                <w:szCs w:val="22"/>
                <w:lang w:eastAsia="en-US"/>
              </w:rPr>
              <w:t>.</w:t>
            </w:r>
          </w:p>
        </w:tc>
      </w:tr>
      <w:tr w:rsidR="00E86883" w:rsidRPr="00E86883" w14:paraId="5C84E21D"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2773847C"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Jednotka:</w:t>
            </w:r>
          </w:p>
        </w:tc>
        <w:tc>
          <w:tcPr>
            <w:tcW w:w="6486" w:type="dxa"/>
            <w:tcBorders>
              <w:top w:val="single" w:sz="4" w:space="0" w:color="auto"/>
              <w:left w:val="single" w:sz="4" w:space="0" w:color="auto"/>
              <w:bottom w:val="single" w:sz="4" w:space="0" w:color="auto"/>
              <w:right w:val="single" w:sz="4" w:space="0" w:color="auto"/>
            </w:tcBorders>
          </w:tcPr>
          <w:p w14:paraId="15AE5879" w14:textId="77777777" w:rsidR="00E86883" w:rsidRPr="00E86883" w:rsidRDefault="00E86883" w:rsidP="00FB6CF6">
            <w:pPr>
              <w:spacing w:line="276" w:lineRule="auto"/>
              <w:jc w:val="both"/>
              <w:rPr>
                <w:rFonts w:ascii="Arial" w:hAnsi="Arial" w:cs="Arial"/>
                <w:sz w:val="22"/>
                <w:szCs w:val="22"/>
                <w:lang w:eastAsia="en-US"/>
              </w:rPr>
            </w:pPr>
            <w:r w:rsidRPr="00E86883">
              <w:rPr>
                <w:rFonts w:ascii="Arial" w:hAnsi="Arial" w:cs="Arial"/>
                <w:sz w:val="22"/>
                <w:szCs w:val="22"/>
                <w:lang w:eastAsia="en-US"/>
              </w:rPr>
              <w:t>Počet uchazečů a počet míst</w:t>
            </w:r>
          </w:p>
        </w:tc>
      </w:tr>
      <w:tr w:rsidR="00E86883" w:rsidRPr="00E86883" w14:paraId="7A076ECE"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70E3494D"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Gestor: </w:t>
            </w:r>
          </w:p>
        </w:tc>
        <w:tc>
          <w:tcPr>
            <w:tcW w:w="6486" w:type="dxa"/>
            <w:tcBorders>
              <w:top w:val="single" w:sz="4" w:space="0" w:color="auto"/>
              <w:left w:val="single" w:sz="4" w:space="0" w:color="auto"/>
              <w:bottom w:val="single" w:sz="4" w:space="0" w:color="auto"/>
              <w:right w:val="single" w:sz="4" w:space="0" w:color="auto"/>
            </w:tcBorders>
            <w:hideMark/>
          </w:tcPr>
          <w:p w14:paraId="5A7FF5D9" w14:textId="77777777" w:rsidR="00E86883" w:rsidRPr="00E86883" w:rsidRDefault="00E86883" w:rsidP="00FB6CF6">
            <w:pPr>
              <w:tabs>
                <w:tab w:val="left" w:pos="2254"/>
              </w:tabs>
              <w:spacing w:line="276" w:lineRule="auto"/>
              <w:jc w:val="both"/>
              <w:rPr>
                <w:rFonts w:ascii="Arial" w:hAnsi="Arial" w:cs="Arial"/>
                <w:sz w:val="22"/>
                <w:szCs w:val="22"/>
                <w:lang w:eastAsia="en-US"/>
              </w:rPr>
            </w:pPr>
            <w:r w:rsidRPr="00E86883">
              <w:rPr>
                <w:rFonts w:ascii="Arial" w:hAnsi="Arial" w:cs="Arial"/>
                <w:sz w:val="22"/>
                <w:szCs w:val="22"/>
                <w:lang w:eastAsia="en-US"/>
              </w:rPr>
              <w:t>Ministe</w:t>
            </w:r>
            <w:r w:rsidR="00B73E7B">
              <w:rPr>
                <w:rFonts w:ascii="Arial" w:hAnsi="Arial" w:cs="Arial"/>
                <w:sz w:val="22"/>
                <w:szCs w:val="22"/>
                <w:lang w:eastAsia="en-US"/>
              </w:rPr>
              <w:t xml:space="preserve">rstvo práce a sociálních věcí, </w:t>
            </w:r>
            <w:r w:rsidRPr="00E86883">
              <w:rPr>
                <w:rFonts w:ascii="Arial" w:hAnsi="Arial" w:cs="Arial"/>
                <w:sz w:val="22"/>
                <w:szCs w:val="22"/>
                <w:lang w:eastAsia="en-US"/>
              </w:rPr>
              <w:t>Úřad práce</w:t>
            </w:r>
            <w:r w:rsidRPr="00E86883">
              <w:rPr>
                <w:rFonts w:ascii="Arial" w:hAnsi="Arial" w:cs="Arial"/>
                <w:sz w:val="22"/>
                <w:szCs w:val="22"/>
                <w:lang w:eastAsia="en-US"/>
              </w:rPr>
              <w:tab/>
            </w:r>
          </w:p>
        </w:tc>
      </w:tr>
      <w:tr w:rsidR="00E86883" w:rsidRPr="00E86883" w14:paraId="000BC2EC"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0A32C109"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Význam indikátoru: </w:t>
            </w:r>
          </w:p>
        </w:tc>
        <w:tc>
          <w:tcPr>
            <w:tcW w:w="6486" w:type="dxa"/>
            <w:tcBorders>
              <w:top w:val="single" w:sz="4" w:space="0" w:color="auto"/>
              <w:left w:val="single" w:sz="4" w:space="0" w:color="auto"/>
              <w:bottom w:val="single" w:sz="4" w:space="0" w:color="auto"/>
              <w:right w:val="single" w:sz="4" w:space="0" w:color="auto"/>
            </w:tcBorders>
            <w:hideMark/>
          </w:tcPr>
          <w:p w14:paraId="582434D5" w14:textId="440321AB" w:rsidR="00E86883" w:rsidRPr="00E86883" w:rsidRDefault="00E86883" w:rsidP="00FB6CF6">
            <w:pPr>
              <w:spacing w:line="276" w:lineRule="auto"/>
              <w:jc w:val="both"/>
              <w:rPr>
                <w:rFonts w:ascii="Arial" w:hAnsi="Arial" w:cs="Arial"/>
                <w:sz w:val="22"/>
                <w:szCs w:val="22"/>
                <w:lang w:eastAsia="en-US"/>
              </w:rPr>
            </w:pPr>
            <w:r w:rsidRPr="00E86883">
              <w:rPr>
                <w:rFonts w:ascii="Arial" w:hAnsi="Arial" w:cs="Arial"/>
                <w:sz w:val="22"/>
                <w:szCs w:val="22"/>
                <w:lang w:eastAsia="en-US"/>
              </w:rPr>
              <w:t xml:space="preserve">Indikátor vyjadřuje míru strukturální nerovnováhy </w:t>
            </w:r>
            <w:r w:rsidR="00B73E7B">
              <w:rPr>
                <w:rFonts w:ascii="Arial" w:hAnsi="Arial" w:cs="Arial"/>
                <w:sz w:val="22"/>
                <w:szCs w:val="22"/>
                <w:lang w:eastAsia="en-US"/>
              </w:rPr>
              <w:t xml:space="preserve">na </w:t>
            </w:r>
            <w:r w:rsidRPr="00E86883">
              <w:rPr>
                <w:rFonts w:ascii="Arial" w:hAnsi="Arial" w:cs="Arial"/>
                <w:sz w:val="22"/>
                <w:szCs w:val="22"/>
                <w:lang w:eastAsia="en-US"/>
              </w:rPr>
              <w:t xml:space="preserve">trhu práce </w:t>
            </w:r>
            <w:r w:rsidR="004B546D">
              <w:rPr>
                <w:rFonts w:ascii="Arial" w:hAnsi="Arial" w:cs="Arial"/>
                <w:sz w:val="22"/>
                <w:szCs w:val="22"/>
                <w:lang w:eastAsia="en-US"/>
              </w:rPr>
              <w:lastRenderedPageBreak/>
              <w:t>vytvořenou</w:t>
            </w:r>
            <w:r w:rsidR="00B73E7B">
              <w:rPr>
                <w:rFonts w:ascii="Arial" w:hAnsi="Arial" w:cs="Arial"/>
                <w:sz w:val="22"/>
                <w:szCs w:val="22"/>
                <w:lang w:eastAsia="en-US"/>
              </w:rPr>
              <w:t xml:space="preserve"> změnami</w:t>
            </w:r>
            <w:r w:rsidRPr="00E86883">
              <w:rPr>
                <w:rFonts w:ascii="Arial" w:hAnsi="Arial" w:cs="Arial"/>
                <w:sz w:val="22"/>
                <w:szCs w:val="22"/>
                <w:lang w:eastAsia="en-US"/>
              </w:rPr>
              <w:t xml:space="preserve"> na trhu práce, vzdělávání</w:t>
            </w:r>
            <w:r w:rsidR="00B73E7B">
              <w:rPr>
                <w:rFonts w:ascii="Arial" w:hAnsi="Arial" w:cs="Arial"/>
                <w:sz w:val="22"/>
                <w:szCs w:val="22"/>
                <w:lang w:eastAsia="en-US"/>
              </w:rPr>
              <w:t>m apod.</w:t>
            </w:r>
          </w:p>
        </w:tc>
      </w:tr>
      <w:tr w:rsidR="00E86883" w:rsidRPr="00E86883" w14:paraId="7702CCE0"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5E418EA8" w14:textId="77777777" w:rsidR="00E86883" w:rsidRPr="00DC29DF" w:rsidRDefault="00E86883" w:rsidP="00C51B65">
            <w:pPr>
              <w:spacing w:line="276" w:lineRule="auto"/>
              <w:rPr>
                <w:rFonts w:ascii="Arial" w:hAnsi="Arial" w:cs="Arial"/>
                <w:sz w:val="22"/>
                <w:szCs w:val="22"/>
                <w:lang w:eastAsia="en-US"/>
              </w:rPr>
            </w:pPr>
            <w:r w:rsidRPr="00DC29DF">
              <w:rPr>
                <w:rFonts w:ascii="Arial" w:hAnsi="Arial" w:cs="Arial"/>
                <w:sz w:val="22"/>
                <w:szCs w:val="22"/>
                <w:lang w:eastAsia="en-US"/>
              </w:rPr>
              <w:lastRenderedPageBreak/>
              <w:t xml:space="preserve">Časová řada: </w:t>
            </w:r>
          </w:p>
        </w:tc>
        <w:tc>
          <w:tcPr>
            <w:tcW w:w="6486" w:type="dxa"/>
            <w:tcBorders>
              <w:top w:val="single" w:sz="4" w:space="0" w:color="auto"/>
              <w:left w:val="single" w:sz="4" w:space="0" w:color="auto"/>
              <w:bottom w:val="single" w:sz="4" w:space="0" w:color="auto"/>
              <w:right w:val="single" w:sz="4" w:space="0" w:color="auto"/>
            </w:tcBorders>
          </w:tcPr>
          <w:p w14:paraId="140AA258" w14:textId="77777777" w:rsidR="00E86883" w:rsidRPr="00DC29DF" w:rsidRDefault="000B6026" w:rsidP="00FB6CF6">
            <w:pPr>
              <w:spacing w:line="276" w:lineRule="auto"/>
              <w:jc w:val="both"/>
              <w:rPr>
                <w:rFonts w:ascii="Arial" w:hAnsi="Arial" w:cs="Arial"/>
                <w:sz w:val="22"/>
                <w:szCs w:val="22"/>
                <w:lang w:eastAsia="en-US"/>
              </w:rPr>
            </w:pPr>
            <w:r>
              <w:rPr>
                <w:rFonts w:ascii="Arial" w:hAnsi="Arial" w:cs="Arial"/>
                <w:sz w:val="22"/>
                <w:szCs w:val="22"/>
                <w:lang w:eastAsia="en-US"/>
              </w:rPr>
              <w:t xml:space="preserve">Od </w:t>
            </w:r>
            <w:r w:rsidR="008F714A">
              <w:rPr>
                <w:rFonts w:ascii="Arial" w:hAnsi="Arial" w:cs="Arial"/>
                <w:sz w:val="22"/>
                <w:szCs w:val="22"/>
                <w:lang w:eastAsia="en-US"/>
              </w:rPr>
              <w:t xml:space="preserve">roku </w:t>
            </w:r>
            <w:r>
              <w:rPr>
                <w:rFonts w:ascii="Arial" w:hAnsi="Arial" w:cs="Arial"/>
                <w:sz w:val="22"/>
                <w:szCs w:val="22"/>
                <w:lang w:eastAsia="en-US"/>
              </w:rPr>
              <w:t>2000</w:t>
            </w:r>
          </w:p>
        </w:tc>
      </w:tr>
      <w:tr w:rsidR="00E86883" w:rsidRPr="00E86883" w14:paraId="719A8898"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417AB572" w14:textId="77777777" w:rsidR="00E86883" w:rsidRPr="00DC29DF" w:rsidRDefault="00E86883" w:rsidP="00C51B65">
            <w:pPr>
              <w:spacing w:line="276" w:lineRule="auto"/>
              <w:rPr>
                <w:rFonts w:ascii="Arial" w:hAnsi="Arial" w:cs="Arial"/>
                <w:sz w:val="22"/>
                <w:szCs w:val="22"/>
                <w:lang w:eastAsia="en-US"/>
              </w:rPr>
            </w:pPr>
            <w:r w:rsidRPr="00DC29DF">
              <w:rPr>
                <w:rFonts w:ascii="Arial" w:hAnsi="Arial" w:cs="Arial"/>
                <w:sz w:val="22"/>
                <w:szCs w:val="22"/>
                <w:lang w:eastAsia="en-US"/>
              </w:rPr>
              <w:t xml:space="preserve">Frekvence výstupu: </w:t>
            </w:r>
          </w:p>
        </w:tc>
        <w:tc>
          <w:tcPr>
            <w:tcW w:w="6486" w:type="dxa"/>
            <w:tcBorders>
              <w:top w:val="single" w:sz="4" w:space="0" w:color="auto"/>
              <w:left w:val="single" w:sz="4" w:space="0" w:color="auto"/>
              <w:bottom w:val="single" w:sz="4" w:space="0" w:color="auto"/>
              <w:right w:val="single" w:sz="4" w:space="0" w:color="auto"/>
            </w:tcBorders>
          </w:tcPr>
          <w:p w14:paraId="1B8FAADC" w14:textId="77777777" w:rsidR="00E86883" w:rsidRPr="00DC29DF" w:rsidRDefault="00E86883" w:rsidP="00FB6CF6">
            <w:pPr>
              <w:spacing w:line="276" w:lineRule="auto"/>
              <w:jc w:val="both"/>
              <w:rPr>
                <w:rFonts w:ascii="Arial" w:hAnsi="Arial" w:cs="Arial"/>
                <w:sz w:val="22"/>
                <w:szCs w:val="22"/>
                <w:lang w:eastAsia="en-US"/>
              </w:rPr>
            </w:pPr>
            <w:r w:rsidRPr="00DC29DF">
              <w:rPr>
                <w:rFonts w:ascii="Arial" w:hAnsi="Arial" w:cs="Arial"/>
                <w:sz w:val="22"/>
                <w:szCs w:val="22"/>
                <w:lang w:eastAsia="en-US"/>
              </w:rPr>
              <w:t>Čtvrtletně</w:t>
            </w:r>
          </w:p>
        </w:tc>
      </w:tr>
      <w:tr w:rsidR="00E86883" w:rsidRPr="00E86883" w14:paraId="53F3A811" w14:textId="77777777" w:rsidTr="008D14FE">
        <w:trPr>
          <w:trHeight w:val="70"/>
        </w:trPr>
        <w:tc>
          <w:tcPr>
            <w:tcW w:w="2802" w:type="dxa"/>
            <w:tcBorders>
              <w:top w:val="single" w:sz="4" w:space="0" w:color="auto"/>
              <w:left w:val="single" w:sz="4" w:space="0" w:color="auto"/>
              <w:bottom w:val="single" w:sz="4" w:space="0" w:color="auto"/>
              <w:right w:val="single" w:sz="4" w:space="0" w:color="auto"/>
            </w:tcBorders>
            <w:hideMark/>
          </w:tcPr>
          <w:p w14:paraId="507724C8" w14:textId="77777777" w:rsidR="00E86883" w:rsidRPr="00DC29DF" w:rsidRDefault="00E86883" w:rsidP="00C51B65">
            <w:pPr>
              <w:spacing w:line="276" w:lineRule="auto"/>
              <w:rPr>
                <w:rFonts w:ascii="Arial" w:hAnsi="Arial" w:cs="Arial"/>
                <w:sz w:val="22"/>
                <w:szCs w:val="22"/>
                <w:lang w:eastAsia="en-US"/>
              </w:rPr>
            </w:pPr>
            <w:r w:rsidRPr="00DC29DF">
              <w:rPr>
                <w:rFonts w:ascii="Arial" w:hAnsi="Arial" w:cs="Arial"/>
                <w:sz w:val="22"/>
                <w:szCs w:val="22"/>
                <w:lang w:eastAsia="en-US"/>
              </w:rPr>
              <w:t xml:space="preserve">Členění indikátoru: </w:t>
            </w:r>
          </w:p>
        </w:tc>
        <w:tc>
          <w:tcPr>
            <w:tcW w:w="6486" w:type="dxa"/>
            <w:tcBorders>
              <w:top w:val="single" w:sz="4" w:space="0" w:color="auto"/>
              <w:left w:val="single" w:sz="4" w:space="0" w:color="auto"/>
              <w:bottom w:val="single" w:sz="4" w:space="0" w:color="auto"/>
              <w:right w:val="single" w:sz="4" w:space="0" w:color="auto"/>
            </w:tcBorders>
            <w:hideMark/>
          </w:tcPr>
          <w:p w14:paraId="05CAE659" w14:textId="2C978226" w:rsidR="00E86883" w:rsidRPr="00DC29DF" w:rsidRDefault="00C34866" w:rsidP="00FB6CF6">
            <w:pPr>
              <w:spacing w:line="276" w:lineRule="auto"/>
              <w:jc w:val="both"/>
              <w:rPr>
                <w:rFonts w:ascii="Arial" w:hAnsi="Arial" w:cs="Arial"/>
                <w:sz w:val="22"/>
                <w:szCs w:val="22"/>
                <w:lang w:eastAsia="en-US"/>
              </w:rPr>
            </w:pPr>
            <w:r>
              <w:rPr>
                <w:rFonts w:ascii="Arial" w:hAnsi="Arial" w:cs="Arial"/>
                <w:sz w:val="22"/>
                <w:szCs w:val="22"/>
                <w:lang w:eastAsia="en-US"/>
              </w:rPr>
              <w:t>Celostátně, dle krajů</w:t>
            </w:r>
          </w:p>
        </w:tc>
      </w:tr>
      <w:tr w:rsidR="00E86883" w:rsidRPr="00E86883" w14:paraId="67D5E6A4" w14:textId="77777777" w:rsidTr="008D14FE">
        <w:trPr>
          <w:trHeight w:val="70"/>
        </w:trPr>
        <w:tc>
          <w:tcPr>
            <w:tcW w:w="2802" w:type="dxa"/>
            <w:tcBorders>
              <w:top w:val="single" w:sz="4" w:space="0" w:color="auto"/>
              <w:left w:val="single" w:sz="4" w:space="0" w:color="auto"/>
              <w:bottom w:val="single" w:sz="4" w:space="0" w:color="auto"/>
              <w:right w:val="single" w:sz="4" w:space="0" w:color="auto"/>
            </w:tcBorders>
            <w:hideMark/>
          </w:tcPr>
          <w:p w14:paraId="458375CF" w14:textId="77777777" w:rsidR="00E86883" w:rsidRPr="00DC29DF" w:rsidRDefault="00E86883" w:rsidP="00C51B65">
            <w:pPr>
              <w:spacing w:line="276" w:lineRule="auto"/>
              <w:rPr>
                <w:rFonts w:ascii="Arial" w:hAnsi="Arial" w:cs="Arial"/>
                <w:sz w:val="22"/>
                <w:szCs w:val="22"/>
                <w:lang w:eastAsia="en-US"/>
              </w:rPr>
            </w:pPr>
            <w:r w:rsidRPr="00DC29DF">
              <w:rPr>
                <w:rFonts w:ascii="Arial" w:hAnsi="Arial" w:cs="Arial"/>
                <w:sz w:val="22"/>
                <w:szCs w:val="22"/>
                <w:lang w:eastAsia="en-US"/>
              </w:rPr>
              <w:t>Mezinárodní srovnání:</w:t>
            </w:r>
          </w:p>
        </w:tc>
        <w:tc>
          <w:tcPr>
            <w:tcW w:w="6486" w:type="dxa"/>
            <w:tcBorders>
              <w:top w:val="single" w:sz="4" w:space="0" w:color="auto"/>
              <w:left w:val="single" w:sz="4" w:space="0" w:color="auto"/>
              <w:bottom w:val="single" w:sz="4" w:space="0" w:color="auto"/>
              <w:right w:val="single" w:sz="4" w:space="0" w:color="auto"/>
            </w:tcBorders>
          </w:tcPr>
          <w:p w14:paraId="5F4B53AC" w14:textId="77777777" w:rsidR="00E86883" w:rsidRPr="00DC29DF" w:rsidRDefault="008F714A" w:rsidP="00FB6CF6">
            <w:pPr>
              <w:spacing w:line="276" w:lineRule="auto"/>
              <w:jc w:val="both"/>
              <w:rPr>
                <w:rFonts w:ascii="Arial" w:hAnsi="Arial" w:cs="Arial"/>
                <w:sz w:val="22"/>
                <w:szCs w:val="22"/>
                <w:lang w:eastAsia="en-US"/>
              </w:rPr>
            </w:pPr>
            <w:r>
              <w:rPr>
                <w:rFonts w:ascii="Arial" w:hAnsi="Arial" w:cs="Arial"/>
                <w:sz w:val="22"/>
                <w:szCs w:val="22"/>
                <w:lang w:eastAsia="en-US"/>
              </w:rPr>
              <w:t>-</w:t>
            </w:r>
          </w:p>
        </w:tc>
      </w:tr>
    </w:tbl>
    <w:p w14:paraId="13FE16C5" w14:textId="77777777" w:rsidR="00E86883" w:rsidRPr="00E86883" w:rsidRDefault="00E86883" w:rsidP="00C51B65">
      <w:pPr>
        <w:spacing w:line="276" w:lineRule="auto"/>
        <w:contextualSpacing/>
        <w:rPr>
          <w:rFonts w:ascii="Arial" w:eastAsia="Calibri" w:hAnsi="Arial" w:cs="Arial"/>
          <w:b/>
          <w:sz w:val="22"/>
          <w:szCs w:val="22"/>
          <w:lang w:eastAsia="en-US"/>
        </w:rPr>
      </w:pPr>
    </w:p>
    <w:tbl>
      <w:tblPr>
        <w:tblStyle w:val="Mkatabulky"/>
        <w:tblW w:w="9288" w:type="dxa"/>
        <w:tblLook w:val="04A0" w:firstRow="1" w:lastRow="0" w:firstColumn="1" w:lastColumn="0" w:noHBand="0" w:noVBand="1"/>
      </w:tblPr>
      <w:tblGrid>
        <w:gridCol w:w="2802"/>
        <w:gridCol w:w="6486"/>
      </w:tblGrid>
      <w:tr w:rsidR="00E86883" w:rsidRPr="00E86883" w14:paraId="178E16B4" w14:textId="77777777" w:rsidTr="008D14FE">
        <w:tc>
          <w:tcPr>
            <w:tcW w:w="2802" w:type="dxa"/>
          </w:tcPr>
          <w:p w14:paraId="15BC3A58"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Název a označení indikátoru: </w:t>
            </w:r>
          </w:p>
        </w:tc>
        <w:tc>
          <w:tcPr>
            <w:tcW w:w="6486" w:type="dxa"/>
          </w:tcPr>
          <w:p w14:paraId="7116ECFA" w14:textId="77777777" w:rsidR="00E86883" w:rsidRPr="00E86883" w:rsidRDefault="00E86883" w:rsidP="00C51B65">
            <w:pPr>
              <w:spacing w:line="276" w:lineRule="auto"/>
              <w:contextualSpacing/>
              <w:rPr>
                <w:rFonts w:ascii="Arial" w:hAnsi="Arial" w:cs="Arial"/>
                <w:b/>
                <w:sz w:val="22"/>
                <w:szCs w:val="22"/>
                <w:highlight w:val="yellow"/>
              </w:rPr>
            </w:pPr>
            <w:r w:rsidRPr="00E86883">
              <w:rPr>
                <w:rFonts w:ascii="Arial" w:eastAsia="Calibri" w:hAnsi="Arial" w:cs="Arial"/>
                <w:b/>
                <w:sz w:val="22"/>
                <w:szCs w:val="22"/>
              </w:rPr>
              <w:t>2.1.2 Podíly 90/10, 90/50, 50/10 percentilu měsíční mzdy</w:t>
            </w:r>
          </w:p>
        </w:tc>
      </w:tr>
      <w:tr w:rsidR="00E86883" w:rsidRPr="00E86883" w14:paraId="495AE7F6" w14:textId="77777777" w:rsidTr="008D14FE">
        <w:tc>
          <w:tcPr>
            <w:tcW w:w="2802" w:type="dxa"/>
          </w:tcPr>
          <w:p w14:paraId="4109AFD0"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Stručná definice: </w:t>
            </w:r>
          </w:p>
        </w:tc>
        <w:tc>
          <w:tcPr>
            <w:tcW w:w="6486" w:type="dxa"/>
          </w:tcPr>
          <w:p w14:paraId="2BAA8FC9" w14:textId="77777777" w:rsidR="00E86883" w:rsidRPr="00E86883" w:rsidRDefault="00E86883" w:rsidP="00ED673D">
            <w:pPr>
              <w:spacing w:line="276" w:lineRule="auto"/>
              <w:jc w:val="both"/>
              <w:rPr>
                <w:rFonts w:ascii="Arial" w:hAnsi="Arial" w:cs="Arial"/>
                <w:sz w:val="22"/>
                <w:szCs w:val="22"/>
              </w:rPr>
            </w:pPr>
            <w:r w:rsidRPr="00E86883">
              <w:rPr>
                <w:rFonts w:ascii="Arial" w:hAnsi="Arial" w:cs="Arial"/>
                <w:sz w:val="22"/>
                <w:szCs w:val="22"/>
              </w:rPr>
              <w:t xml:space="preserve">Ukazuje polarizaci trhu práce na podílech </w:t>
            </w:r>
            <w:r w:rsidRPr="00E86883">
              <w:rPr>
                <w:rFonts w:ascii="Arial" w:eastAsia="Calibri" w:hAnsi="Arial" w:cs="Arial"/>
                <w:sz w:val="22"/>
                <w:szCs w:val="22"/>
              </w:rPr>
              <w:t>90/10, 90/50, 50/10 percentilu měsíční mzdy.</w:t>
            </w:r>
          </w:p>
        </w:tc>
      </w:tr>
      <w:tr w:rsidR="00E86883" w:rsidRPr="00E86883" w14:paraId="580B6C5A" w14:textId="77777777" w:rsidTr="008D14FE">
        <w:tc>
          <w:tcPr>
            <w:tcW w:w="2802" w:type="dxa"/>
          </w:tcPr>
          <w:p w14:paraId="3F81AF52" w14:textId="77777777" w:rsidR="00E86883" w:rsidRPr="00386488" w:rsidRDefault="00E86883" w:rsidP="00C51B65">
            <w:pPr>
              <w:spacing w:line="276" w:lineRule="auto"/>
              <w:rPr>
                <w:rFonts w:ascii="Arial" w:hAnsi="Arial" w:cs="Arial"/>
                <w:sz w:val="22"/>
                <w:szCs w:val="22"/>
              </w:rPr>
            </w:pPr>
            <w:r w:rsidRPr="00386488">
              <w:rPr>
                <w:rFonts w:ascii="Arial" w:hAnsi="Arial" w:cs="Arial"/>
                <w:sz w:val="22"/>
                <w:szCs w:val="22"/>
              </w:rPr>
              <w:t>Jednotka:</w:t>
            </w:r>
          </w:p>
        </w:tc>
        <w:tc>
          <w:tcPr>
            <w:tcW w:w="6486" w:type="dxa"/>
          </w:tcPr>
          <w:p w14:paraId="6D2FA64B" w14:textId="77777777" w:rsidR="00E86883" w:rsidRPr="00E86883" w:rsidRDefault="00E86883" w:rsidP="00ED673D">
            <w:pPr>
              <w:spacing w:line="276" w:lineRule="auto"/>
              <w:jc w:val="both"/>
              <w:rPr>
                <w:rFonts w:ascii="Arial" w:hAnsi="Arial" w:cs="Arial"/>
                <w:sz w:val="22"/>
                <w:szCs w:val="22"/>
              </w:rPr>
            </w:pPr>
            <w:r w:rsidRPr="00E86883">
              <w:rPr>
                <w:rFonts w:ascii="Arial" w:hAnsi="Arial" w:cs="Arial"/>
                <w:sz w:val="22"/>
                <w:szCs w:val="22"/>
              </w:rPr>
              <w:t>Kč</w:t>
            </w:r>
          </w:p>
        </w:tc>
      </w:tr>
      <w:tr w:rsidR="00E86883" w:rsidRPr="00E86883" w14:paraId="0E6BC8B4" w14:textId="77777777" w:rsidTr="008D14FE">
        <w:tc>
          <w:tcPr>
            <w:tcW w:w="2802" w:type="dxa"/>
          </w:tcPr>
          <w:p w14:paraId="4948A21F" w14:textId="77777777" w:rsidR="00E86883" w:rsidRPr="00386488" w:rsidRDefault="00E86883" w:rsidP="00C51B65">
            <w:pPr>
              <w:spacing w:line="276" w:lineRule="auto"/>
              <w:rPr>
                <w:rFonts w:ascii="Arial" w:hAnsi="Arial" w:cs="Arial"/>
                <w:sz w:val="22"/>
                <w:szCs w:val="22"/>
              </w:rPr>
            </w:pPr>
            <w:r w:rsidRPr="00386488">
              <w:rPr>
                <w:rFonts w:ascii="Arial" w:hAnsi="Arial" w:cs="Arial"/>
                <w:sz w:val="22"/>
                <w:szCs w:val="22"/>
              </w:rPr>
              <w:t xml:space="preserve">Gestor: </w:t>
            </w:r>
          </w:p>
        </w:tc>
        <w:tc>
          <w:tcPr>
            <w:tcW w:w="6486" w:type="dxa"/>
          </w:tcPr>
          <w:p w14:paraId="0280488C" w14:textId="77777777" w:rsidR="00E86883" w:rsidRPr="008F714A" w:rsidRDefault="000B6026" w:rsidP="00ED673D">
            <w:pPr>
              <w:spacing w:line="276" w:lineRule="auto"/>
              <w:jc w:val="both"/>
              <w:rPr>
                <w:rFonts w:ascii="Arial" w:hAnsi="Arial" w:cs="Arial"/>
                <w:sz w:val="22"/>
                <w:szCs w:val="22"/>
                <w:highlight w:val="yellow"/>
              </w:rPr>
            </w:pPr>
            <w:r w:rsidRPr="008F714A">
              <w:rPr>
                <w:rFonts w:ascii="Arial" w:eastAsiaTheme="minorHAnsi" w:hAnsi="Arial" w:cs="Arial"/>
                <w:color w:val="000000"/>
                <w:sz w:val="22"/>
                <w:szCs w:val="22"/>
                <w:lang w:eastAsia="en-US"/>
              </w:rPr>
              <w:t>Ministerstvo práce a sociálních věcí</w:t>
            </w:r>
          </w:p>
        </w:tc>
      </w:tr>
      <w:tr w:rsidR="00E86883" w:rsidRPr="00E86883" w14:paraId="39CF0EAD" w14:textId="77777777" w:rsidTr="008D14FE">
        <w:tc>
          <w:tcPr>
            <w:tcW w:w="2802" w:type="dxa"/>
          </w:tcPr>
          <w:p w14:paraId="57FF4A74" w14:textId="77777777" w:rsidR="00E86883" w:rsidRPr="00386488" w:rsidRDefault="00E86883" w:rsidP="00C51B65">
            <w:pPr>
              <w:spacing w:line="276" w:lineRule="auto"/>
              <w:rPr>
                <w:rFonts w:ascii="Arial" w:hAnsi="Arial" w:cs="Arial"/>
                <w:sz w:val="22"/>
                <w:szCs w:val="22"/>
              </w:rPr>
            </w:pPr>
            <w:r w:rsidRPr="00386488">
              <w:rPr>
                <w:rFonts w:ascii="Arial" w:hAnsi="Arial" w:cs="Arial"/>
                <w:sz w:val="22"/>
                <w:szCs w:val="22"/>
              </w:rPr>
              <w:t xml:space="preserve">Význam indikátoru: </w:t>
            </w:r>
          </w:p>
        </w:tc>
        <w:tc>
          <w:tcPr>
            <w:tcW w:w="6486" w:type="dxa"/>
          </w:tcPr>
          <w:p w14:paraId="77D8234C" w14:textId="77777777" w:rsidR="00E86883" w:rsidRPr="00E86883" w:rsidRDefault="00E86883" w:rsidP="00ED673D">
            <w:pPr>
              <w:spacing w:line="276" w:lineRule="auto"/>
              <w:jc w:val="both"/>
              <w:rPr>
                <w:rFonts w:ascii="Arial" w:hAnsi="Arial" w:cs="Arial"/>
                <w:sz w:val="22"/>
                <w:szCs w:val="22"/>
              </w:rPr>
            </w:pPr>
            <w:r w:rsidRPr="00E86883">
              <w:rPr>
                <w:rFonts w:ascii="Arial" w:hAnsi="Arial" w:cs="Arial"/>
                <w:sz w:val="22"/>
                <w:szCs w:val="22"/>
              </w:rPr>
              <w:t>Umožní sledovat vývoj mzdové nerovnosti ve společnosti</w:t>
            </w:r>
          </w:p>
        </w:tc>
      </w:tr>
      <w:tr w:rsidR="00E86883" w:rsidRPr="00E86883" w14:paraId="7596EAB4" w14:textId="77777777" w:rsidTr="008D14FE">
        <w:tc>
          <w:tcPr>
            <w:tcW w:w="2802" w:type="dxa"/>
          </w:tcPr>
          <w:p w14:paraId="5772C442" w14:textId="77777777" w:rsidR="00E86883" w:rsidRPr="00386488" w:rsidRDefault="00E86883" w:rsidP="00C51B65">
            <w:pPr>
              <w:spacing w:line="276" w:lineRule="auto"/>
              <w:rPr>
                <w:rFonts w:ascii="Arial" w:hAnsi="Arial" w:cs="Arial"/>
                <w:sz w:val="22"/>
                <w:szCs w:val="22"/>
              </w:rPr>
            </w:pPr>
            <w:r w:rsidRPr="00386488">
              <w:rPr>
                <w:rFonts w:ascii="Arial" w:hAnsi="Arial" w:cs="Arial"/>
                <w:sz w:val="22"/>
                <w:szCs w:val="22"/>
              </w:rPr>
              <w:t xml:space="preserve">Časová řada: </w:t>
            </w:r>
          </w:p>
        </w:tc>
        <w:tc>
          <w:tcPr>
            <w:tcW w:w="6486" w:type="dxa"/>
          </w:tcPr>
          <w:p w14:paraId="68E007C4" w14:textId="77777777" w:rsidR="00E86883" w:rsidRPr="00E86883" w:rsidRDefault="00E86883" w:rsidP="00ED673D">
            <w:pPr>
              <w:spacing w:line="276" w:lineRule="auto"/>
              <w:jc w:val="both"/>
              <w:rPr>
                <w:rFonts w:ascii="Arial" w:hAnsi="Arial" w:cs="Arial"/>
                <w:sz w:val="22"/>
                <w:szCs w:val="22"/>
              </w:rPr>
            </w:pPr>
            <w:r w:rsidRPr="00E86883">
              <w:rPr>
                <w:rFonts w:ascii="Arial" w:hAnsi="Arial" w:cs="Arial"/>
                <w:sz w:val="22"/>
                <w:szCs w:val="22"/>
              </w:rPr>
              <w:t>Od roku 1996</w:t>
            </w:r>
          </w:p>
        </w:tc>
      </w:tr>
      <w:tr w:rsidR="00E86883" w:rsidRPr="00E86883" w14:paraId="2A30102F" w14:textId="77777777" w:rsidTr="008D14FE">
        <w:tc>
          <w:tcPr>
            <w:tcW w:w="2802" w:type="dxa"/>
          </w:tcPr>
          <w:p w14:paraId="39B6E8F0"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Frekvence výstupu: </w:t>
            </w:r>
          </w:p>
        </w:tc>
        <w:tc>
          <w:tcPr>
            <w:tcW w:w="6486" w:type="dxa"/>
          </w:tcPr>
          <w:p w14:paraId="3913083E" w14:textId="77777777" w:rsidR="00E86883" w:rsidRPr="00E86883" w:rsidRDefault="00E86883" w:rsidP="00ED673D">
            <w:pPr>
              <w:spacing w:line="276" w:lineRule="auto"/>
              <w:jc w:val="both"/>
              <w:rPr>
                <w:rFonts w:ascii="Arial" w:hAnsi="Arial" w:cs="Arial"/>
                <w:sz w:val="22"/>
                <w:szCs w:val="22"/>
              </w:rPr>
            </w:pPr>
            <w:r w:rsidRPr="00E86883">
              <w:rPr>
                <w:rFonts w:ascii="Arial" w:hAnsi="Arial" w:cs="Arial"/>
                <w:sz w:val="22"/>
                <w:szCs w:val="22"/>
              </w:rPr>
              <w:t>Čtvrtletně (příp. ročně)</w:t>
            </w:r>
          </w:p>
        </w:tc>
      </w:tr>
      <w:tr w:rsidR="00E86883" w:rsidRPr="00E86883" w14:paraId="67A11BC1" w14:textId="77777777" w:rsidTr="008D14FE">
        <w:trPr>
          <w:trHeight w:val="70"/>
        </w:trPr>
        <w:tc>
          <w:tcPr>
            <w:tcW w:w="2802" w:type="dxa"/>
          </w:tcPr>
          <w:p w14:paraId="10E9B6DD"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Členění indikátoru: </w:t>
            </w:r>
          </w:p>
        </w:tc>
        <w:tc>
          <w:tcPr>
            <w:tcW w:w="6486" w:type="dxa"/>
          </w:tcPr>
          <w:p w14:paraId="71190351" w14:textId="50716AA2" w:rsidR="00E86883" w:rsidRPr="00E86883" w:rsidRDefault="00C34866" w:rsidP="00ED673D">
            <w:pPr>
              <w:pStyle w:val="Textkomente"/>
              <w:spacing w:line="276" w:lineRule="auto"/>
              <w:jc w:val="both"/>
              <w:rPr>
                <w:rFonts w:ascii="Arial" w:hAnsi="Arial" w:cs="Arial"/>
                <w:sz w:val="22"/>
                <w:szCs w:val="22"/>
              </w:rPr>
            </w:pPr>
            <w:r>
              <w:rPr>
                <w:rFonts w:ascii="Arial" w:hAnsi="Arial" w:cs="Arial"/>
                <w:sz w:val="22"/>
                <w:szCs w:val="22"/>
              </w:rPr>
              <w:t>Celostátně,</w:t>
            </w:r>
            <w:r w:rsidR="00E86883" w:rsidRPr="00E86883">
              <w:rPr>
                <w:rFonts w:ascii="Arial" w:hAnsi="Arial" w:cs="Arial"/>
                <w:sz w:val="22"/>
                <w:szCs w:val="22"/>
              </w:rPr>
              <w:t xml:space="preserve"> </w:t>
            </w:r>
            <w:r>
              <w:rPr>
                <w:rFonts w:ascii="Arial" w:hAnsi="Arial" w:cs="Arial"/>
                <w:sz w:val="22"/>
                <w:szCs w:val="22"/>
              </w:rPr>
              <w:t>dle krajů</w:t>
            </w:r>
          </w:p>
        </w:tc>
      </w:tr>
      <w:tr w:rsidR="00E86883" w:rsidRPr="00E86883" w14:paraId="50497F18" w14:textId="77777777" w:rsidTr="00ED673D">
        <w:trPr>
          <w:trHeight w:val="163"/>
        </w:trPr>
        <w:tc>
          <w:tcPr>
            <w:tcW w:w="2802" w:type="dxa"/>
          </w:tcPr>
          <w:p w14:paraId="2AB2B985"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Mezinárodní srovnání:</w:t>
            </w:r>
          </w:p>
        </w:tc>
        <w:tc>
          <w:tcPr>
            <w:tcW w:w="6486" w:type="dxa"/>
          </w:tcPr>
          <w:p w14:paraId="2583E734" w14:textId="619AE754" w:rsidR="00E86883" w:rsidRPr="00E86883" w:rsidRDefault="004B546D" w:rsidP="00ED673D">
            <w:pPr>
              <w:spacing w:line="276" w:lineRule="auto"/>
              <w:jc w:val="both"/>
              <w:rPr>
                <w:rFonts w:ascii="Arial" w:hAnsi="Arial" w:cs="Arial"/>
                <w:sz w:val="22"/>
                <w:szCs w:val="22"/>
              </w:rPr>
            </w:pPr>
            <w:r w:rsidRPr="004B546D">
              <w:rPr>
                <w:rFonts w:ascii="Arial" w:hAnsi="Arial" w:cs="Arial"/>
                <w:sz w:val="22"/>
                <w:szCs w:val="22"/>
              </w:rPr>
              <w:t>Indikátory světového rozvoje</w:t>
            </w:r>
            <w:r>
              <w:rPr>
                <w:rFonts w:ascii="Arial" w:hAnsi="Arial" w:cs="Arial"/>
                <w:sz w:val="22"/>
                <w:szCs w:val="22"/>
              </w:rPr>
              <w:t xml:space="preserve"> (Světová banka)</w:t>
            </w:r>
            <w:r w:rsidR="00E86883" w:rsidRPr="00E86883">
              <w:rPr>
                <w:rFonts w:ascii="Arial" w:hAnsi="Arial" w:cs="Arial"/>
                <w:sz w:val="22"/>
                <w:szCs w:val="22"/>
              </w:rPr>
              <w:t xml:space="preserve">, </w:t>
            </w:r>
            <w:proofErr w:type="spellStart"/>
            <w:r w:rsidR="008F714A">
              <w:rPr>
                <w:rFonts w:ascii="Arial" w:hAnsi="Arial" w:cs="Arial"/>
                <w:sz w:val="22"/>
                <w:szCs w:val="22"/>
              </w:rPr>
              <w:t>Eurostat</w:t>
            </w:r>
            <w:proofErr w:type="spellEnd"/>
          </w:p>
        </w:tc>
      </w:tr>
    </w:tbl>
    <w:p w14:paraId="2E9DA751" w14:textId="77777777" w:rsidR="00E86883" w:rsidRPr="00682DAD" w:rsidRDefault="008F714A" w:rsidP="00FB6CF6">
      <w:pPr>
        <w:pStyle w:val="r2030podcle"/>
        <w:numPr>
          <w:ilvl w:val="1"/>
          <w:numId w:val="17"/>
        </w:numPr>
        <w:ind w:left="567" w:hanging="425"/>
        <w:jc w:val="both"/>
      </w:pPr>
      <w:r w:rsidRPr="008F714A">
        <w:t>Přístup k důstojné práci se rozšiřuje i pro skupiny, které jsou na trhu práce dosud znevýhodn</w:t>
      </w:r>
      <w:r>
        <w:t>ěné – rodiče na rodičovské dovo</w:t>
      </w:r>
      <w:r w:rsidRPr="008F714A">
        <w:t>lené, osoby se zdravotním postižením nebo osoby starší 50 let.</w:t>
      </w:r>
    </w:p>
    <w:tbl>
      <w:tblPr>
        <w:tblStyle w:val="Mkatabulky"/>
        <w:tblW w:w="0" w:type="auto"/>
        <w:tblLook w:val="04A0" w:firstRow="1" w:lastRow="0" w:firstColumn="1" w:lastColumn="0" w:noHBand="0" w:noVBand="1"/>
      </w:tblPr>
      <w:tblGrid>
        <w:gridCol w:w="2802"/>
        <w:gridCol w:w="6486"/>
      </w:tblGrid>
      <w:tr w:rsidR="00E86883" w:rsidRPr="00E86883" w14:paraId="629C1F99"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7128A1F8"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Název a označení indikátoru: </w:t>
            </w:r>
          </w:p>
        </w:tc>
        <w:tc>
          <w:tcPr>
            <w:tcW w:w="6486" w:type="dxa"/>
            <w:tcBorders>
              <w:top w:val="single" w:sz="4" w:space="0" w:color="auto"/>
              <w:left w:val="single" w:sz="4" w:space="0" w:color="auto"/>
              <w:bottom w:val="single" w:sz="4" w:space="0" w:color="auto"/>
              <w:right w:val="single" w:sz="4" w:space="0" w:color="auto"/>
            </w:tcBorders>
            <w:hideMark/>
          </w:tcPr>
          <w:p w14:paraId="3EDA953D" w14:textId="77777777" w:rsidR="00E86883" w:rsidRPr="00E86883" w:rsidRDefault="00E86883" w:rsidP="00C51B65">
            <w:pPr>
              <w:spacing w:line="276" w:lineRule="auto"/>
              <w:rPr>
                <w:rFonts w:ascii="Arial" w:hAnsi="Arial" w:cs="Arial"/>
                <w:b/>
                <w:sz w:val="22"/>
                <w:szCs w:val="22"/>
                <w:lang w:eastAsia="en-US"/>
              </w:rPr>
            </w:pPr>
            <w:r w:rsidRPr="00E86883">
              <w:rPr>
                <w:rFonts w:ascii="Arial" w:eastAsiaTheme="minorHAnsi" w:hAnsi="Arial" w:cs="Arial"/>
                <w:b/>
                <w:sz w:val="22"/>
                <w:szCs w:val="22"/>
                <w:lang w:eastAsia="en-US"/>
              </w:rPr>
              <w:t>2.2.1 Míra zaměstnanosti uvedených skupin</w:t>
            </w:r>
          </w:p>
        </w:tc>
      </w:tr>
      <w:tr w:rsidR="00E86883" w:rsidRPr="00E86883" w14:paraId="62D45838"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1A7513A4"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Stručná definice: </w:t>
            </w:r>
          </w:p>
        </w:tc>
        <w:tc>
          <w:tcPr>
            <w:tcW w:w="6486" w:type="dxa"/>
            <w:tcBorders>
              <w:top w:val="single" w:sz="4" w:space="0" w:color="auto"/>
              <w:left w:val="single" w:sz="4" w:space="0" w:color="auto"/>
              <w:bottom w:val="single" w:sz="4" w:space="0" w:color="auto"/>
              <w:right w:val="single" w:sz="4" w:space="0" w:color="auto"/>
            </w:tcBorders>
            <w:hideMark/>
          </w:tcPr>
          <w:p w14:paraId="187F3300"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Indikátor je definován jako podíl zaměstnaných</w:t>
            </w:r>
            <w:r w:rsidR="00386488">
              <w:rPr>
                <w:rFonts w:ascii="Arial" w:hAnsi="Arial" w:cs="Arial"/>
                <w:sz w:val="22"/>
                <w:szCs w:val="22"/>
                <w:lang w:eastAsia="en-US"/>
              </w:rPr>
              <w:t xml:space="preserve"> </w:t>
            </w:r>
            <w:r w:rsidRPr="00E86883">
              <w:rPr>
                <w:rFonts w:ascii="Arial" w:hAnsi="Arial" w:cs="Arial"/>
                <w:sz w:val="22"/>
                <w:szCs w:val="22"/>
                <w:lang w:eastAsia="en-US"/>
              </w:rPr>
              <w:t xml:space="preserve">osob dle jednotlivých skupin </w:t>
            </w:r>
            <w:proofErr w:type="gramStart"/>
            <w:r w:rsidRPr="00E86883">
              <w:rPr>
                <w:rFonts w:ascii="Arial" w:hAnsi="Arial" w:cs="Arial"/>
                <w:sz w:val="22"/>
                <w:szCs w:val="22"/>
                <w:lang w:eastAsia="en-US"/>
              </w:rPr>
              <w:t>ku</w:t>
            </w:r>
            <w:proofErr w:type="gramEnd"/>
            <w:r w:rsidRPr="00E86883">
              <w:rPr>
                <w:rFonts w:ascii="Arial" w:hAnsi="Arial" w:cs="Arial"/>
                <w:sz w:val="22"/>
                <w:szCs w:val="22"/>
                <w:lang w:eastAsia="en-US"/>
              </w:rPr>
              <w:t xml:space="preserve"> počtu všech osob v těchto skupinách</w:t>
            </w:r>
            <w:r w:rsidR="008F714A">
              <w:rPr>
                <w:rFonts w:ascii="Arial" w:hAnsi="Arial" w:cs="Arial"/>
                <w:sz w:val="22"/>
                <w:szCs w:val="22"/>
                <w:lang w:eastAsia="en-US"/>
              </w:rPr>
              <w:t>.</w:t>
            </w:r>
            <w:r w:rsidRPr="00E86883">
              <w:rPr>
                <w:rFonts w:ascii="Arial" w:hAnsi="Arial" w:cs="Arial"/>
                <w:sz w:val="22"/>
                <w:szCs w:val="22"/>
                <w:lang w:eastAsia="en-US"/>
              </w:rPr>
              <w:t xml:space="preserve"> </w:t>
            </w:r>
          </w:p>
        </w:tc>
      </w:tr>
      <w:tr w:rsidR="00E86883" w:rsidRPr="00E86883" w14:paraId="19E8107C"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074958A7"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Jednotka:</w:t>
            </w:r>
          </w:p>
        </w:tc>
        <w:tc>
          <w:tcPr>
            <w:tcW w:w="6486" w:type="dxa"/>
            <w:tcBorders>
              <w:top w:val="single" w:sz="4" w:space="0" w:color="auto"/>
              <w:left w:val="single" w:sz="4" w:space="0" w:color="auto"/>
              <w:bottom w:val="single" w:sz="4" w:space="0" w:color="auto"/>
              <w:right w:val="single" w:sz="4" w:space="0" w:color="auto"/>
            </w:tcBorders>
            <w:hideMark/>
          </w:tcPr>
          <w:p w14:paraId="23DABF42"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Podíl (v %)</w:t>
            </w:r>
          </w:p>
        </w:tc>
      </w:tr>
      <w:tr w:rsidR="00E86883" w:rsidRPr="00E86883" w14:paraId="3A9FDB8E"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76CD1FCA"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Gestor: </w:t>
            </w:r>
          </w:p>
        </w:tc>
        <w:tc>
          <w:tcPr>
            <w:tcW w:w="6486" w:type="dxa"/>
            <w:tcBorders>
              <w:top w:val="single" w:sz="4" w:space="0" w:color="auto"/>
              <w:left w:val="single" w:sz="4" w:space="0" w:color="auto"/>
              <w:bottom w:val="single" w:sz="4" w:space="0" w:color="auto"/>
              <w:right w:val="single" w:sz="4" w:space="0" w:color="auto"/>
            </w:tcBorders>
            <w:hideMark/>
          </w:tcPr>
          <w:p w14:paraId="364971CF"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Český statistický úřad</w:t>
            </w:r>
          </w:p>
        </w:tc>
      </w:tr>
      <w:tr w:rsidR="00E86883" w:rsidRPr="00E86883" w14:paraId="1A5DBB31"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21B6A9C2"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Význam indikátoru: </w:t>
            </w:r>
          </w:p>
        </w:tc>
        <w:tc>
          <w:tcPr>
            <w:tcW w:w="6486" w:type="dxa"/>
            <w:tcBorders>
              <w:top w:val="single" w:sz="4" w:space="0" w:color="auto"/>
              <w:left w:val="single" w:sz="4" w:space="0" w:color="auto"/>
              <w:bottom w:val="single" w:sz="4" w:space="0" w:color="auto"/>
              <w:right w:val="single" w:sz="4" w:space="0" w:color="auto"/>
            </w:tcBorders>
            <w:hideMark/>
          </w:tcPr>
          <w:p w14:paraId="779B42C7"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Vyjadřuje míru zaměstnanosti ve skupinách, které jsou ohrožené růstem nezaměstnanosti a chudobou. Indikátor patří mezi strukturální ukaz</w:t>
            </w:r>
            <w:r w:rsidR="00C3526B">
              <w:rPr>
                <w:rFonts w:ascii="Arial" w:hAnsi="Arial" w:cs="Arial"/>
                <w:sz w:val="22"/>
                <w:szCs w:val="22"/>
                <w:lang w:eastAsia="en-US"/>
              </w:rPr>
              <w:t>atele za oblast zaměstnanosti a </w:t>
            </w:r>
            <w:r w:rsidRPr="00E86883">
              <w:rPr>
                <w:rFonts w:ascii="Arial" w:hAnsi="Arial" w:cs="Arial"/>
                <w:sz w:val="22"/>
                <w:szCs w:val="22"/>
                <w:lang w:eastAsia="en-US"/>
              </w:rPr>
              <w:t>sociálního začlenění.</w:t>
            </w:r>
          </w:p>
        </w:tc>
      </w:tr>
      <w:tr w:rsidR="00E86883" w:rsidRPr="00E86883" w14:paraId="2896133E"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18E2F3AF"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Časová řada: </w:t>
            </w:r>
          </w:p>
        </w:tc>
        <w:tc>
          <w:tcPr>
            <w:tcW w:w="6486" w:type="dxa"/>
            <w:tcBorders>
              <w:top w:val="single" w:sz="4" w:space="0" w:color="auto"/>
              <w:left w:val="single" w:sz="4" w:space="0" w:color="auto"/>
              <w:bottom w:val="single" w:sz="4" w:space="0" w:color="auto"/>
              <w:right w:val="single" w:sz="4" w:space="0" w:color="auto"/>
            </w:tcBorders>
          </w:tcPr>
          <w:p w14:paraId="55AB52D8"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Dosud neexistuje</w:t>
            </w:r>
          </w:p>
        </w:tc>
      </w:tr>
      <w:tr w:rsidR="00E86883" w:rsidRPr="00E86883" w14:paraId="5764CCF8"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206D0525"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Frekvence výstupu: </w:t>
            </w:r>
          </w:p>
        </w:tc>
        <w:tc>
          <w:tcPr>
            <w:tcW w:w="6486" w:type="dxa"/>
            <w:tcBorders>
              <w:top w:val="single" w:sz="4" w:space="0" w:color="auto"/>
              <w:left w:val="single" w:sz="4" w:space="0" w:color="auto"/>
              <w:bottom w:val="single" w:sz="4" w:space="0" w:color="auto"/>
              <w:right w:val="single" w:sz="4" w:space="0" w:color="auto"/>
            </w:tcBorders>
            <w:hideMark/>
          </w:tcPr>
          <w:p w14:paraId="116B2B32"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Ročně</w:t>
            </w:r>
          </w:p>
        </w:tc>
      </w:tr>
      <w:tr w:rsidR="00E86883" w:rsidRPr="00E86883" w14:paraId="53B614DE" w14:textId="77777777" w:rsidTr="008D14FE">
        <w:trPr>
          <w:trHeight w:val="70"/>
        </w:trPr>
        <w:tc>
          <w:tcPr>
            <w:tcW w:w="2802" w:type="dxa"/>
            <w:tcBorders>
              <w:top w:val="single" w:sz="4" w:space="0" w:color="auto"/>
              <w:left w:val="single" w:sz="4" w:space="0" w:color="auto"/>
              <w:bottom w:val="single" w:sz="4" w:space="0" w:color="auto"/>
              <w:right w:val="single" w:sz="4" w:space="0" w:color="auto"/>
            </w:tcBorders>
            <w:hideMark/>
          </w:tcPr>
          <w:p w14:paraId="51181B96"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Členění indikátoru: </w:t>
            </w:r>
          </w:p>
        </w:tc>
        <w:tc>
          <w:tcPr>
            <w:tcW w:w="6486" w:type="dxa"/>
            <w:tcBorders>
              <w:top w:val="single" w:sz="4" w:space="0" w:color="auto"/>
              <w:left w:val="single" w:sz="4" w:space="0" w:color="auto"/>
              <w:bottom w:val="single" w:sz="4" w:space="0" w:color="auto"/>
              <w:right w:val="single" w:sz="4" w:space="0" w:color="auto"/>
            </w:tcBorders>
            <w:hideMark/>
          </w:tcPr>
          <w:p w14:paraId="24E72D00" w14:textId="238B450F"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rPr>
              <w:t xml:space="preserve">Osoby pečující o dítě nebo dospělou </w:t>
            </w:r>
            <w:r w:rsidR="008F714A" w:rsidRPr="00E86883">
              <w:rPr>
                <w:rFonts w:ascii="Arial" w:hAnsi="Arial" w:cs="Arial"/>
                <w:sz w:val="22"/>
                <w:szCs w:val="22"/>
              </w:rPr>
              <w:t xml:space="preserve">osobu </w:t>
            </w:r>
            <w:r w:rsidRPr="00E86883">
              <w:rPr>
                <w:rFonts w:ascii="Arial" w:hAnsi="Arial" w:cs="Arial"/>
                <w:sz w:val="22"/>
                <w:szCs w:val="22"/>
              </w:rPr>
              <w:t xml:space="preserve">vyžadující péči; osoby se zdravotním postižením; osoby starší 50 let včetně seniorů; </w:t>
            </w:r>
            <w:r w:rsidR="00C34866">
              <w:rPr>
                <w:rFonts w:ascii="Arial" w:hAnsi="Arial" w:cs="Arial"/>
                <w:sz w:val="22"/>
                <w:szCs w:val="22"/>
              </w:rPr>
              <w:t xml:space="preserve">dle </w:t>
            </w:r>
            <w:r w:rsidRPr="00E86883">
              <w:rPr>
                <w:rFonts w:ascii="Arial" w:hAnsi="Arial" w:cs="Arial"/>
                <w:sz w:val="22"/>
                <w:szCs w:val="22"/>
              </w:rPr>
              <w:t>pohlaví.</w:t>
            </w:r>
          </w:p>
        </w:tc>
      </w:tr>
      <w:tr w:rsidR="00E86883" w:rsidRPr="00E86883" w14:paraId="246BE0B2" w14:textId="77777777" w:rsidTr="008D14FE">
        <w:trPr>
          <w:trHeight w:val="70"/>
        </w:trPr>
        <w:tc>
          <w:tcPr>
            <w:tcW w:w="2802" w:type="dxa"/>
            <w:tcBorders>
              <w:top w:val="single" w:sz="4" w:space="0" w:color="auto"/>
              <w:left w:val="single" w:sz="4" w:space="0" w:color="auto"/>
              <w:bottom w:val="single" w:sz="4" w:space="0" w:color="auto"/>
              <w:right w:val="single" w:sz="4" w:space="0" w:color="auto"/>
            </w:tcBorders>
            <w:hideMark/>
          </w:tcPr>
          <w:p w14:paraId="0B4B6783"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Mezinárodní srovnání:</w:t>
            </w:r>
          </w:p>
        </w:tc>
        <w:tc>
          <w:tcPr>
            <w:tcW w:w="6486" w:type="dxa"/>
            <w:tcBorders>
              <w:top w:val="single" w:sz="4" w:space="0" w:color="auto"/>
              <w:left w:val="single" w:sz="4" w:space="0" w:color="auto"/>
              <w:bottom w:val="single" w:sz="4" w:space="0" w:color="auto"/>
              <w:right w:val="single" w:sz="4" w:space="0" w:color="auto"/>
            </w:tcBorders>
          </w:tcPr>
          <w:p w14:paraId="66CEBE6A" w14:textId="77777777" w:rsidR="00E86883" w:rsidRPr="00E86883" w:rsidRDefault="00DC29DF" w:rsidP="00C51B65">
            <w:pPr>
              <w:spacing w:line="276" w:lineRule="auto"/>
              <w:rPr>
                <w:rFonts w:ascii="Arial" w:hAnsi="Arial" w:cs="Arial"/>
                <w:sz w:val="22"/>
                <w:szCs w:val="22"/>
                <w:lang w:eastAsia="en-US"/>
              </w:rPr>
            </w:pPr>
            <w:r>
              <w:rPr>
                <w:rFonts w:ascii="Arial" w:hAnsi="Arial" w:cs="Arial"/>
                <w:sz w:val="22"/>
                <w:szCs w:val="22"/>
                <w:lang w:eastAsia="en-US"/>
              </w:rPr>
              <w:t>-</w:t>
            </w:r>
          </w:p>
        </w:tc>
      </w:tr>
    </w:tbl>
    <w:p w14:paraId="5997CDA0" w14:textId="77777777" w:rsidR="00682DAD" w:rsidRDefault="00682DAD" w:rsidP="00C51B65">
      <w:pPr>
        <w:pStyle w:val="normisl"/>
        <w:spacing w:after="0" w:line="276" w:lineRule="auto"/>
      </w:pPr>
    </w:p>
    <w:p w14:paraId="2FB85F79" w14:textId="794A93AF" w:rsidR="00E86883" w:rsidRPr="00682DAD" w:rsidRDefault="008F714A" w:rsidP="00ED673D">
      <w:pPr>
        <w:pStyle w:val="r2030podcle"/>
        <w:numPr>
          <w:ilvl w:val="1"/>
          <w:numId w:val="17"/>
        </w:numPr>
        <w:tabs>
          <w:tab w:val="left" w:pos="567"/>
        </w:tabs>
        <w:ind w:left="567" w:hanging="425"/>
        <w:jc w:val="both"/>
      </w:pPr>
      <w:r w:rsidRPr="008F714A">
        <w:t>S obecnou mírou nezaměstnanosti se zár</w:t>
      </w:r>
      <w:r>
        <w:t xml:space="preserve">oveň snižuje i podíl dlouhodobě </w:t>
      </w:r>
      <w:r w:rsidRPr="008F714A">
        <w:t>nezaměstnaných na celkové nezaměstnanosti.</w:t>
      </w:r>
    </w:p>
    <w:tbl>
      <w:tblPr>
        <w:tblStyle w:val="Mkatabulky"/>
        <w:tblW w:w="0" w:type="auto"/>
        <w:tblLook w:val="04A0" w:firstRow="1" w:lastRow="0" w:firstColumn="1" w:lastColumn="0" w:noHBand="0" w:noVBand="1"/>
      </w:tblPr>
      <w:tblGrid>
        <w:gridCol w:w="2802"/>
        <w:gridCol w:w="6486"/>
      </w:tblGrid>
      <w:tr w:rsidR="00E86883" w:rsidRPr="00E86883" w14:paraId="731E1681"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4F337175"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Název a označení indikátoru: </w:t>
            </w:r>
          </w:p>
        </w:tc>
        <w:tc>
          <w:tcPr>
            <w:tcW w:w="6486" w:type="dxa"/>
            <w:tcBorders>
              <w:top w:val="single" w:sz="4" w:space="0" w:color="auto"/>
              <w:left w:val="single" w:sz="4" w:space="0" w:color="auto"/>
              <w:bottom w:val="single" w:sz="4" w:space="0" w:color="auto"/>
              <w:right w:val="single" w:sz="4" w:space="0" w:color="auto"/>
            </w:tcBorders>
            <w:hideMark/>
          </w:tcPr>
          <w:p w14:paraId="039480CE" w14:textId="77777777" w:rsidR="00E86883" w:rsidRPr="00E86883" w:rsidRDefault="00E86883" w:rsidP="00C51B65">
            <w:pPr>
              <w:spacing w:line="276" w:lineRule="auto"/>
              <w:rPr>
                <w:rFonts w:ascii="Arial" w:hAnsi="Arial" w:cs="Arial"/>
                <w:b/>
                <w:sz w:val="22"/>
                <w:szCs w:val="22"/>
                <w:lang w:eastAsia="en-US"/>
              </w:rPr>
            </w:pPr>
            <w:r w:rsidRPr="00E86883">
              <w:rPr>
                <w:rFonts w:ascii="Arial" w:eastAsia="Calibri" w:hAnsi="Arial" w:cs="Arial"/>
                <w:b/>
                <w:sz w:val="22"/>
                <w:szCs w:val="22"/>
                <w:lang w:eastAsia="en-US"/>
              </w:rPr>
              <w:t xml:space="preserve">2.3.1 Obecná míra nezaměstnanosti </w:t>
            </w:r>
          </w:p>
        </w:tc>
      </w:tr>
      <w:tr w:rsidR="00E86883" w:rsidRPr="00E86883" w14:paraId="24B96243"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6452517D"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lastRenderedPageBreak/>
              <w:t xml:space="preserve">Stručná definice: </w:t>
            </w:r>
          </w:p>
        </w:tc>
        <w:tc>
          <w:tcPr>
            <w:tcW w:w="6486" w:type="dxa"/>
            <w:tcBorders>
              <w:top w:val="single" w:sz="4" w:space="0" w:color="auto"/>
              <w:left w:val="single" w:sz="4" w:space="0" w:color="auto"/>
              <w:bottom w:val="single" w:sz="4" w:space="0" w:color="auto"/>
              <w:right w:val="single" w:sz="4" w:space="0" w:color="auto"/>
            </w:tcBorders>
            <w:hideMark/>
          </w:tcPr>
          <w:p w14:paraId="450D27B7"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Indikátor je definován jako podíl nezaměstnaných osob na pracovní síle ve věkové skupině 15-64 let.</w:t>
            </w:r>
          </w:p>
        </w:tc>
      </w:tr>
      <w:tr w:rsidR="00E86883" w:rsidRPr="00E86883" w14:paraId="15FF8973"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76FB6274"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Jednotka:</w:t>
            </w:r>
          </w:p>
        </w:tc>
        <w:tc>
          <w:tcPr>
            <w:tcW w:w="6486" w:type="dxa"/>
            <w:tcBorders>
              <w:top w:val="single" w:sz="4" w:space="0" w:color="auto"/>
              <w:left w:val="single" w:sz="4" w:space="0" w:color="auto"/>
              <w:bottom w:val="single" w:sz="4" w:space="0" w:color="auto"/>
              <w:right w:val="single" w:sz="4" w:space="0" w:color="auto"/>
            </w:tcBorders>
            <w:hideMark/>
          </w:tcPr>
          <w:p w14:paraId="24FCEC3C"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Podíl (v %)</w:t>
            </w:r>
          </w:p>
        </w:tc>
      </w:tr>
      <w:tr w:rsidR="00E86883" w:rsidRPr="00E86883" w14:paraId="0250DA36"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0748B77B"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Gestor: </w:t>
            </w:r>
          </w:p>
        </w:tc>
        <w:tc>
          <w:tcPr>
            <w:tcW w:w="6486" w:type="dxa"/>
            <w:tcBorders>
              <w:top w:val="single" w:sz="4" w:space="0" w:color="auto"/>
              <w:left w:val="single" w:sz="4" w:space="0" w:color="auto"/>
              <w:bottom w:val="single" w:sz="4" w:space="0" w:color="auto"/>
              <w:right w:val="single" w:sz="4" w:space="0" w:color="auto"/>
            </w:tcBorders>
            <w:hideMark/>
          </w:tcPr>
          <w:p w14:paraId="0BB38DBA"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Český statistický úřad</w:t>
            </w:r>
          </w:p>
        </w:tc>
      </w:tr>
      <w:tr w:rsidR="00E86883" w:rsidRPr="00E86883" w14:paraId="2E65E53D"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72D00196"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Význam indikátoru: </w:t>
            </w:r>
          </w:p>
        </w:tc>
        <w:tc>
          <w:tcPr>
            <w:tcW w:w="6486" w:type="dxa"/>
            <w:tcBorders>
              <w:top w:val="single" w:sz="4" w:space="0" w:color="auto"/>
              <w:left w:val="single" w:sz="4" w:space="0" w:color="auto"/>
              <w:bottom w:val="single" w:sz="4" w:space="0" w:color="auto"/>
              <w:right w:val="single" w:sz="4" w:space="0" w:color="auto"/>
            </w:tcBorders>
            <w:hideMark/>
          </w:tcPr>
          <w:p w14:paraId="30D9CBA2"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Vyjadřuje celkovou míru nezaměstnanosti</w:t>
            </w:r>
            <w:r w:rsidR="00C3526B">
              <w:rPr>
                <w:rFonts w:ascii="Arial" w:hAnsi="Arial" w:cs="Arial"/>
                <w:sz w:val="22"/>
                <w:szCs w:val="22"/>
                <w:lang w:eastAsia="en-US"/>
              </w:rPr>
              <w:t xml:space="preserve"> </w:t>
            </w:r>
            <w:r w:rsidRPr="00E86883">
              <w:rPr>
                <w:rFonts w:ascii="Arial" w:hAnsi="Arial" w:cs="Arial"/>
                <w:sz w:val="22"/>
                <w:szCs w:val="22"/>
                <w:lang w:eastAsia="en-US"/>
              </w:rPr>
              <w:t>a jako takový je považován za klíčový pro sociální pilíř udržitelného rozvoje.</w:t>
            </w:r>
          </w:p>
        </w:tc>
      </w:tr>
      <w:tr w:rsidR="00E86883" w:rsidRPr="00E86883" w14:paraId="73DF110F"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16181168"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Časová řada: </w:t>
            </w:r>
          </w:p>
        </w:tc>
        <w:tc>
          <w:tcPr>
            <w:tcW w:w="6486" w:type="dxa"/>
            <w:tcBorders>
              <w:top w:val="single" w:sz="4" w:space="0" w:color="auto"/>
              <w:left w:val="single" w:sz="4" w:space="0" w:color="auto"/>
              <w:bottom w:val="single" w:sz="4" w:space="0" w:color="auto"/>
              <w:right w:val="single" w:sz="4" w:space="0" w:color="auto"/>
            </w:tcBorders>
            <w:hideMark/>
          </w:tcPr>
          <w:p w14:paraId="346077C2"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 xml:space="preserve">Od </w:t>
            </w:r>
            <w:r w:rsidR="008F714A">
              <w:rPr>
                <w:rFonts w:ascii="Arial" w:hAnsi="Arial" w:cs="Arial"/>
                <w:sz w:val="22"/>
                <w:szCs w:val="22"/>
                <w:lang w:eastAsia="en-US"/>
              </w:rPr>
              <w:t xml:space="preserve">roku </w:t>
            </w:r>
            <w:r w:rsidRPr="00E86883">
              <w:rPr>
                <w:rFonts w:ascii="Arial" w:hAnsi="Arial" w:cs="Arial"/>
                <w:sz w:val="22"/>
                <w:szCs w:val="22"/>
                <w:lang w:eastAsia="en-US"/>
              </w:rPr>
              <w:t>1993</w:t>
            </w:r>
          </w:p>
        </w:tc>
      </w:tr>
      <w:tr w:rsidR="00E86883" w:rsidRPr="00E86883" w14:paraId="507D1BD5"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4F9E6682"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Frekvence výstupu: </w:t>
            </w:r>
          </w:p>
        </w:tc>
        <w:tc>
          <w:tcPr>
            <w:tcW w:w="6486" w:type="dxa"/>
            <w:tcBorders>
              <w:top w:val="single" w:sz="4" w:space="0" w:color="auto"/>
              <w:left w:val="single" w:sz="4" w:space="0" w:color="auto"/>
              <w:bottom w:val="single" w:sz="4" w:space="0" w:color="auto"/>
              <w:right w:val="single" w:sz="4" w:space="0" w:color="auto"/>
            </w:tcBorders>
            <w:hideMark/>
          </w:tcPr>
          <w:p w14:paraId="0ACF5F06"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Čtvrtletně</w:t>
            </w:r>
          </w:p>
        </w:tc>
      </w:tr>
      <w:tr w:rsidR="00E86883" w:rsidRPr="00E86883" w14:paraId="013298A8" w14:textId="77777777" w:rsidTr="008D14FE">
        <w:trPr>
          <w:trHeight w:val="70"/>
        </w:trPr>
        <w:tc>
          <w:tcPr>
            <w:tcW w:w="2802" w:type="dxa"/>
            <w:tcBorders>
              <w:top w:val="single" w:sz="4" w:space="0" w:color="auto"/>
              <w:left w:val="single" w:sz="4" w:space="0" w:color="auto"/>
              <w:bottom w:val="single" w:sz="4" w:space="0" w:color="auto"/>
              <w:right w:val="single" w:sz="4" w:space="0" w:color="auto"/>
            </w:tcBorders>
            <w:hideMark/>
          </w:tcPr>
          <w:p w14:paraId="6AA18C20"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Členění indikátoru: </w:t>
            </w:r>
          </w:p>
        </w:tc>
        <w:tc>
          <w:tcPr>
            <w:tcW w:w="6486" w:type="dxa"/>
            <w:tcBorders>
              <w:top w:val="single" w:sz="4" w:space="0" w:color="auto"/>
              <w:left w:val="single" w:sz="4" w:space="0" w:color="auto"/>
              <w:bottom w:val="single" w:sz="4" w:space="0" w:color="auto"/>
              <w:right w:val="single" w:sz="4" w:space="0" w:color="auto"/>
            </w:tcBorders>
            <w:hideMark/>
          </w:tcPr>
          <w:p w14:paraId="528987FB" w14:textId="1C9F2100" w:rsidR="00E86883" w:rsidRPr="00E86883" w:rsidRDefault="00C34866" w:rsidP="00BE1309">
            <w:pPr>
              <w:spacing w:line="276" w:lineRule="auto"/>
              <w:jc w:val="both"/>
              <w:rPr>
                <w:rFonts w:ascii="Arial" w:hAnsi="Arial" w:cs="Arial"/>
                <w:sz w:val="22"/>
                <w:szCs w:val="22"/>
                <w:lang w:eastAsia="en-US"/>
              </w:rPr>
            </w:pPr>
            <w:r>
              <w:rPr>
                <w:rFonts w:ascii="Arial" w:hAnsi="Arial" w:cs="Arial"/>
                <w:sz w:val="22"/>
                <w:szCs w:val="22"/>
                <w:lang w:eastAsia="en-US"/>
              </w:rPr>
              <w:t>Regionálně, dle pohlaví,</w:t>
            </w:r>
            <w:r w:rsidR="00E86883" w:rsidRPr="00E86883">
              <w:rPr>
                <w:rFonts w:ascii="Arial" w:hAnsi="Arial" w:cs="Arial"/>
                <w:sz w:val="22"/>
                <w:szCs w:val="22"/>
                <w:lang w:eastAsia="en-US"/>
              </w:rPr>
              <w:t xml:space="preserve"> vzdělání, dlouhodobá ne</w:t>
            </w:r>
            <w:r>
              <w:rPr>
                <w:rFonts w:ascii="Arial" w:hAnsi="Arial" w:cs="Arial"/>
                <w:sz w:val="22"/>
                <w:szCs w:val="22"/>
                <w:lang w:eastAsia="en-US"/>
              </w:rPr>
              <w:t>zaměstnanost (tj. 1 rok a více).</w:t>
            </w:r>
          </w:p>
        </w:tc>
      </w:tr>
      <w:tr w:rsidR="00E86883" w:rsidRPr="00E86883" w14:paraId="28B71E75" w14:textId="77777777" w:rsidTr="008D14FE">
        <w:trPr>
          <w:trHeight w:val="70"/>
        </w:trPr>
        <w:tc>
          <w:tcPr>
            <w:tcW w:w="2802" w:type="dxa"/>
            <w:tcBorders>
              <w:top w:val="single" w:sz="4" w:space="0" w:color="auto"/>
              <w:left w:val="single" w:sz="4" w:space="0" w:color="auto"/>
              <w:bottom w:val="single" w:sz="4" w:space="0" w:color="auto"/>
              <w:right w:val="single" w:sz="4" w:space="0" w:color="auto"/>
            </w:tcBorders>
            <w:hideMark/>
          </w:tcPr>
          <w:p w14:paraId="0D170ACC"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Mezinárodní srovnání:</w:t>
            </w:r>
          </w:p>
        </w:tc>
        <w:tc>
          <w:tcPr>
            <w:tcW w:w="6486" w:type="dxa"/>
            <w:tcBorders>
              <w:top w:val="single" w:sz="4" w:space="0" w:color="auto"/>
              <w:left w:val="single" w:sz="4" w:space="0" w:color="auto"/>
              <w:bottom w:val="single" w:sz="4" w:space="0" w:color="auto"/>
              <w:right w:val="single" w:sz="4" w:space="0" w:color="auto"/>
            </w:tcBorders>
            <w:hideMark/>
          </w:tcPr>
          <w:p w14:paraId="4805FC91" w14:textId="6497306D" w:rsidR="00E86883" w:rsidRPr="00E86883" w:rsidRDefault="00E86883" w:rsidP="00BE1309">
            <w:pPr>
              <w:spacing w:line="276" w:lineRule="auto"/>
              <w:jc w:val="both"/>
              <w:rPr>
                <w:rFonts w:ascii="Arial" w:hAnsi="Arial" w:cs="Arial"/>
                <w:sz w:val="22"/>
                <w:szCs w:val="22"/>
                <w:lang w:eastAsia="en-US"/>
              </w:rPr>
            </w:pPr>
            <w:proofErr w:type="spellStart"/>
            <w:r w:rsidRPr="00E86883">
              <w:rPr>
                <w:rFonts w:ascii="Arial" w:hAnsi="Arial" w:cs="Arial"/>
                <w:sz w:val="22"/>
                <w:szCs w:val="22"/>
                <w:lang w:eastAsia="en-US"/>
              </w:rPr>
              <w:t>Eurostat</w:t>
            </w:r>
            <w:proofErr w:type="spellEnd"/>
            <w:r w:rsidRPr="00E86883">
              <w:rPr>
                <w:rFonts w:ascii="Arial" w:hAnsi="Arial" w:cs="Arial"/>
                <w:sz w:val="22"/>
                <w:szCs w:val="22"/>
                <w:lang w:eastAsia="en-US"/>
              </w:rPr>
              <w:t xml:space="preserve">, </w:t>
            </w:r>
            <w:r w:rsidR="00C34866">
              <w:rPr>
                <w:rFonts w:ascii="Arial" w:hAnsi="Arial" w:cs="Arial"/>
                <w:sz w:val="22"/>
                <w:szCs w:val="22"/>
                <w:lang w:eastAsia="en-US"/>
              </w:rPr>
              <w:t>OECD</w:t>
            </w:r>
          </w:p>
        </w:tc>
      </w:tr>
    </w:tbl>
    <w:p w14:paraId="7E88B895" w14:textId="3F400348" w:rsidR="00E86883" w:rsidRPr="00682DAD" w:rsidRDefault="008F714A" w:rsidP="00ED673D">
      <w:pPr>
        <w:pStyle w:val="r2030podcle"/>
        <w:numPr>
          <w:ilvl w:val="1"/>
          <w:numId w:val="17"/>
        </w:numPr>
        <w:ind w:left="567" w:hanging="425"/>
        <w:jc w:val="both"/>
      </w:pPr>
      <w:r w:rsidRPr="008F714A">
        <w:t>Minimalizuje se míra prekarizace a nedobrovolné flexibilizace práce, a to i u činností vykon</w:t>
      </w:r>
      <w:r w:rsidR="00FC4714">
        <w:t>ávaných prostřednictvím ekonomi</w:t>
      </w:r>
      <w:r w:rsidRPr="008F714A">
        <w:t>ky platforem a jiných nových atypických forem práce.</w:t>
      </w:r>
    </w:p>
    <w:tbl>
      <w:tblPr>
        <w:tblStyle w:val="Mkatabulky"/>
        <w:tblW w:w="0" w:type="auto"/>
        <w:tblLook w:val="04A0" w:firstRow="1" w:lastRow="0" w:firstColumn="1" w:lastColumn="0" w:noHBand="0" w:noVBand="1"/>
      </w:tblPr>
      <w:tblGrid>
        <w:gridCol w:w="2802"/>
        <w:gridCol w:w="6486"/>
      </w:tblGrid>
      <w:tr w:rsidR="00E86883" w:rsidRPr="00E86883" w14:paraId="5E372356"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5E1E2BA8"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Název a označení indikátoru: </w:t>
            </w:r>
          </w:p>
        </w:tc>
        <w:tc>
          <w:tcPr>
            <w:tcW w:w="6486" w:type="dxa"/>
            <w:tcBorders>
              <w:top w:val="single" w:sz="4" w:space="0" w:color="auto"/>
              <w:left w:val="single" w:sz="4" w:space="0" w:color="auto"/>
              <w:bottom w:val="single" w:sz="4" w:space="0" w:color="auto"/>
              <w:right w:val="single" w:sz="4" w:space="0" w:color="auto"/>
            </w:tcBorders>
            <w:hideMark/>
          </w:tcPr>
          <w:p w14:paraId="467DABDD" w14:textId="77777777" w:rsidR="00E86883" w:rsidRPr="00E86883" w:rsidRDefault="00E86883" w:rsidP="00C51B65">
            <w:pPr>
              <w:spacing w:line="276" w:lineRule="auto"/>
              <w:rPr>
                <w:rFonts w:ascii="Arial" w:hAnsi="Arial" w:cs="Arial"/>
                <w:b/>
                <w:sz w:val="22"/>
                <w:szCs w:val="22"/>
                <w:lang w:eastAsia="en-US"/>
              </w:rPr>
            </w:pPr>
            <w:r w:rsidRPr="00E86883">
              <w:rPr>
                <w:rFonts w:ascii="Arial" w:eastAsiaTheme="minorHAnsi" w:hAnsi="Arial" w:cs="Arial"/>
                <w:b/>
                <w:sz w:val="22"/>
                <w:szCs w:val="22"/>
                <w:lang w:eastAsia="en-US"/>
              </w:rPr>
              <w:t>2.4.1 Skutečně odpracované hodiny podle postavení v zaměstnání a věku</w:t>
            </w:r>
          </w:p>
        </w:tc>
      </w:tr>
      <w:tr w:rsidR="00E86883" w:rsidRPr="00E86883" w14:paraId="6048C046"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04538338"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 xml:space="preserve">Stručná definice: </w:t>
            </w:r>
          </w:p>
        </w:tc>
        <w:tc>
          <w:tcPr>
            <w:tcW w:w="6486" w:type="dxa"/>
            <w:tcBorders>
              <w:top w:val="single" w:sz="4" w:space="0" w:color="auto"/>
              <w:left w:val="single" w:sz="4" w:space="0" w:color="auto"/>
              <w:bottom w:val="single" w:sz="4" w:space="0" w:color="auto"/>
              <w:right w:val="single" w:sz="4" w:space="0" w:color="auto"/>
            </w:tcBorders>
          </w:tcPr>
          <w:p w14:paraId="12DDC12E"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rPr>
              <w:t>Počet skutečně odpracovaných hodin v referenčním týdnu (vč. přesčasů)</w:t>
            </w:r>
          </w:p>
        </w:tc>
      </w:tr>
      <w:tr w:rsidR="00E86883" w:rsidRPr="00E86883" w14:paraId="03D4A38D"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620530F8"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Jednotka:</w:t>
            </w:r>
          </w:p>
        </w:tc>
        <w:tc>
          <w:tcPr>
            <w:tcW w:w="6486" w:type="dxa"/>
            <w:tcBorders>
              <w:top w:val="single" w:sz="4" w:space="0" w:color="auto"/>
              <w:left w:val="single" w:sz="4" w:space="0" w:color="auto"/>
              <w:bottom w:val="single" w:sz="4" w:space="0" w:color="auto"/>
              <w:right w:val="single" w:sz="4" w:space="0" w:color="auto"/>
            </w:tcBorders>
            <w:hideMark/>
          </w:tcPr>
          <w:p w14:paraId="7C347760"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Počet hodin</w:t>
            </w:r>
          </w:p>
        </w:tc>
      </w:tr>
      <w:tr w:rsidR="00E86883" w:rsidRPr="00E86883" w14:paraId="3012D0CB"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0F930D80"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 xml:space="preserve">Gestor: </w:t>
            </w:r>
          </w:p>
        </w:tc>
        <w:tc>
          <w:tcPr>
            <w:tcW w:w="6486" w:type="dxa"/>
            <w:tcBorders>
              <w:top w:val="single" w:sz="4" w:space="0" w:color="auto"/>
              <w:left w:val="single" w:sz="4" w:space="0" w:color="auto"/>
              <w:bottom w:val="single" w:sz="4" w:space="0" w:color="auto"/>
              <w:right w:val="single" w:sz="4" w:space="0" w:color="auto"/>
            </w:tcBorders>
            <w:hideMark/>
          </w:tcPr>
          <w:p w14:paraId="1779A099"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Český statistický úřad</w:t>
            </w:r>
          </w:p>
        </w:tc>
      </w:tr>
      <w:tr w:rsidR="00E86883" w:rsidRPr="00E86883" w14:paraId="75558379"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5CE0D2F6"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 xml:space="preserve">Význam indikátoru: </w:t>
            </w:r>
          </w:p>
        </w:tc>
        <w:tc>
          <w:tcPr>
            <w:tcW w:w="6486" w:type="dxa"/>
            <w:tcBorders>
              <w:top w:val="single" w:sz="4" w:space="0" w:color="auto"/>
              <w:left w:val="single" w:sz="4" w:space="0" w:color="auto"/>
              <w:bottom w:val="single" w:sz="4" w:space="0" w:color="auto"/>
              <w:right w:val="single" w:sz="4" w:space="0" w:color="auto"/>
            </w:tcBorders>
            <w:hideMark/>
          </w:tcPr>
          <w:p w14:paraId="380A11B1"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 xml:space="preserve">Znázorňuje reálný objem odvedené práce a nepřímo ukazuje míru jednoho druhu </w:t>
            </w:r>
            <w:proofErr w:type="spellStart"/>
            <w:r w:rsidRPr="00E86883">
              <w:rPr>
                <w:rFonts w:ascii="Arial" w:hAnsi="Arial" w:cs="Arial"/>
                <w:sz w:val="22"/>
                <w:szCs w:val="22"/>
                <w:lang w:eastAsia="en-US"/>
              </w:rPr>
              <w:t>flexibilizace</w:t>
            </w:r>
            <w:proofErr w:type="spellEnd"/>
            <w:r w:rsidRPr="00E86883">
              <w:rPr>
                <w:rFonts w:ascii="Arial" w:hAnsi="Arial" w:cs="Arial"/>
                <w:sz w:val="22"/>
                <w:szCs w:val="22"/>
                <w:lang w:eastAsia="en-US"/>
              </w:rPr>
              <w:t xml:space="preserve"> práce (přesčasů).</w:t>
            </w:r>
          </w:p>
        </w:tc>
      </w:tr>
      <w:tr w:rsidR="00E86883" w:rsidRPr="00E86883" w14:paraId="52579317"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6CA1A06E"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 xml:space="preserve">Časová řada: </w:t>
            </w:r>
          </w:p>
        </w:tc>
        <w:tc>
          <w:tcPr>
            <w:tcW w:w="6486" w:type="dxa"/>
            <w:tcBorders>
              <w:top w:val="single" w:sz="4" w:space="0" w:color="auto"/>
              <w:left w:val="single" w:sz="4" w:space="0" w:color="auto"/>
              <w:bottom w:val="single" w:sz="4" w:space="0" w:color="auto"/>
              <w:right w:val="single" w:sz="4" w:space="0" w:color="auto"/>
            </w:tcBorders>
          </w:tcPr>
          <w:p w14:paraId="0F949652"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 xml:space="preserve">Od </w:t>
            </w:r>
            <w:r w:rsidR="00FC4714">
              <w:rPr>
                <w:rFonts w:ascii="Arial" w:hAnsi="Arial" w:cs="Arial"/>
                <w:sz w:val="22"/>
                <w:szCs w:val="22"/>
                <w:lang w:eastAsia="en-US"/>
              </w:rPr>
              <w:t xml:space="preserve">roku </w:t>
            </w:r>
            <w:r w:rsidRPr="00E86883">
              <w:rPr>
                <w:rFonts w:ascii="Arial" w:hAnsi="Arial" w:cs="Arial"/>
                <w:sz w:val="22"/>
                <w:szCs w:val="22"/>
                <w:lang w:eastAsia="en-US"/>
              </w:rPr>
              <w:t>1993</w:t>
            </w:r>
          </w:p>
        </w:tc>
      </w:tr>
      <w:tr w:rsidR="00E86883" w:rsidRPr="00E86883" w14:paraId="2C076469"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04B2C841"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 xml:space="preserve">Frekvence výstupu: </w:t>
            </w:r>
          </w:p>
        </w:tc>
        <w:tc>
          <w:tcPr>
            <w:tcW w:w="6486" w:type="dxa"/>
            <w:tcBorders>
              <w:top w:val="single" w:sz="4" w:space="0" w:color="auto"/>
              <w:left w:val="single" w:sz="4" w:space="0" w:color="auto"/>
              <w:bottom w:val="single" w:sz="4" w:space="0" w:color="auto"/>
              <w:right w:val="single" w:sz="4" w:space="0" w:color="auto"/>
            </w:tcBorders>
            <w:hideMark/>
          </w:tcPr>
          <w:p w14:paraId="59B9127E"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Čtvrtletně</w:t>
            </w:r>
          </w:p>
        </w:tc>
      </w:tr>
      <w:tr w:rsidR="00E86883" w:rsidRPr="00E86883" w14:paraId="68A00300" w14:textId="77777777" w:rsidTr="008D14FE">
        <w:trPr>
          <w:trHeight w:val="70"/>
        </w:trPr>
        <w:tc>
          <w:tcPr>
            <w:tcW w:w="2802" w:type="dxa"/>
            <w:tcBorders>
              <w:top w:val="single" w:sz="4" w:space="0" w:color="auto"/>
              <w:left w:val="single" w:sz="4" w:space="0" w:color="auto"/>
              <w:bottom w:val="single" w:sz="4" w:space="0" w:color="auto"/>
              <w:right w:val="single" w:sz="4" w:space="0" w:color="auto"/>
            </w:tcBorders>
            <w:hideMark/>
          </w:tcPr>
          <w:p w14:paraId="32A3D48E"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 xml:space="preserve">Členění indikátoru: </w:t>
            </w:r>
          </w:p>
        </w:tc>
        <w:tc>
          <w:tcPr>
            <w:tcW w:w="6486" w:type="dxa"/>
            <w:tcBorders>
              <w:top w:val="single" w:sz="4" w:space="0" w:color="auto"/>
              <w:left w:val="single" w:sz="4" w:space="0" w:color="auto"/>
              <w:bottom w:val="single" w:sz="4" w:space="0" w:color="auto"/>
              <w:right w:val="single" w:sz="4" w:space="0" w:color="auto"/>
            </w:tcBorders>
          </w:tcPr>
          <w:p w14:paraId="521E1F35" w14:textId="792AADEB" w:rsidR="00E86883" w:rsidRPr="00E86883" w:rsidRDefault="00D74D21" w:rsidP="00BE1309">
            <w:pPr>
              <w:spacing w:line="276" w:lineRule="auto"/>
              <w:jc w:val="both"/>
              <w:rPr>
                <w:rFonts w:ascii="Arial" w:hAnsi="Arial" w:cs="Arial"/>
                <w:sz w:val="22"/>
                <w:szCs w:val="22"/>
                <w:lang w:eastAsia="en-US"/>
              </w:rPr>
            </w:pPr>
            <w:r>
              <w:rPr>
                <w:rFonts w:ascii="Arial" w:hAnsi="Arial" w:cs="Arial"/>
                <w:sz w:val="22"/>
                <w:szCs w:val="22"/>
                <w:lang w:eastAsia="en-US"/>
              </w:rPr>
              <w:t>Dle v</w:t>
            </w:r>
            <w:r w:rsidR="00E86883" w:rsidRPr="00E86883">
              <w:rPr>
                <w:rFonts w:ascii="Arial" w:hAnsi="Arial" w:cs="Arial"/>
                <w:sz w:val="22"/>
                <w:szCs w:val="22"/>
                <w:lang w:eastAsia="en-US"/>
              </w:rPr>
              <w:t>ěk</w:t>
            </w:r>
            <w:r>
              <w:rPr>
                <w:rFonts w:ascii="Arial" w:hAnsi="Arial" w:cs="Arial"/>
                <w:sz w:val="22"/>
                <w:szCs w:val="22"/>
                <w:lang w:eastAsia="en-US"/>
              </w:rPr>
              <w:t>u</w:t>
            </w:r>
            <w:r w:rsidR="00E86883" w:rsidRPr="00E86883">
              <w:rPr>
                <w:rFonts w:ascii="Arial" w:hAnsi="Arial" w:cs="Arial"/>
                <w:sz w:val="22"/>
                <w:szCs w:val="22"/>
                <w:lang w:eastAsia="en-US"/>
              </w:rPr>
              <w:t>, postavení v</w:t>
            </w:r>
            <w:r w:rsidR="00C34866">
              <w:rPr>
                <w:rFonts w:ascii="Arial" w:hAnsi="Arial" w:cs="Arial"/>
                <w:sz w:val="22"/>
                <w:szCs w:val="22"/>
                <w:lang w:eastAsia="en-US"/>
              </w:rPr>
              <w:t> </w:t>
            </w:r>
            <w:r w:rsidR="00E86883" w:rsidRPr="00E86883">
              <w:rPr>
                <w:rFonts w:ascii="Arial" w:hAnsi="Arial" w:cs="Arial"/>
                <w:sz w:val="22"/>
                <w:szCs w:val="22"/>
                <w:lang w:eastAsia="en-US"/>
              </w:rPr>
              <w:t>zaměstnání</w:t>
            </w:r>
          </w:p>
        </w:tc>
      </w:tr>
      <w:tr w:rsidR="00E86883" w:rsidRPr="00E86883" w14:paraId="41F9E40F" w14:textId="77777777" w:rsidTr="008D14FE">
        <w:trPr>
          <w:trHeight w:val="70"/>
        </w:trPr>
        <w:tc>
          <w:tcPr>
            <w:tcW w:w="2802" w:type="dxa"/>
            <w:tcBorders>
              <w:top w:val="single" w:sz="4" w:space="0" w:color="auto"/>
              <w:left w:val="single" w:sz="4" w:space="0" w:color="auto"/>
              <w:bottom w:val="single" w:sz="4" w:space="0" w:color="auto"/>
              <w:right w:val="single" w:sz="4" w:space="0" w:color="auto"/>
            </w:tcBorders>
            <w:hideMark/>
          </w:tcPr>
          <w:p w14:paraId="5DA01388"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Mezinárodní srovnání:</w:t>
            </w:r>
          </w:p>
        </w:tc>
        <w:tc>
          <w:tcPr>
            <w:tcW w:w="6486" w:type="dxa"/>
            <w:tcBorders>
              <w:top w:val="single" w:sz="4" w:space="0" w:color="auto"/>
              <w:left w:val="single" w:sz="4" w:space="0" w:color="auto"/>
              <w:bottom w:val="single" w:sz="4" w:space="0" w:color="auto"/>
              <w:right w:val="single" w:sz="4" w:space="0" w:color="auto"/>
            </w:tcBorders>
          </w:tcPr>
          <w:p w14:paraId="611A1DE6" w14:textId="5E6FFC69" w:rsidR="00E86883" w:rsidRPr="00E86883" w:rsidRDefault="00C34866" w:rsidP="00BE1309">
            <w:pPr>
              <w:spacing w:line="276" w:lineRule="auto"/>
              <w:jc w:val="both"/>
              <w:rPr>
                <w:rFonts w:ascii="Arial" w:hAnsi="Arial" w:cs="Arial"/>
                <w:sz w:val="22"/>
                <w:szCs w:val="22"/>
                <w:lang w:eastAsia="en-US"/>
              </w:rPr>
            </w:pPr>
            <w:proofErr w:type="spellStart"/>
            <w:r>
              <w:rPr>
                <w:rFonts w:ascii="Arial" w:hAnsi="Arial" w:cs="Arial"/>
                <w:sz w:val="22"/>
                <w:szCs w:val="22"/>
                <w:lang w:eastAsia="en-US"/>
              </w:rPr>
              <w:t>Eurostat</w:t>
            </w:r>
            <w:proofErr w:type="spellEnd"/>
            <w:r>
              <w:rPr>
                <w:rFonts w:ascii="Arial" w:hAnsi="Arial" w:cs="Arial"/>
                <w:sz w:val="22"/>
                <w:szCs w:val="22"/>
                <w:lang w:eastAsia="en-US"/>
              </w:rPr>
              <w:t>, OECD</w:t>
            </w:r>
          </w:p>
        </w:tc>
      </w:tr>
    </w:tbl>
    <w:p w14:paraId="2AAEF5AF" w14:textId="77777777" w:rsidR="00E86883" w:rsidRPr="00E86883" w:rsidRDefault="00E86883" w:rsidP="00C51B65">
      <w:pPr>
        <w:spacing w:line="276" w:lineRule="auto"/>
        <w:contextualSpacing/>
        <w:rPr>
          <w:rFonts w:ascii="Arial" w:eastAsia="Calibri" w:hAnsi="Arial" w:cs="Arial"/>
          <w:b/>
          <w:sz w:val="22"/>
          <w:szCs w:val="22"/>
          <w:lang w:eastAsia="en-US"/>
        </w:rPr>
      </w:pPr>
    </w:p>
    <w:tbl>
      <w:tblPr>
        <w:tblStyle w:val="Mkatabulky"/>
        <w:tblW w:w="0" w:type="auto"/>
        <w:tblLook w:val="04A0" w:firstRow="1" w:lastRow="0" w:firstColumn="1" w:lastColumn="0" w:noHBand="0" w:noVBand="1"/>
      </w:tblPr>
      <w:tblGrid>
        <w:gridCol w:w="2802"/>
        <w:gridCol w:w="6486"/>
      </w:tblGrid>
      <w:tr w:rsidR="00E86883" w:rsidRPr="00E86883" w14:paraId="525AC4C1"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1513F313"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Název a označení indikátoru: </w:t>
            </w:r>
          </w:p>
        </w:tc>
        <w:tc>
          <w:tcPr>
            <w:tcW w:w="6486" w:type="dxa"/>
            <w:tcBorders>
              <w:top w:val="single" w:sz="4" w:space="0" w:color="auto"/>
              <w:left w:val="single" w:sz="4" w:space="0" w:color="auto"/>
              <w:bottom w:val="single" w:sz="4" w:space="0" w:color="auto"/>
              <w:right w:val="single" w:sz="4" w:space="0" w:color="auto"/>
            </w:tcBorders>
            <w:hideMark/>
          </w:tcPr>
          <w:p w14:paraId="3960D1BB" w14:textId="77777777" w:rsidR="00E86883" w:rsidRPr="00E86883" w:rsidRDefault="00E86883" w:rsidP="00C51B65">
            <w:pPr>
              <w:spacing w:line="276" w:lineRule="auto"/>
              <w:rPr>
                <w:rFonts w:ascii="Arial" w:hAnsi="Arial" w:cs="Arial"/>
                <w:b/>
                <w:sz w:val="22"/>
                <w:szCs w:val="22"/>
                <w:lang w:eastAsia="en-US"/>
              </w:rPr>
            </w:pPr>
            <w:r w:rsidRPr="00E86883">
              <w:rPr>
                <w:rFonts w:ascii="Arial" w:hAnsi="Arial" w:cs="Arial"/>
                <w:b/>
                <w:sz w:val="22"/>
                <w:szCs w:val="22"/>
                <w:lang w:eastAsia="en-US"/>
              </w:rPr>
              <w:t>2.4.2 Podíl pracovníků</w:t>
            </w:r>
            <w:r w:rsidR="009B251E">
              <w:rPr>
                <w:rFonts w:ascii="Arial" w:hAnsi="Arial" w:cs="Arial"/>
                <w:b/>
                <w:sz w:val="22"/>
                <w:szCs w:val="22"/>
                <w:lang w:eastAsia="en-US"/>
              </w:rPr>
              <w:t xml:space="preserve"> a pracovnic</w:t>
            </w:r>
            <w:r w:rsidRPr="00E86883">
              <w:rPr>
                <w:rFonts w:ascii="Arial" w:hAnsi="Arial" w:cs="Arial"/>
                <w:b/>
                <w:sz w:val="22"/>
                <w:szCs w:val="22"/>
                <w:lang w:eastAsia="en-US"/>
              </w:rPr>
              <w:t xml:space="preserve"> na dobu určitou</w:t>
            </w:r>
          </w:p>
        </w:tc>
      </w:tr>
      <w:tr w:rsidR="00E86883" w:rsidRPr="00E86883" w14:paraId="103A65ED"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7F3B0770"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Stručná definice: </w:t>
            </w:r>
          </w:p>
        </w:tc>
        <w:tc>
          <w:tcPr>
            <w:tcW w:w="6486" w:type="dxa"/>
            <w:tcBorders>
              <w:top w:val="single" w:sz="4" w:space="0" w:color="auto"/>
              <w:left w:val="single" w:sz="4" w:space="0" w:color="auto"/>
              <w:bottom w:val="single" w:sz="4" w:space="0" w:color="auto"/>
              <w:right w:val="single" w:sz="4" w:space="0" w:color="auto"/>
            </w:tcBorders>
          </w:tcPr>
          <w:p w14:paraId="16994009"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rPr>
              <w:t>Počet zaměstnanců v hlavním zaměstnání na dobu určitou vůči všem zaměstnancům v hlavním zaměstnání</w:t>
            </w:r>
          </w:p>
        </w:tc>
      </w:tr>
      <w:tr w:rsidR="00E86883" w:rsidRPr="00E86883" w14:paraId="3CDC3776"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2B64E19B"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Jednotka:</w:t>
            </w:r>
          </w:p>
        </w:tc>
        <w:tc>
          <w:tcPr>
            <w:tcW w:w="6486" w:type="dxa"/>
            <w:tcBorders>
              <w:top w:val="single" w:sz="4" w:space="0" w:color="auto"/>
              <w:left w:val="single" w:sz="4" w:space="0" w:color="auto"/>
              <w:bottom w:val="single" w:sz="4" w:space="0" w:color="auto"/>
              <w:right w:val="single" w:sz="4" w:space="0" w:color="auto"/>
            </w:tcBorders>
            <w:hideMark/>
          </w:tcPr>
          <w:p w14:paraId="582FCD1A"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Podíl (v %)</w:t>
            </w:r>
          </w:p>
        </w:tc>
      </w:tr>
      <w:tr w:rsidR="00E86883" w:rsidRPr="00E86883" w14:paraId="3E56EACC"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67487B9D"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Gestor: </w:t>
            </w:r>
          </w:p>
        </w:tc>
        <w:tc>
          <w:tcPr>
            <w:tcW w:w="6486" w:type="dxa"/>
            <w:tcBorders>
              <w:top w:val="single" w:sz="4" w:space="0" w:color="auto"/>
              <w:left w:val="single" w:sz="4" w:space="0" w:color="auto"/>
              <w:bottom w:val="single" w:sz="4" w:space="0" w:color="auto"/>
              <w:right w:val="single" w:sz="4" w:space="0" w:color="auto"/>
            </w:tcBorders>
          </w:tcPr>
          <w:p w14:paraId="62BB1664"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Český statistický úřad</w:t>
            </w:r>
          </w:p>
        </w:tc>
      </w:tr>
      <w:tr w:rsidR="00E86883" w:rsidRPr="00E86883" w14:paraId="2B1895AD"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277A603D"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Význam indikátoru: </w:t>
            </w:r>
          </w:p>
        </w:tc>
        <w:tc>
          <w:tcPr>
            <w:tcW w:w="6486" w:type="dxa"/>
            <w:tcBorders>
              <w:top w:val="single" w:sz="4" w:space="0" w:color="auto"/>
              <w:left w:val="single" w:sz="4" w:space="0" w:color="auto"/>
              <w:bottom w:val="single" w:sz="4" w:space="0" w:color="auto"/>
              <w:right w:val="single" w:sz="4" w:space="0" w:color="auto"/>
            </w:tcBorders>
            <w:hideMark/>
          </w:tcPr>
          <w:p w14:paraId="1CCACC9E" w14:textId="15CAC43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Umož</w:t>
            </w:r>
            <w:r w:rsidR="00FC4714">
              <w:rPr>
                <w:rFonts w:ascii="Arial" w:hAnsi="Arial" w:cs="Arial"/>
                <w:sz w:val="22"/>
                <w:szCs w:val="22"/>
                <w:lang w:eastAsia="en-US"/>
              </w:rPr>
              <w:t>ňuje analýzu počtu a podílu osob</w:t>
            </w:r>
            <w:r w:rsidRPr="00E86883">
              <w:rPr>
                <w:rFonts w:ascii="Arial" w:hAnsi="Arial" w:cs="Arial"/>
                <w:sz w:val="22"/>
                <w:szCs w:val="22"/>
                <w:lang w:eastAsia="en-US"/>
              </w:rPr>
              <w:t xml:space="preserve"> pracujících podle smlouvy na dobu určitou</w:t>
            </w:r>
            <w:r w:rsidR="00FC4714">
              <w:rPr>
                <w:rFonts w:ascii="Arial" w:hAnsi="Arial" w:cs="Arial"/>
                <w:sz w:val="22"/>
                <w:szCs w:val="22"/>
                <w:lang w:eastAsia="en-US"/>
              </w:rPr>
              <w:t xml:space="preserve"> a</w:t>
            </w:r>
            <w:r w:rsidRPr="00E86883">
              <w:rPr>
                <w:rFonts w:ascii="Arial" w:hAnsi="Arial" w:cs="Arial"/>
                <w:sz w:val="22"/>
                <w:szCs w:val="22"/>
                <w:lang w:eastAsia="en-US"/>
              </w:rPr>
              <w:t xml:space="preserve"> majících tak</w:t>
            </w:r>
            <w:r w:rsidR="004A4A62">
              <w:rPr>
                <w:rFonts w:ascii="Arial" w:hAnsi="Arial" w:cs="Arial"/>
                <w:sz w:val="22"/>
                <w:szCs w:val="22"/>
                <w:lang w:eastAsia="en-US"/>
              </w:rPr>
              <w:t xml:space="preserve">, alespoň z dlouhodobého hlediska, </w:t>
            </w:r>
            <w:r w:rsidRPr="00E86883">
              <w:rPr>
                <w:rFonts w:ascii="Arial" w:hAnsi="Arial" w:cs="Arial"/>
                <w:sz w:val="22"/>
                <w:szCs w:val="22"/>
                <w:lang w:eastAsia="en-US"/>
              </w:rPr>
              <w:t xml:space="preserve">nejistou práci (jeden z definičních znaků </w:t>
            </w:r>
            <w:proofErr w:type="spellStart"/>
            <w:r w:rsidRPr="00E86883">
              <w:rPr>
                <w:rFonts w:ascii="Arial" w:hAnsi="Arial" w:cs="Arial"/>
                <w:sz w:val="22"/>
                <w:szCs w:val="22"/>
                <w:lang w:eastAsia="en-US"/>
              </w:rPr>
              <w:t>prekarizace</w:t>
            </w:r>
            <w:proofErr w:type="spellEnd"/>
            <w:r w:rsidRPr="00E86883">
              <w:rPr>
                <w:rFonts w:ascii="Arial" w:hAnsi="Arial" w:cs="Arial"/>
                <w:sz w:val="22"/>
                <w:szCs w:val="22"/>
                <w:lang w:eastAsia="en-US"/>
              </w:rPr>
              <w:t xml:space="preserve"> práce).</w:t>
            </w:r>
          </w:p>
        </w:tc>
      </w:tr>
      <w:tr w:rsidR="00E86883" w:rsidRPr="00E86883" w14:paraId="7F825F16"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6932E43D"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Časová řada: </w:t>
            </w:r>
          </w:p>
        </w:tc>
        <w:tc>
          <w:tcPr>
            <w:tcW w:w="6486" w:type="dxa"/>
            <w:tcBorders>
              <w:top w:val="single" w:sz="4" w:space="0" w:color="auto"/>
              <w:left w:val="single" w:sz="4" w:space="0" w:color="auto"/>
              <w:bottom w:val="single" w:sz="4" w:space="0" w:color="auto"/>
              <w:right w:val="single" w:sz="4" w:space="0" w:color="auto"/>
            </w:tcBorders>
          </w:tcPr>
          <w:p w14:paraId="606AE28F"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 xml:space="preserve">Od </w:t>
            </w:r>
            <w:r w:rsidR="00FC4714">
              <w:rPr>
                <w:rFonts w:ascii="Arial" w:hAnsi="Arial" w:cs="Arial"/>
                <w:sz w:val="22"/>
                <w:szCs w:val="22"/>
                <w:lang w:eastAsia="en-US"/>
              </w:rPr>
              <w:t xml:space="preserve">roku </w:t>
            </w:r>
            <w:r w:rsidRPr="00E86883">
              <w:rPr>
                <w:rFonts w:ascii="Arial" w:hAnsi="Arial" w:cs="Arial"/>
                <w:sz w:val="22"/>
                <w:szCs w:val="22"/>
                <w:lang w:eastAsia="en-US"/>
              </w:rPr>
              <w:t>1993</w:t>
            </w:r>
          </w:p>
        </w:tc>
      </w:tr>
      <w:tr w:rsidR="00E86883" w:rsidRPr="00E86883" w14:paraId="4AE76CFD"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4786D8B6"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Frekvence výstupu: </w:t>
            </w:r>
          </w:p>
        </w:tc>
        <w:tc>
          <w:tcPr>
            <w:tcW w:w="6486" w:type="dxa"/>
            <w:tcBorders>
              <w:top w:val="single" w:sz="4" w:space="0" w:color="auto"/>
              <w:left w:val="single" w:sz="4" w:space="0" w:color="auto"/>
              <w:bottom w:val="single" w:sz="4" w:space="0" w:color="auto"/>
              <w:right w:val="single" w:sz="4" w:space="0" w:color="auto"/>
            </w:tcBorders>
            <w:hideMark/>
          </w:tcPr>
          <w:p w14:paraId="1B349290"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 xml:space="preserve">Ročně </w:t>
            </w:r>
          </w:p>
        </w:tc>
      </w:tr>
      <w:tr w:rsidR="00E86883" w:rsidRPr="00E86883" w14:paraId="134B5E27" w14:textId="77777777" w:rsidTr="008D14FE">
        <w:trPr>
          <w:trHeight w:val="70"/>
        </w:trPr>
        <w:tc>
          <w:tcPr>
            <w:tcW w:w="2802" w:type="dxa"/>
            <w:tcBorders>
              <w:top w:val="single" w:sz="4" w:space="0" w:color="auto"/>
              <w:left w:val="single" w:sz="4" w:space="0" w:color="auto"/>
              <w:bottom w:val="single" w:sz="4" w:space="0" w:color="auto"/>
              <w:right w:val="single" w:sz="4" w:space="0" w:color="auto"/>
            </w:tcBorders>
            <w:hideMark/>
          </w:tcPr>
          <w:p w14:paraId="2B4CF51C"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Členění indikátoru: </w:t>
            </w:r>
          </w:p>
        </w:tc>
        <w:tc>
          <w:tcPr>
            <w:tcW w:w="6486" w:type="dxa"/>
            <w:tcBorders>
              <w:top w:val="single" w:sz="4" w:space="0" w:color="auto"/>
              <w:left w:val="single" w:sz="4" w:space="0" w:color="auto"/>
              <w:bottom w:val="single" w:sz="4" w:space="0" w:color="auto"/>
              <w:right w:val="single" w:sz="4" w:space="0" w:color="auto"/>
            </w:tcBorders>
            <w:hideMark/>
          </w:tcPr>
          <w:p w14:paraId="42640CC9" w14:textId="3C26B199" w:rsidR="00E86883" w:rsidRPr="00E86883" w:rsidRDefault="00D74D21" w:rsidP="00BE1309">
            <w:pPr>
              <w:spacing w:line="276" w:lineRule="auto"/>
              <w:jc w:val="both"/>
              <w:rPr>
                <w:rFonts w:ascii="Arial" w:hAnsi="Arial" w:cs="Arial"/>
                <w:sz w:val="22"/>
                <w:szCs w:val="22"/>
                <w:lang w:eastAsia="en-US"/>
              </w:rPr>
            </w:pPr>
            <w:r>
              <w:rPr>
                <w:rFonts w:ascii="Arial" w:hAnsi="Arial" w:cs="Arial"/>
                <w:sz w:val="22"/>
                <w:szCs w:val="22"/>
                <w:lang w:eastAsia="en-US"/>
              </w:rPr>
              <w:t>Dle v</w:t>
            </w:r>
            <w:r w:rsidR="00E86883" w:rsidRPr="00E86883">
              <w:rPr>
                <w:rFonts w:ascii="Arial" w:hAnsi="Arial" w:cs="Arial"/>
                <w:sz w:val="22"/>
                <w:szCs w:val="22"/>
                <w:lang w:eastAsia="en-US"/>
              </w:rPr>
              <w:t>ěk</w:t>
            </w:r>
            <w:r>
              <w:rPr>
                <w:rFonts w:ascii="Arial" w:hAnsi="Arial" w:cs="Arial"/>
                <w:sz w:val="22"/>
                <w:szCs w:val="22"/>
                <w:lang w:eastAsia="en-US"/>
              </w:rPr>
              <w:t>u</w:t>
            </w:r>
            <w:r w:rsidR="00E86883" w:rsidRPr="00E86883">
              <w:rPr>
                <w:rFonts w:ascii="Arial" w:hAnsi="Arial" w:cs="Arial"/>
                <w:sz w:val="22"/>
                <w:szCs w:val="22"/>
                <w:lang w:eastAsia="en-US"/>
              </w:rPr>
              <w:t>, NACE, ISCO</w:t>
            </w:r>
          </w:p>
        </w:tc>
      </w:tr>
      <w:tr w:rsidR="00E86883" w:rsidRPr="00E86883" w14:paraId="6B3C9D0A" w14:textId="77777777" w:rsidTr="008D14FE">
        <w:trPr>
          <w:trHeight w:val="70"/>
        </w:trPr>
        <w:tc>
          <w:tcPr>
            <w:tcW w:w="2802" w:type="dxa"/>
            <w:tcBorders>
              <w:top w:val="single" w:sz="4" w:space="0" w:color="auto"/>
              <w:left w:val="single" w:sz="4" w:space="0" w:color="auto"/>
              <w:bottom w:val="single" w:sz="4" w:space="0" w:color="auto"/>
              <w:right w:val="single" w:sz="4" w:space="0" w:color="auto"/>
            </w:tcBorders>
            <w:hideMark/>
          </w:tcPr>
          <w:p w14:paraId="4D67BD8F"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Mezinárodní srovnání:</w:t>
            </w:r>
          </w:p>
        </w:tc>
        <w:tc>
          <w:tcPr>
            <w:tcW w:w="6486" w:type="dxa"/>
            <w:tcBorders>
              <w:top w:val="single" w:sz="4" w:space="0" w:color="auto"/>
              <w:left w:val="single" w:sz="4" w:space="0" w:color="auto"/>
              <w:bottom w:val="single" w:sz="4" w:space="0" w:color="auto"/>
              <w:right w:val="single" w:sz="4" w:space="0" w:color="auto"/>
            </w:tcBorders>
            <w:hideMark/>
          </w:tcPr>
          <w:p w14:paraId="1FDFE40D" w14:textId="77777777" w:rsidR="00E86883" w:rsidRPr="00E86883" w:rsidRDefault="00E86883" w:rsidP="00BE1309">
            <w:pPr>
              <w:spacing w:line="276" w:lineRule="auto"/>
              <w:jc w:val="both"/>
              <w:rPr>
                <w:rFonts w:ascii="Arial" w:hAnsi="Arial" w:cs="Arial"/>
                <w:sz w:val="22"/>
                <w:szCs w:val="22"/>
                <w:lang w:eastAsia="en-US"/>
              </w:rPr>
            </w:pPr>
            <w:proofErr w:type="spellStart"/>
            <w:r w:rsidRPr="00E86883">
              <w:rPr>
                <w:rFonts w:ascii="Arial" w:hAnsi="Arial" w:cs="Arial"/>
                <w:sz w:val="22"/>
                <w:szCs w:val="22"/>
                <w:lang w:eastAsia="en-US"/>
              </w:rPr>
              <w:t>Eurofound</w:t>
            </w:r>
            <w:proofErr w:type="spellEnd"/>
            <w:r w:rsidRPr="00E86883">
              <w:rPr>
                <w:rFonts w:ascii="Arial" w:hAnsi="Arial" w:cs="Arial"/>
                <w:sz w:val="22"/>
                <w:szCs w:val="22"/>
                <w:lang w:eastAsia="en-US"/>
              </w:rPr>
              <w:t xml:space="preserve"> (</w:t>
            </w:r>
            <w:proofErr w:type="spellStart"/>
            <w:r w:rsidRPr="00E86883">
              <w:rPr>
                <w:rFonts w:ascii="Arial" w:hAnsi="Arial" w:cs="Arial"/>
                <w:sz w:val="22"/>
                <w:szCs w:val="22"/>
                <w:lang w:eastAsia="en-US"/>
              </w:rPr>
              <w:t>Eurostat</w:t>
            </w:r>
            <w:proofErr w:type="spellEnd"/>
            <w:r w:rsidRPr="00E86883">
              <w:rPr>
                <w:rFonts w:ascii="Arial" w:hAnsi="Arial" w:cs="Arial"/>
                <w:sz w:val="22"/>
                <w:szCs w:val="22"/>
                <w:lang w:eastAsia="en-US"/>
              </w:rPr>
              <w:t>, OECD)</w:t>
            </w:r>
          </w:p>
        </w:tc>
      </w:tr>
    </w:tbl>
    <w:p w14:paraId="0F616C11" w14:textId="66D1D9E8" w:rsidR="00E86883" w:rsidRPr="000007D6" w:rsidRDefault="000007D6" w:rsidP="00ED673D">
      <w:pPr>
        <w:pStyle w:val="r2030podcle"/>
        <w:numPr>
          <w:ilvl w:val="1"/>
          <w:numId w:val="17"/>
        </w:numPr>
        <w:ind w:left="567" w:hanging="425"/>
        <w:jc w:val="both"/>
      </w:pPr>
      <w:r w:rsidRPr="000007D6">
        <w:rPr>
          <w:rFonts w:eastAsiaTheme="minorHAnsi"/>
          <w:bCs/>
          <w:color w:val="000000"/>
          <w:szCs w:val="22"/>
          <w:lang w:eastAsia="en-US"/>
        </w:rPr>
        <w:lastRenderedPageBreak/>
        <w:t>Imigrační a integrační politika klade důraz na přilákání kvalifikovaných cizinců a cizinek a posiluje diverzitu pracovních sil významnou pro inovace. Veřejné politiky také podporují návrat českých občanů a občanek ze zahraničí.</w:t>
      </w:r>
    </w:p>
    <w:tbl>
      <w:tblPr>
        <w:tblStyle w:val="Mkatabulky"/>
        <w:tblW w:w="0" w:type="auto"/>
        <w:tblLook w:val="04A0" w:firstRow="1" w:lastRow="0" w:firstColumn="1" w:lastColumn="0" w:noHBand="0" w:noVBand="1"/>
      </w:tblPr>
      <w:tblGrid>
        <w:gridCol w:w="2802"/>
        <w:gridCol w:w="6486"/>
      </w:tblGrid>
      <w:tr w:rsidR="00E86883" w:rsidRPr="00E86883" w14:paraId="222C33CF" w14:textId="77777777" w:rsidTr="008D14FE">
        <w:tc>
          <w:tcPr>
            <w:tcW w:w="2802" w:type="dxa"/>
          </w:tcPr>
          <w:p w14:paraId="277B7D27"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Název a označení indikátoru: </w:t>
            </w:r>
          </w:p>
        </w:tc>
        <w:tc>
          <w:tcPr>
            <w:tcW w:w="6486" w:type="dxa"/>
          </w:tcPr>
          <w:p w14:paraId="477D04C1" w14:textId="77777777" w:rsidR="00E86883" w:rsidRPr="008D14FE" w:rsidRDefault="00E86883" w:rsidP="00C3526B">
            <w:pPr>
              <w:spacing w:line="276" w:lineRule="auto"/>
              <w:rPr>
                <w:rFonts w:ascii="Arial" w:hAnsi="Arial" w:cs="Arial"/>
                <w:b/>
                <w:sz w:val="22"/>
                <w:szCs w:val="22"/>
              </w:rPr>
            </w:pPr>
            <w:r w:rsidRPr="008D14FE">
              <w:rPr>
                <w:rFonts w:ascii="Arial" w:hAnsi="Arial" w:cs="Arial"/>
                <w:b/>
                <w:sz w:val="22"/>
                <w:szCs w:val="22"/>
              </w:rPr>
              <w:t xml:space="preserve">2.5.1 Počet cizinců </w:t>
            </w:r>
            <w:r w:rsidR="00050178">
              <w:rPr>
                <w:rFonts w:ascii="Arial" w:hAnsi="Arial" w:cs="Arial"/>
                <w:b/>
                <w:sz w:val="22"/>
                <w:szCs w:val="22"/>
              </w:rPr>
              <w:t xml:space="preserve">a cizinek </w:t>
            </w:r>
            <w:r w:rsidRPr="008D14FE">
              <w:rPr>
                <w:rFonts w:ascii="Arial" w:hAnsi="Arial" w:cs="Arial"/>
                <w:b/>
                <w:sz w:val="22"/>
                <w:szCs w:val="22"/>
              </w:rPr>
              <w:t>žijících v ČR (</w:t>
            </w:r>
            <w:r w:rsidR="00C3526B">
              <w:rPr>
                <w:rFonts w:ascii="Arial" w:hAnsi="Arial" w:cs="Arial"/>
                <w:b/>
                <w:sz w:val="22"/>
                <w:szCs w:val="22"/>
              </w:rPr>
              <w:t>stavy</w:t>
            </w:r>
            <w:r w:rsidRPr="008D14FE">
              <w:rPr>
                <w:rFonts w:ascii="Arial" w:hAnsi="Arial" w:cs="Arial"/>
                <w:b/>
                <w:sz w:val="22"/>
                <w:szCs w:val="22"/>
              </w:rPr>
              <w:t>)</w:t>
            </w:r>
          </w:p>
        </w:tc>
      </w:tr>
      <w:tr w:rsidR="00E86883" w:rsidRPr="00E86883" w14:paraId="33FB4CBD" w14:textId="77777777" w:rsidTr="008D14FE">
        <w:tc>
          <w:tcPr>
            <w:tcW w:w="2802" w:type="dxa"/>
          </w:tcPr>
          <w:p w14:paraId="14CC61EC" w14:textId="77777777" w:rsidR="00E86883" w:rsidRPr="00E86883" w:rsidRDefault="00E86883" w:rsidP="00BE1309">
            <w:pPr>
              <w:spacing w:line="276" w:lineRule="auto"/>
              <w:jc w:val="both"/>
              <w:rPr>
                <w:rFonts w:ascii="Arial" w:hAnsi="Arial" w:cs="Arial"/>
                <w:sz w:val="22"/>
                <w:szCs w:val="22"/>
              </w:rPr>
            </w:pPr>
            <w:r w:rsidRPr="00E86883">
              <w:rPr>
                <w:rFonts w:ascii="Arial" w:hAnsi="Arial" w:cs="Arial"/>
                <w:sz w:val="22"/>
                <w:szCs w:val="22"/>
              </w:rPr>
              <w:t xml:space="preserve">Stručná definice: </w:t>
            </w:r>
          </w:p>
        </w:tc>
        <w:tc>
          <w:tcPr>
            <w:tcW w:w="6486" w:type="dxa"/>
          </w:tcPr>
          <w:p w14:paraId="7FD5466A" w14:textId="77777777" w:rsidR="00E86883" w:rsidRPr="00E86883" w:rsidRDefault="00E86883" w:rsidP="00BE1309">
            <w:pPr>
              <w:spacing w:line="276" w:lineRule="auto"/>
              <w:jc w:val="both"/>
              <w:rPr>
                <w:rFonts w:ascii="Arial" w:hAnsi="Arial" w:cs="Arial"/>
                <w:sz w:val="22"/>
                <w:szCs w:val="22"/>
              </w:rPr>
            </w:pPr>
            <w:r w:rsidRPr="00E86883">
              <w:rPr>
                <w:rFonts w:ascii="Arial" w:hAnsi="Arial" w:cs="Arial"/>
                <w:sz w:val="22"/>
                <w:szCs w:val="22"/>
              </w:rPr>
              <w:t>Počet fyzických osob, které nejsou státními občany ČR, s evidovaným nebo povoleným pobytem na území ČR.</w:t>
            </w:r>
          </w:p>
        </w:tc>
      </w:tr>
      <w:tr w:rsidR="00E86883" w:rsidRPr="00E86883" w14:paraId="6CE63830" w14:textId="77777777" w:rsidTr="008D14FE">
        <w:tc>
          <w:tcPr>
            <w:tcW w:w="2802" w:type="dxa"/>
          </w:tcPr>
          <w:p w14:paraId="4ABBCECB" w14:textId="77777777" w:rsidR="00E86883" w:rsidRPr="00E86883" w:rsidRDefault="00E86883" w:rsidP="00BE1309">
            <w:pPr>
              <w:spacing w:line="276" w:lineRule="auto"/>
              <w:jc w:val="both"/>
              <w:rPr>
                <w:rFonts w:ascii="Arial" w:hAnsi="Arial" w:cs="Arial"/>
                <w:sz w:val="22"/>
                <w:szCs w:val="22"/>
              </w:rPr>
            </w:pPr>
            <w:r w:rsidRPr="00E86883">
              <w:rPr>
                <w:rFonts w:ascii="Arial" w:hAnsi="Arial" w:cs="Arial"/>
                <w:sz w:val="22"/>
                <w:szCs w:val="22"/>
              </w:rPr>
              <w:t>Jednotka:</w:t>
            </w:r>
          </w:p>
        </w:tc>
        <w:tc>
          <w:tcPr>
            <w:tcW w:w="6486" w:type="dxa"/>
          </w:tcPr>
          <w:p w14:paraId="21F91D50" w14:textId="77777777" w:rsidR="00E86883" w:rsidRPr="00E86883" w:rsidRDefault="00E86883" w:rsidP="00BE1309">
            <w:pPr>
              <w:spacing w:line="276" w:lineRule="auto"/>
              <w:jc w:val="both"/>
              <w:rPr>
                <w:rFonts w:ascii="Arial" w:hAnsi="Arial" w:cs="Arial"/>
                <w:sz w:val="22"/>
                <w:szCs w:val="22"/>
              </w:rPr>
            </w:pPr>
            <w:r w:rsidRPr="00E86883">
              <w:rPr>
                <w:rFonts w:ascii="Arial" w:hAnsi="Arial" w:cs="Arial"/>
                <w:sz w:val="22"/>
                <w:szCs w:val="22"/>
              </w:rPr>
              <w:t>Počet osob</w:t>
            </w:r>
          </w:p>
        </w:tc>
      </w:tr>
      <w:tr w:rsidR="00E86883" w:rsidRPr="00E86883" w14:paraId="7D0087A4" w14:textId="77777777" w:rsidTr="008D14FE">
        <w:tc>
          <w:tcPr>
            <w:tcW w:w="2802" w:type="dxa"/>
          </w:tcPr>
          <w:p w14:paraId="57067722" w14:textId="77777777" w:rsidR="00E86883" w:rsidRPr="00E86883" w:rsidRDefault="00E86883" w:rsidP="00BE1309">
            <w:pPr>
              <w:spacing w:line="276" w:lineRule="auto"/>
              <w:jc w:val="both"/>
              <w:rPr>
                <w:rFonts w:ascii="Arial" w:hAnsi="Arial" w:cs="Arial"/>
                <w:sz w:val="22"/>
                <w:szCs w:val="22"/>
              </w:rPr>
            </w:pPr>
            <w:r w:rsidRPr="00E86883">
              <w:rPr>
                <w:rFonts w:ascii="Arial" w:hAnsi="Arial" w:cs="Arial"/>
                <w:sz w:val="22"/>
                <w:szCs w:val="22"/>
              </w:rPr>
              <w:t xml:space="preserve">Gestor: </w:t>
            </w:r>
          </w:p>
        </w:tc>
        <w:tc>
          <w:tcPr>
            <w:tcW w:w="6486" w:type="dxa"/>
          </w:tcPr>
          <w:p w14:paraId="2E152A32" w14:textId="77777777" w:rsidR="00E86883" w:rsidRPr="00E86883" w:rsidRDefault="00E86883" w:rsidP="00BE1309">
            <w:pPr>
              <w:spacing w:line="276" w:lineRule="auto"/>
              <w:jc w:val="both"/>
              <w:rPr>
                <w:rFonts w:ascii="Arial" w:hAnsi="Arial" w:cs="Arial"/>
                <w:sz w:val="22"/>
                <w:szCs w:val="22"/>
              </w:rPr>
            </w:pPr>
            <w:r w:rsidRPr="00E86883">
              <w:rPr>
                <w:rFonts w:ascii="Arial" w:hAnsi="Arial" w:cs="Arial"/>
                <w:sz w:val="22"/>
                <w:szCs w:val="22"/>
                <w:lang w:eastAsia="en-US"/>
              </w:rPr>
              <w:t>Český statistický úřad</w:t>
            </w:r>
          </w:p>
        </w:tc>
      </w:tr>
      <w:tr w:rsidR="00E86883" w:rsidRPr="00E86883" w14:paraId="124E23D1" w14:textId="77777777" w:rsidTr="008D14FE">
        <w:tc>
          <w:tcPr>
            <w:tcW w:w="2802" w:type="dxa"/>
          </w:tcPr>
          <w:p w14:paraId="1860A9B9" w14:textId="77777777" w:rsidR="00E86883" w:rsidRPr="00E86883" w:rsidRDefault="00E86883" w:rsidP="00BE1309">
            <w:pPr>
              <w:spacing w:line="276" w:lineRule="auto"/>
              <w:jc w:val="both"/>
              <w:rPr>
                <w:rFonts w:ascii="Arial" w:hAnsi="Arial" w:cs="Arial"/>
                <w:sz w:val="22"/>
                <w:szCs w:val="22"/>
              </w:rPr>
            </w:pPr>
            <w:r w:rsidRPr="00E86883">
              <w:rPr>
                <w:rFonts w:ascii="Arial" w:hAnsi="Arial" w:cs="Arial"/>
                <w:sz w:val="22"/>
                <w:szCs w:val="22"/>
              </w:rPr>
              <w:t xml:space="preserve">Význam indikátoru: </w:t>
            </w:r>
          </w:p>
        </w:tc>
        <w:tc>
          <w:tcPr>
            <w:tcW w:w="6486" w:type="dxa"/>
          </w:tcPr>
          <w:p w14:paraId="4F5BDD85" w14:textId="72BB0C44" w:rsidR="00E86883" w:rsidRPr="00E86883" w:rsidRDefault="00E86883" w:rsidP="00BE1309">
            <w:pPr>
              <w:spacing w:line="276" w:lineRule="auto"/>
              <w:jc w:val="both"/>
              <w:rPr>
                <w:rFonts w:ascii="Arial" w:hAnsi="Arial" w:cs="Arial"/>
                <w:sz w:val="22"/>
                <w:szCs w:val="22"/>
              </w:rPr>
            </w:pPr>
            <w:r w:rsidRPr="00E86883">
              <w:rPr>
                <w:rFonts w:ascii="Arial" w:hAnsi="Arial" w:cs="Arial"/>
                <w:sz w:val="22"/>
                <w:szCs w:val="22"/>
              </w:rPr>
              <w:t>Poskytuje přehled o cizincích v</w:t>
            </w:r>
            <w:r w:rsidR="00BB61C3">
              <w:rPr>
                <w:rFonts w:ascii="Arial" w:hAnsi="Arial" w:cs="Arial"/>
                <w:sz w:val="22"/>
                <w:szCs w:val="22"/>
              </w:rPr>
              <w:t> </w:t>
            </w:r>
            <w:r w:rsidRPr="00E86883">
              <w:rPr>
                <w:rFonts w:ascii="Arial" w:hAnsi="Arial" w:cs="Arial"/>
                <w:sz w:val="22"/>
                <w:szCs w:val="22"/>
              </w:rPr>
              <w:t>ČR</w:t>
            </w:r>
            <w:r w:rsidR="00BB61C3">
              <w:rPr>
                <w:rFonts w:ascii="Arial" w:hAnsi="Arial" w:cs="Arial"/>
                <w:sz w:val="22"/>
                <w:szCs w:val="22"/>
              </w:rPr>
              <w:t>.</w:t>
            </w:r>
            <w:r w:rsidRPr="00E86883">
              <w:rPr>
                <w:rFonts w:ascii="Arial" w:hAnsi="Arial" w:cs="Arial"/>
                <w:sz w:val="22"/>
                <w:szCs w:val="22"/>
              </w:rPr>
              <w:t xml:space="preserve"> </w:t>
            </w:r>
          </w:p>
        </w:tc>
      </w:tr>
      <w:tr w:rsidR="00E86883" w:rsidRPr="00E86883" w14:paraId="684CD3DE" w14:textId="77777777" w:rsidTr="008D14FE">
        <w:tc>
          <w:tcPr>
            <w:tcW w:w="2802" w:type="dxa"/>
          </w:tcPr>
          <w:p w14:paraId="5AC0BD00" w14:textId="77777777" w:rsidR="00E86883" w:rsidRPr="00E86883" w:rsidRDefault="00E86883" w:rsidP="00BE1309">
            <w:pPr>
              <w:spacing w:line="276" w:lineRule="auto"/>
              <w:jc w:val="both"/>
              <w:rPr>
                <w:rFonts w:ascii="Arial" w:hAnsi="Arial" w:cs="Arial"/>
                <w:sz w:val="22"/>
                <w:szCs w:val="22"/>
              </w:rPr>
            </w:pPr>
            <w:r w:rsidRPr="00E86883">
              <w:rPr>
                <w:rFonts w:ascii="Arial" w:hAnsi="Arial" w:cs="Arial"/>
                <w:sz w:val="22"/>
                <w:szCs w:val="22"/>
              </w:rPr>
              <w:t xml:space="preserve">Časová řada: </w:t>
            </w:r>
          </w:p>
        </w:tc>
        <w:tc>
          <w:tcPr>
            <w:tcW w:w="6486" w:type="dxa"/>
          </w:tcPr>
          <w:p w14:paraId="2F1F8C0E" w14:textId="77777777" w:rsidR="00E86883" w:rsidRPr="00E86883" w:rsidRDefault="00E86883" w:rsidP="00BE1309">
            <w:pPr>
              <w:spacing w:line="276" w:lineRule="auto"/>
              <w:jc w:val="both"/>
              <w:rPr>
                <w:rFonts w:ascii="Arial" w:hAnsi="Arial" w:cs="Arial"/>
                <w:sz w:val="22"/>
                <w:szCs w:val="22"/>
              </w:rPr>
            </w:pPr>
            <w:r w:rsidRPr="00E86883">
              <w:rPr>
                <w:rFonts w:ascii="Arial" w:hAnsi="Arial" w:cs="Arial"/>
                <w:sz w:val="22"/>
                <w:szCs w:val="22"/>
              </w:rPr>
              <w:t xml:space="preserve">Od </w:t>
            </w:r>
            <w:r w:rsidR="00FC4714">
              <w:rPr>
                <w:rFonts w:ascii="Arial" w:hAnsi="Arial" w:cs="Arial"/>
                <w:sz w:val="22"/>
                <w:szCs w:val="22"/>
              </w:rPr>
              <w:t xml:space="preserve">roku </w:t>
            </w:r>
            <w:r w:rsidRPr="00E86883">
              <w:rPr>
                <w:rFonts w:ascii="Arial" w:hAnsi="Arial" w:cs="Arial"/>
                <w:sz w:val="22"/>
                <w:szCs w:val="22"/>
              </w:rPr>
              <w:t>2000</w:t>
            </w:r>
          </w:p>
        </w:tc>
      </w:tr>
      <w:tr w:rsidR="00E86883" w:rsidRPr="00E86883" w14:paraId="645A1B9C" w14:textId="77777777" w:rsidTr="008D14FE">
        <w:tc>
          <w:tcPr>
            <w:tcW w:w="2802" w:type="dxa"/>
          </w:tcPr>
          <w:p w14:paraId="6668E33B" w14:textId="77777777" w:rsidR="00E86883" w:rsidRPr="00E86883" w:rsidRDefault="00E86883" w:rsidP="00BE1309">
            <w:pPr>
              <w:spacing w:line="276" w:lineRule="auto"/>
              <w:jc w:val="both"/>
              <w:rPr>
                <w:rFonts w:ascii="Arial" w:hAnsi="Arial" w:cs="Arial"/>
                <w:sz w:val="22"/>
                <w:szCs w:val="22"/>
              </w:rPr>
            </w:pPr>
            <w:r w:rsidRPr="00E86883">
              <w:rPr>
                <w:rFonts w:ascii="Arial" w:hAnsi="Arial" w:cs="Arial"/>
                <w:sz w:val="22"/>
                <w:szCs w:val="22"/>
              </w:rPr>
              <w:t xml:space="preserve">Frekvence výstupu: </w:t>
            </w:r>
          </w:p>
        </w:tc>
        <w:tc>
          <w:tcPr>
            <w:tcW w:w="6486" w:type="dxa"/>
          </w:tcPr>
          <w:p w14:paraId="60E24ABD" w14:textId="77777777" w:rsidR="00E86883" w:rsidRPr="00E86883" w:rsidRDefault="00E86883" w:rsidP="00BE1309">
            <w:pPr>
              <w:spacing w:line="276" w:lineRule="auto"/>
              <w:jc w:val="both"/>
              <w:rPr>
                <w:rFonts w:ascii="Arial" w:hAnsi="Arial" w:cs="Arial"/>
                <w:sz w:val="22"/>
                <w:szCs w:val="22"/>
              </w:rPr>
            </w:pPr>
            <w:r w:rsidRPr="00E86883">
              <w:rPr>
                <w:rFonts w:ascii="Arial" w:hAnsi="Arial" w:cs="Arial"/>
                <w:sz w:val="22"/>
                <w:szCs w:val="22"/>
              </w:rPr>
              <w:t>Ročně</w:t>
            </w:r>
          </w:p>
        </w:tc>
      </w:tr>
      <w:tr w:rsidR="00E86883" w:rsidRPr="00E86883" w14:paraId="5BEE5795" w14:textId="77777777" w:rsidTr="008D14FE">
        <w:trPr>
          <w:trHeight w:val="70"/>
        </w:trPr>
        <w:tc>
          <w:tcPr>
            <w:tcW w:w="2802" w:type="dxa"/>
          </w:tcPr>
          <w:p w14:paraId="6FE21F8A" w14:textId="77777777" w:rsidR="00E86883" w:rsidRPr="00E86883" w:rsidRDefault="00E86883" w:rsidP="00BE1309">
            <w:pPr>
              <w:spacing w:line="276" w:lineRule="auto"/>
              <w:jc w:val="both"/>
              <w:rPr>
                <w:rFonts w:ascii="Arial" w:hAnsi="Arial" w:cs="Arial"/>
                <w:sz w:val="22"/>
                <w:szCs w:val="22"/>
              </w:rPr>
            </w:pPr>
            <w:r w:rsidRPr="00E86883">
              <w:rPr>
                <w:rFonts w:ascii="Arial" w:hAnsi="Arial" w:cs="Arial"/>
                <w:sz w:val="22"/>
                <w:szCs w:val="22"/>
              </w:rPr>
              <w:t xml:space="preserve">Členění indikátoru: </w:t>
            </w:r>
          </w:p>
        </w:tc>
        <w:tc>
          <w:tcPr>
            <w:tcW w:w="6486" w:type="dxa"/>
          </w:tcPr>
          <w:p w14:paraId="50E0D23D" w14:textId="03654E42" w:rsidR="00E86883" w:rsidRPr="00E86883" w:rsidRDefault="00D74D21" w:rsidP="00BE1309">
            <w:pPr>
              <w:spacing w:line="276" w:lineRule="auto"/>
              <w:jc w:val="both"/>
              <w:rPr>
                <w:rFonts w:ascii="Arial" w:hAnsi="Arial" w:cs="Arial"/>
                <w:sz w:val="22"/>
                <w:szCs w:val="22"/>
              </w:rPr>
            </w:pPr>
            <w:r>
              <w:rPr>
                <w:rFonts w:ascii="Arial" w:hAnsi="Arial" w:cs="Arial"/>
                <w:sz w:val="22"/>
                <w:szCs w:val="22"/>
              </w:rPr>
              <w:t>Dle p</w:t>
            </w:r>
            <w:r w:rsidR="00E86883" w:rsidRPr="00E86883">
              <w:rPr>
                <w:rFonts w:ascii="Arial" w:hAnsi="Arial" w:cs="Arial"/>
                <w:sz w:val="22"/>
                <w:szCs w:val="22"/>
              </w:rPr>
              <w:t>ohlaví, věk</w:t>
            </w:r>
            <w:r>
              <w:rPr>
                <w:rFonts w:ascii="Arial" w:hAnsi="Arial" w:cs="Arial"/>
                <w:sz w:val="22"/>
                <w:szCs w:val="22"/>
              </w:rPr>
              <w:t>u</w:t>
            </w:r>
            <w:r w:rsidR="00E86883" w:rsidRPr="00E86883">
              <w:rPr>
                <w:rFonts w:ascii="Arial" w:hAnsi="Arial" w:cs="Arial"/>
                <w:sz w:val="22"/>
                <w:szCs w:val="22"/>
              </w:rPr>
              <w:t>, země původu, občanství, účel</w:t>
            </w:r>
            <w:r>
              <w:rPr>
                <w:rFonts w:ascii="Arial" w:hAnsi="Arial" w:cs="Arial"/>
                <w:sz w:val="22"/>
                <w:szCs w:val="22"/>
              </w:rPr>
              <w:t>u</w:t>
            </w:r>
            <w:r w:rsidR="00E86883" w:rsidRPr="00E86883">
              <w:rPr>
                <w:rFonts w:ascii="Arial" w:hAnsi="Arial" w:cs="Arial"/>
                <w:sz w:val="22"/>
                <w:szCs w:val="22"/>
              </w:rPr>
              <w:t xml:space="preserve"> pobytu (pouze pro cizince ze třetích zemí s dlo</w:t>
            </w:r>
            <w:r>
              <w:rPr>
                <w:rFonts w:ascii="Arial" w:hAnsi="Arial" w:cs="Arial"/>
                <w:sz w:val="22"/>
                <w:szCs w:val="22"/>
              </w:rPr>
              <w:t>uhodobým pobytem): práce, rodiny, studia</w:t>
            </w:r>
            <w:r w:rsidR="00E86883" w:rsidRPr="00E86883">
              <w:rPr>
                <w:rFonts w:ascii="Arial" w:hAnsi="Arial" w:cs="Arial"/>
                <w:sz w:val="22"/>
                <w:szCs w:val="22"/>
              </w:rPr>
              <w:t>, ostatní</w:t>
            </w:r>
            <w:r w:rsidR="00BB61C3">
              <w:rPr>
                <w:rFonts w:ascii="Arial" w:hAnsi="Arial" w:cs="Arial"/>
                <w:sz w:val="22"/>
                <w:szCs w:val="22"/>
              </w:rPr>
              <w:t>.</w:t>
            </w:r>
          </w:p>
        </w:tc>
      </w:tr>
      <w:tr w:rsidR="00E86883" w:rsidRPr="00E86883" w14:paraId="5015CDC6" w14:textId="77777777" w:rsidTr="008D14FE">
        <w:trPr>
          <w:trHeight w:val="70"/>
        </w:trPr>
        <w:tc>
          <w:tcPr>
            <w:tcW w:w="2802" w:type="dxa"/>
          </w:tcPr>
          <w:p w14:paraId="61A2DEC5" w14:textId="77777777" w:rsidR="00E86883" w:rsidRPr="00E86883" w:rsidRDefault="00E86883" w:rsidP="00BE1309">
            <w:pPr>
              <w:spacing w:line="276" w:lineRule="auto"/>
              <w:jc w:val="both"/>
              <w:rPr>
                <w:rFonts w:ascii="Arial" w:hAnsi="Arial" w:cs="Arial"/>
                <w:sz w:val="22"/>
                <w:szCs w:val="22"/>
              </w:rPr>
            </w:pPr>
            <w:r w:rsidRPr="00E86883">
              <w:rPr>
                <w:rFonts w:ascii="Arial" w:hAnsi="Arial" w:cs="Arial"/>
                <w:sz w:val="22"/>
                <w:szCs w:val="22"/>
              </w:rPr>
              <w:t>Mezinárodní srovnání:</w:t>
            </w:r>
          </w:p>
        </w:tc>
        <w:tc>
          <w:tcPr>
            <w:tcW w:w="6486" w:type="dxa"/>
          </w:tcPr>
          <w:p w14:paraId="40491E22" w14:textId="77777777" w:rsidR="00E86883" w:rsidRPr="00E86883" w:rsidRDefault="00E86883" w:rsidP="00BE1309">
            <w:pPr>
              <w:spacing w:line="276" w:lineRule="auto"/>
              <w:jc w:val="both"/>
              <w:rPr>
                <w:rFonts w:ascii="Arial" w:hAnsi="Arial" w:cs="Arial"/>
                <w:sz w:val="22"/>
                <w:szCs w:val="22"/>
              </w:rPr>
            </w:pPr>
            <w:proofErr w:type="spellStart"/>
            <w:r w:rsidRPr="00E86883">
              <w:rPr>
                <w:rFonts w:ascii="Arial" w:hAnsi="Arial" w:cs="Arial"/>
                <w:sz w:val="22"/>
                <w:szCs w:val="22"/>
              </w:rPr>
              <w:t>Eurostat</w:t>
            </w:r>
            <w:proofErr w:type="spellEnd"/>
          </w:p>
        </w:tc>
      </w:tr>
    </w:tbl>
    <w:p w14:paraId="6F841372" w14:textId="77777777" w:rsidR="00E86883" w:rsidRPr="00E86883" w:rsidRDefault="00E86883" w:rsidP="00C51B65">
      <w:pPr>
        <w:spacing w:line="276" w:lineRule="auto"/>
        <w:ind w:left="708"/>
        <w:contextualSpacing/>
        <w:rPr>
          <w:rFonts w:ascii="Arial" w:eastAsia="Calibri" w:hAnsi="Arial" w:cs="Arial"/>
          <w:b/>
          <w:sz w:val="22"/>
          <w:szCs w:val="22"/>
          <w:lang w:eastAsia="en-US"/>
        </w:rPr>
      </w:pPr>
    </w:p>
    <w:tbl>
      <w:tblPr>
        <w:tblStyle w:val="Mkatabulky"/>
        <w:tblW w:w="0" w:type="auto"/>
        <w:tblLook w:val="04A0" w:firstRow="1" w:lastRow="0" w:firstColumn="1" w:lastColumn="0" w:noHBand="0" w:noVBand="1"/>
      </w:tblPr>
      <w:tblGrid>
        <w:gridCol w:w="2802"/>
        <w:gridCol w:w="6486"/>
      </w:tblGrid>
      <w:tr w:rsidR="00E86883" w:rsidRPr="00E86883" w14:paraId="69765527"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38EAF98C"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Název a označení indikátoru: </w:t>
            </w:r>
          </w:p>
        </w:tc>
        <w:tc>
          <w:tcPr>
            <w:tcW w:w="6486" w:type="dxa"/>
            <w:tcBorders>
              <w:top w:val="single" w:sz="4" w:space="0" w:color="auto"/>
              <w:left w:val="single" w:sz="4" w:space="0" w:color="auto"/>
              <w:bottom w:val="single" w:sz="4" w:space="0" w:color="auto"/>
              <w:right w:val="single" w:sz="4" w:space="0" w:color="auto"/>
            </w:tcBorders>
            <w:hideMark/>
          </w:tcPr>
          <w:p w14:paraId="29743086" w14:textId="77777777" w:rsidR="00E86883" w:rsidRPr="00E86883" w:rsidRDefault="00CC7A6B" w:rsidP="00CC7A6B">
            <w:pPr>
              <w:spacing w:line="276" w:lineRule="auto"/>
              <w:rPr>
                <w:rFonts w:ascii="Arial" w:hAnsi="Arial" w:cs="Arial"/>
                <w:b/>
                <w:sz w:val="22"/>
                <w:szCs w:val="22"/>
              </w:rPr>
            </w:pPr>
            <w:r>
              <w:rPr>
                <w:rFonts w:ascii="Arial" w:hAnsi="Arial" w:cs="Arial"/>
                <w:b/>
                <w:sz w:val="22"/>
                <w:szCs w:val="22"/>
              </w:rPr>
              <w:t>2.5.2 Počet imigrantů a imigrantek</w:t>
            </w:r>
          </w:p>
        </w:tc>
      </w:tr>
      <w:tr w:rsidR="00E86883" w:rsidRPr="00E86883" w14:paraId="66B0D2DA"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7BAD9627" w14:textId="77777777" w:rsidR="00E86883" w:rsidRPr="00E86883" w:rsidRDefault="00E86883" w:rsidP="00BE1309">
            <w:pPr>
              <w:spacing w:line="276" w:lineRule="auto"/>
              <w:jc w:val="both"/>
              <w:rPr>
                <w:rFonts w:ascii="Arial" w:hAnsi="Arial" w:cs="Arial"/>
                <w:sz w:val="22"/>
                <w:szCs w:val="22"/>
              </w:rPr>
            </w:pPr>
            <w:r w:rsidRPr="00E86883">
              <w:rPr>
                <w:rFonts w:ascii="Arial" w:hAnsi="Arial" w:cs="Arial"/>
                <w:sz w:val="22"/>
                <w:szCs w:val="22"/>
              </w:rPr>
              <w:t xml:space="preserve">Stručná definice: </w:t>
            </w:r>
          </w:p>
        </w:tc>
        <w:tc>
          <w:tcPr>
            <w:tcW w:w="6486" w:type="dxa"/>
            <w:tcBorders>
              <w:top w:val="single" w:sz="4" w:space="0" w:color="auto"/>
              <w:left w:val="single" w:sz="4" w:space="0" w:color="auto"/>
              <w:bottom w:val="single" w:sz="4" w:space="0" w:color="auto"/>
              <w:right w:val="single" w:sz="4" w:space="0" w:color="auto"/>
            </w:tcBorders>
          </w:tcPr>
          <w:p w14:paraId="4D663FF7" w14:textId="77777777" w:rsidR="00E86883" w:rsidRPr="00E86883" w:rsidRDefault="00E86883" w:rsidP="00BE1309">
            <w:pPr>
              <w:spacing w:line="276" w:lineRule="auto"/>
              <w:jc w:val="both"/>
              <w:rPr>
                <w:rFonts w:ascii="Arial" w:hAnsi="Arial" w:cs="Arial"/>
                <w:sz w:val="22"/>
                <w:szCs w:val="22"/>
              </w:rPr>
            </w:pPr>
            <w:r w:rsidRPr="00E86883">
              <w:rPr>
                <w:rFonts w:ascii="Arial" w:hAnsi="Arial" w:cs="Arial"/>
                <w:sz w:val="22"/>
                <w:szCs w:val="22"/>
              </w:rPr>
              <w:t>Počet osob, které se v průběhu danéh</w:t>
            </w:r>
            <w:r w:rsidR="003F570B">
              <w:rPr>
                <w:rFonts w:ascii="Arial" w:hAnsi="Arial" w:cs="Arial"/>
                <w:sz w:val="22"/>
                <w:szCs w:val="22"/>
              </w:rPr>
              <w:t>o kalendářního roku přistěhovaly</w:t>
            </w:r>
            <w:r w:rsidRPr="00E86883">
              <w:rPr>
                <w:rFonts w:ascii="Arial" w:hAnsi="Arial" w:cs="Arial"/>
                <w:sz w:val="22"/>
                <w:szCs w:val="22"/>
              </w:rPr>
              <w:t xml:space="preserve"> do ČR na základě přihlášení/povolení k trvalému pobytu, u cizinců rovněž přechodného pobytu (udělení víza k pobytu nad 90 dnů, povolení k dlouhodobému pobytu či potvrzení přechodného pobytu občanu EU) či jim byl v ČR přiznán azyl.</w:t>
            </w:r>
          </w:p>
        </w:tc>
      </w:tr>
      <w:tr w:rsidR="00E86883" w:rsidRPr="00E86883" w14:paraId="23257FEE"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2895D328" w14:textId="77777777" w:rsidR="00E86883" w:rsidRPr="00E86883" w:rsidRDefault="00E86883" w:rsidP="00BE1309">
            <w:pPr>
              <w:spacing w:line="276" w:lineRule="auto"/>
              <w:jc w:val="both"/>
              <w:rPr>
                <w:rFonts w:ascii="Arial" w:hAnsi="Arial" w:cs="Arial"/>
                <w:sz w:val="22"/>
                <w:szCs w:val="22"/>
              </w:rPr>
            </w:pPr>
            <w:r w:rsidRPr="00E86883">
              <w:rPr>
                <w:rFonts w:ascii="Arial" w:hAnsi="Arial" w:cs="Arial"/>
                <w:sz w:val="22"/>
                <w:szCs w:val="22"/>
              </w:rPr>
              <w:t>Jednotka:</w:t>
            </w:r>
          </w:p>
        </w:tc>
        <w:tc>
          <w:tcPr>
            <w:tcW w:w="6486" w:type="dxa"/>
            <w:tcBorders>
              <w:top w:val="single" w:sz="4" w:space="0" w:color="auto"/>
              <w:left w:val="single" w:sz="4" w:space="0" w:color="auto"/>
              <w:bottom w:val="single" w:sz="4" w:space="0" w:color="auto"/>
              <w:right w:val="single" w:sz="4" w:space="0" w:color="auto"/>
            </w:tcBorders>
            <w:hideMark/>
          </w:tcPr>
          <w:p w14:paraId="16D276D5" w14:textId="77777777" w:rsidR="00E86883" w:rsidRPr="00E86883" w:rsidRDefault="00E86883" w:rsidP="00BE1309">
            <w:pPr>
              <w:spacing w:line="276" w:lineRule="auto"/>
              <w:jc w:val="both"/>
              <w:rPr>
                <w:rFonts w:ascii="Arial" w:hAnsi="Arial" w:cs="Arial"/>
                <w:sz w:val="22"/>
                <w:szCs w:val="22"/>
              </w:rPr>
            </w:pPr>
            <w:r w:rsidRPr="00E86883">
              <w:rPr>
                <w:rFonts w:ascii="Arial" w:hAnsi="Arial" w:cs="Arial"/>
                <w:sz w:val="22"/>
                <w:szCs w:val="22"/>
              </w:rPr>
              <w:t>Počet osob</w:t>
            </w:r>
          </w:p>
        </w:tc>
      </w:tr>
      <w:tr w:rsidR="00E86883" w:rsidRPr="00E86883" w14:paraId="032D9C58"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70A989ED" w14:textId="77777777" w:rsidR="00E86883" w:rsidRPr="00E86883" w:rsidRDefault="00E86883" w:rsidP="00BE1309">
            <w:pPr>
              <w:spacing w:line="276" w:lineRule="auto"/>
              <w:jc w:val="both"/>
              <w:rPr>
                <w:rFonts w:ascii="Arial" w:hAnsi="Arial" w:cs="Arial"/>
                <w:sz w:val="22"/>
                <w:szCs w:val="22"/>
              </w:rPr>
            </w:pPr>
            <w:r w:rsidRPr="00E86883">
              <w:rPr>
                <w:rFonts w:ascii="Arial" w:hAnsi="Arial" w:cs="Arial"/>
                <w:sz w:val="22"/>
                <w:szCs w:val="22"/>
              </w:rPr>
              <w:t xml:space="preserve">Gestor: </w:t>
            </w:r>
          </w:p>
        </w:tc>
        <w:tc>
          <w:tcPr>
            <w:tcW w:w="6486" w:type="dxa"/>
            <w:tcBorders>
              <w:top w:val="single" w:sz="4" w:space="0" w:color="auto"/>
              <w:left w:val="single" w:sz="4" w:space="0" w:color="auto"/>
              <w:bottom w:val="single" w:sz="4" w:space="0" w:color="auto"/>
              <w:right w:val="single" w:sz="4" w:space="0" w:color="auto"/>
            </w:tcBorders>
          </w:tcPr>
          <w:p w14:paraId="331D3957" w14:textId="77777777" w:rsidR="00E86883" w:rsidRPr="00E86883" w:rsidRDefault="00E86883" w:rsidP="00BE1309">
            <w:pPr>
              <w:spacing w:line="276" w:lineRule="auto"/>
              <w:jc w:val="both"/>
              <w:rPr>
                <w:rFonts w:ascii="Arial" w:hAnsi="Arial" w:cs="Arial"/>
                <w:sz w:val="22"/>
                <w:szCs w:val="22"/>
              </w:rPr>
            </w:pPr>
            <w:r w:rsidRPr="00E86883">
              <w:rPr>
                <w:rFonts w:ascii="Arial" w:hAnsi="Arial" w:cs="Arial"/>
                <w:sz w:val="22"/>
                <w:szCs w:val="22"/>
                <w:lang w:eastAsia="en-US"/>
              </w:rPr>
              <w:t>Český statistický úřad</w:t>
            </w:r>
          </w:p>
        </w:tc>
      </w:tr>
      <w:tr w:rsidR="00E86883" w:rsidRPr="00E86883" w14:paraId="2EA0A75E"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07D3985D" w14:textId="77777777" w:rsidR="00E86883" w:rsidRPr="00E86883" w:rsidRDefault="00E86883" w:rsidP="00BE1309">
            <w:pPr>
              <w:spacing w:line="276" w:lineRule="auto"/>
              <w:jc w:val="both"/>
              <w:rPr>
                <w:rFonts w:ascii="Arial" w:hAnsi="Arial" w:cs="Arial"/>
                <w:sz w:val="22"/>
                <w:szCs w:val="22"/>
              </w:rPr>
            </w:pPr>
            <w:r w:rsidRPr="00E86883">
              <w:rPr>
                <w:rFonts w:ascii="Arial" w:hAnsi="Arial" w:cs="Arial"/>
                <w:sz w:val="22"/>
                <w:szCs w:val="22"/>
              </w:rPr>
              <w:t xml:space="preserve">Význam indikátoru: </w:t>
            </w:r>
          </w:p>
        </w:tc>
        <w:tc>
          <w:tcPr>
            <w:tcW w:w="6486" w:type="dxa"/>
            <w:tcBorders>
              <w:top w:val="single" w:sz="4" w:space="0" w:color="auto"/>
              <w:left w:val="single" w:sz="4" w:space="0" w:color="auto"/>
              <w:bottom w:val="single" w:sz="4" w:space="0" w:color="auto"/>
              <w:right w:val="single" w:sz="4" w:space="0" w:color="auto"/>
            </w:tcBorders>
          </w:tcPr>
          <w:p w14:paraId="5B88EAB2" w14:textId="77777777" w:rsidR="00E86883" w:rsidRPr="00E86883" w:rsidRDefault="00E86883" w:rsidP="00BE1309">
            <w:pPr>
              <w:spacing w:line="276" w:lineRule="auto"/>
              <w:jc w:val="both"/>
              <w:rPr>
                <w:rFonts w:ascii="Arial" w:hAnsi="Arial" w:cs="Arial"/>
                <w:sz w:val="22"/>
                <w:szCs w:val="22"/>
              </w:rPr>
            </w:pPr>
            <w:r w:rsidRPr="00E86883">
              <w:rPr>
                <w:rFonts w:ascii="Arial" w:hAnsi="Arial" w:cs="Arial"/>
                <w:sz w:val="22"/>
                <w:szCs w:val="22"/>
              </w:rPr>
              <w:t xml:space="preserve">Znázorňuje atraktivnost ČR </w:t>
            </w:r>
            <w:r w:rsidR="00FC4714">
              <w:rPr>
                <w:rFonts w:ascii="Arial" w:hAnsi="Arial" w:cs="Arial"/>
                <w:sz w:val="22"/>
                <w:szCs w:val="22"/>
              </w:rPr>
              <w:t xml:space="preserve">jako cílové země </w:t>
            </w:r>
            <w:r w:rsidRPr="00E86883">
              <w:rPr>
                <w:rFonts w:ascii="Arial" w:hAnsi="Arial" w:cs="Arial"/>
                <w:sz w:val="22"/>
                <w:szCs w:val="22"/>
              </w:rPr>
              <w:t xml:space="preserve">pro cizince </w:t>
            </w:r>
          </w:p>
        </w:tc>
      </w:tr>
      <w:tr w:rsidR="00E86883" w:rsidRPr="00E86883" w14:paraId="0D54CFEE"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64417D3D" w14:textId="77777777" w:rsidR="00E86883" w:rsidRPr="00E86883" w:rsidRDefault="00E86883" w:rsidP="00BE1309">
            <w:pPr>
              <w:spacing w:line="276" w:lineRule="auto"/>
              <w:jc w:val="both"/>
              <w:rPr>
                <w:rFonts w:ascii="Arial" w:hAnsi="Arial" w:cs="Arial"/>
                <w:sz w:val="22"/>
                <w:szCs w:val="22"/>
              </w:rPr>
            </w:pPr>
            <w:r w:rsidRPr="00E86883">
              <w:rPr>
                <w:rFonts w:ascii="Arial" w:hAnsi="Arial" w:cs="Arial"/>
                <w:sz w:val="22"/>
                <w:szCs w:val="22"/>
              </w:rPr>
              <w:t xml:space="preserve">Časová řada: </w:t>
            </w:r>
          </w:p>
        </w:tc>
        <w:tc>
          <w:tcPr>
            <w:tcW w:w="6486" w:type="dxa"/>
            <w:tcBorders>
              <w:top w:val="single" w:sz="4" w:space="0" w:color="auto"/>
              <w:left w:val="single" w:sz="4" w:space="0" w:color="auto"/>
              <w:bottom w:val="single" w:sz="4" w:space="0" w:color="auto"/>
              <w:right w:val="single" w:sz="4" w:space="0" w:color="auto"/>
            </w:tcBorders>
          </w:tcPr>
          <w:p w14:paraId="3F6E80ED" w14:textId="77777777" w:rsidR="00E86883" w:rsidRPr="00E86883" w:rsidRDefault="00E86883" w:rsidP="00BE1309">
            <w:pPr>
              <w:spacing w:line="276" w:lineRule="auto"/>
              <w:jc w:val="both"/>
              <w:rPr>
                <w:rFonts w:ascii="Arial" w:hAnsi="Arial" w:cs="Arial"/>
                <w:sz w:val="22"/>
                <w:szCs w:val="22"/>
              </w:rPr>
            </w:pPr>
            <w:r w:rsidRPr="00E86883">
              <w:rPr>
                <w:rFonts w:ascii="Arial" w:hAnsi="Arial" w:cs="Arial"/>
                <w:sz w:val="22"/>
                <w:szCs w:val="22"/>
              </w:rPr>
              <w:t xml:space="preserve">Od </w:t>
            </w:r>
            <w:r w:rsidR="00FC4714">
              <w:rPr>
                <w:rFonts w:ascii="Arial" w:hAnsi="Arial" w:cs="Arial"/>
                <w:sz w:val="22"/>
                <w:szCs w:val="22"/>
              </w:rPr>
              <w:t xml:space="preserve">roku </w:t>
            </w:r>
            <w:r w:rsidRPr="00E86883">
              <w:rPr>
                <w:rFonts w:ascii="Arial" w:hAnsi="Arial" w:cs="Arial"/>
                <w:sz w:val="22"/>
                <w:szCs w:val="22"/>
              </w:rPr>
              <w:t xml:space="preserve">2001 </w:t>
            </w:r>
          </w:p>
        </w:tc>
      </w:tr>
      <w:tr w:rsidR="00E86883" w:rsidRPr="00E86883" w14:paraId="2A4A7B5F"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09B98A0C" w14:textId="77777777" w:rsidR="00E86883" w:rsidRPr="00E86883" w:rsidRDefault="00E86883" w:rsidP="00BE1309">
            <w:pPr>
              <w:spacing w:line="276" w:lineRule="auto"/>
              <w:jc w:val="both"/>
              <w:rPr>
                <w:rFonts w:ascii="Arial" w:hAnsi="Arial" w:cs="Arial"/>
                <w:sz w:val="22"/>
                <w:szCs w:val="22"/>
              </w:rPr>
            </w:pPr>
            <w:r w:rsidRPr="00E86883">
              <w:rPr>
                <w:rFonts w:ascii="Arial" w:hAnsi="Arial" w:cs="Arial"/>
                <w:sz w:val="22"/>
                <w:szCs w:val="22"/>
              </w:rPr>
              <w:t xml:space="preserve">Frekvence výstupu: </w:t>
            </w:r>
          </w:p>
        </w:tc>
        <w:tc>
          <w:tcPr>
            <w:tcW w:w="6486" w:type="dxa"/>
            <w:tcBorders>
              <w:top w:val="single" w:sz="4" w:space="0" w:color="auto"/>
              <w:left w:val="single" w:sz="4" w:space="0" w:color="auto"/>
              <w:bottom w:val="single" w:sz="4" w:space="0" w:color="auto"/>
              <w:right w:val="single" w:sz="4" w:space="0" w:color="auto"/>
            </w:tcBorders>
          </w:tcPr>
          <w:p w14:paraId="2DF1A4C2" w14:textId="77777777" w:rsidR="00E86883" w:rsidRPr="00E86883" w:rsidRDefault="00E86883" w:rsidP="00BE1309">
            <w:pPr>
              <w:spacing w:line="276" w:lineRule="auto"/>
              <w:jc w:val="both"/>
              <w:rPr>
                <w:rFonts w:ascii="Arial" w:hAnsi="Arial" w:cs="Arial"/>
                <w:sz w:val="22"/>
                <w:szCs w:val="22"/>
              </w:rPr>
            </w:pPr>
            <w:r w:rsidRPr="00E86883">
              <w:rPr>
                <w:rFonts w:ascii="Arial" w:hAnsi="Arial" w:cs="Arial"/>
                <w:sz w:val="22"/>
                <w:szCs w:val="22"/>
              </w:rPr>
              <w:t>Ročně</w:t>
            </w:r>
          </w:p>
        </w:tc>
      </w:tr>
      <w:tr w:rsidR="00E86883" w:rsidRPr="00E86883" w14:paraId="12F757CD" w14:textId="77777777" w:rsidTr="008D14FE">
        <w:trPr>
          <w:trHeight w:val="70"/>
        </w:trPr>
        <w:tc>
          <w:tcPr>
            <w:tcW w:w="2802" w:type="dxa"/>
            <w:tcBorders>
              <w:top w:val="single" w:sz="4" w:space="0" w:color="auto"/>
              <w:left w:val="single" w:sz="4" w:space="0" w:color="auto"/>
              <w:bottom w:val="single" w:sz="4" w:space="0" w:color="auto"/>
              <w:right w:val="single" w:sz="4" w:space="0" w:color="auto"/>
            </w:tcBorders>
            <w:hideMark/>
          </w:tcPr>
          <w:p w14:paraId="066BBDA3" w14:textId="77777777" w:rsidR="00E86883" w:rsidRPr="00E86883" w:rsidRDefault="00E86883" w:rsidP="00BE1309">
            <w:pPr>
              <w:spacing w:line="276" w:lineRule="auto"/>
              <w:jc w:val="both"/>
              <w:rPr>
                <w:rFonts w:ascii="Arial" w:hAnsi="Arial" w:cs="Arial"/>
                <w:sz w:val="22"/>
                <w:szCs w:val="22"/>
              </w:rPr>
            </w:pPr>
            <w:r w:rsidRPr="00E86883">
              <w:rPr>
                <w:rFonts w:ascii="Arial" w:hAnsi="Arial" w:cs="Arial"/>
                <w:sz w:val="22"/>
                <w:szCs w:val="22"/>
              </w:rPr>
              <w:t xml:space="preserve">Členění indikátoru: </w:t>
            </w:r>
          </w:p>
        </w:tc>
        <w:tc>
          <w:tcPr>
            <w:tcW w:w="6486" w:type="dxa"/>
            <w:tcBorders>
              <w:top w:val="single" w:sz="4" w:space="0" w:color="auto"/>
              <w:left w:val="single" w:sz="4" w:space="0" w:color="auto"/>
              <w:bottom w:val="single" w:sz="4" w:space="0" w:color="auto"/>
              <w:right w:val="single" w:sz="4" w:space="0" w:color="auto"/>
            </w:tcBorders>
            <w:hideMark/>
          </w:tcPr>
          <w:p w14:paraId="6E56CCAF" w14:textId="7F3916FF" w:rsidR="00E86883" w:rsidRPr="00E86883" w:rsidRDefault="00D74D21" w:rsidP="00BE1309">
            <w:pPr>
              <w:spacing w:line="276" w:lineRule="auto"/>
              <w:jc w:val="both"/>
              <w:rPr>
                <w:rFonts w:ascii="Arial" w:hAnsi="Arial" w:cs="Arial"/>
                <w:sz w:val="22"/>
                <w:szCs w:val="22"/>
              </w:rPr>
            </w:pPr>
            <w:r>
              <w:rPr>
                <w:rFonts w:ascii="Arial" w:hAnsi="Arial" w:cs="Arial"/>
                <w:sz w:val="22"/>
                <w:szCs w:val="22"/>
              </w:rPr>
              <w:t>Dle p</w:t>
            </w:r>
            <w:r w:rsidR="00E86883" w:rsidRPr="00E86883">
              <w:rPr>
                <w:rFonts w:ascii="Arial" w:hAnsi="Arial" w:cs="Arial"/>
                <w:sz w:val="22"/>
                <w:szCs w:val="22"/>
              </w:rPr>
              <w:t>ohlaví, státní</w:t>
            </w:r>
            <w:r>
              <w:rPr>
                <w:rFonts w:ascii="Arial" w:hAnsi="Arial" w:cs="Arial"/>
                <w:sz w:val="22"/>
                <w:szCs w:val="22"/>
              </w:rPr>
              <w:t>ho</w:t>
            </w:r>
            <w:r w:rsidR="00E86883" w:rsidRPr="00E86883">
              <w:rPr>
                <w:rFonts w:ascii="Arial" w:hAnsi="Arial" w:cs="Arial"/>
                <w:sz w:val="22"/>
                <w:szCs w:val="22"/>
              </w:rPr>
              <w:t xml:space="preserve"> občanství</w:t>
            </w:r>
            <w:r w:rsidR="00BB61C3">
              <w:rPr>
                <w:rFonts w:ascii="Arial" w:hAnsi="Arial" w:cs="Arial"/>
                <w:sz w:val="22"/>
                <w:szCs w:val="22"/>
              </w:rPr>
              <w:t xml:space="preserve">, </w:t>
            </w:r>
            <w:r>
              <w:rPr>
                <w:rFonts w:ascii="Arial" w:hAnsi="Arial" w:cs="Arial"/>
                <w:sz w:val="22"/>
                <w:szCs w:val="22"/>
              </w:rPr>
              <w:t>kraje, obce</w:t>
            </w:r>
          </w:p>
        </w:tc>
      </w:tr>
      <w:tr w:rsidR="00E86883" w:rsidRPr="00E86883" w14:paraId="2CA3A9BF" w14:textId="77777777" w:rsidTr="008D14FE">
        <w:trPr>
          <w:trHeight w:val="70"/>
        </w:trPr>
        <w:tc>
          <w:tcPr>
            <w:tcW w:w="2802" w:type="dxa"/>
            <w:tcBorders>
              <w:top w:val="single" w:sz="4" w:space="0" w:color="auto"/>
              <w:left w:val="single" w:sz="4" w:space="0" w:color="auto"/>
              <w:bottom w:val="single" w:sz="4" w:space="0" w:color="auto"/>
              <w:right w:val="single" w:sz="4" w:space="0" w:color="auto"/>
            </w:tcBorders>
            <w:hideMark/>
          </w:tcPr>
          <w:p w14:paraId="35F021A0" w14:textId="77777777" w:rsidR="00E86883" w:rsidRPr="00E86883" w:rsidRDefault="00E86883" w:rsidP="00BE1309">
            <w:pPr>
              <w:spacing w:line="276" w:lineRule="auto"/>
              <w:jc w:val="both"/>
              <w:rPr>
                <w:rFonts w:ascii="Arial" w:hAnsi="Arial" w:cs="Arial"/>
                <w:sz w:val="22"/>
                <w:szCs w:val="22"/>
              </w:rPr>
            </w:pPr>
            <w:r w:rsidRPr="00E86883">
              <w:rPr>
                <w:rFonts w:ascii="Arial" w:hAnsi="Arial" w:cs="Arial"/>
                <w:sz w:val="22"/>
                <w:szCs w:val="22"/>
              </w:rPr>
              <w:t>Mezinárodní srovnání:</w:t>
            </w:r>
          </w:p>
        </w:tc>
        <w:tc>
          <w:tcPr>
            <w:tcW w:w="6486" w:type="dxa"/>
            <w:tcBorders>
              <w:top w:val="single" w:sz="4" w:space="0" w:color="auto"/>
              <w:left w:val="single" w:sz="4" w:space="0" w:color="auto"/>
              <w:bottom w:val="single" w:sz="4" w:space="0" w:color="auto"/>
              <w:right w:val="single" w:sz="4" w:space="0" w:color="auto"/>
            </w:tcBorders>
          </w:tcPr>
          <w:p w14:paraId="5846BBE8" w14:textId="77777777" w:rsidR="00E86883" w:rsidRPr="00E86883" w:rsidRDefault="00E86883" w:rsidP="00BE1309">
            <w:pPr>
              <w:spacing w:line="276" w:lineRule="auto"/>
              <w:jc w:val="both"/>
              <w:rPr>
                <w:rFonts w:ascii="Arial" w:hAnsi="Arial" w:cs="Arial"/>
                <w:sz w:val="22"/>
                <w:szCs w:val="22"/>
              </w:rPr>
            </w:pPr>
            <w:proofErr w:type="spellStart"/>
            <w:r w:rsidRPr="00E86883">
              <w:rPr>
                <w:rFonts w:ascii="Arial" w:hAnsi="Arial" w:cs="Arial"/>
                <w:sz w:val="22"/>
                <w:szCs w:val="22"/>
              </w:rPr>
              <w:t>Eurostat</w:t>
            </w:r>
            <w:proofErr w:type="spellEnd"/>
            <w:r w:rsidRPr="00E86883">
              <w:rPr>
                <w:rFonts w:ascii="Arial" w:hAnsi="Arial" w:cs="Arial"/>
                <w:sz w:val="22"/>
                <w:szCs w:val="22"/>
              </w:rPr>
              <w:t xml:space="preserve"> (v definici dle obvyklého pobytu)</w:t>
            </w:r>
          </w:p>
        </w:tc>
      </w:tr>
    </w:tbl>
    <w:p w14:paraId="1DB3BE89" w14:textId="77777777" w:rsidR="00E86883" w:rsidRDefault="00E86883" w:rsidP="00C51B65">
      <w:pPr>
        <w:spacing w:line="276" w:lineRule="auto"/>
        <w:contextualSpacing/>
        <w:rPr>
          <w:rFonts w:ascii="Arial" w:eastAsia="Calibri" w:hAnsi="Arial" w:cs="Arial"/>
          <w:b/>
          <w:sz w:val="22"/>
          <w:szCs w:val="22"/>
          <w:lang w:eastAsia="en-US"/>
        </w:rPr>
      </w:pPr>
    </w:p>
    <w:tbl>
      <w:tblPr>
        <w:tblStyle w:val="Mkatabulky"/>
        <w:tblW w:w="0" w:type="auto"/>
        <w:tblLook w:val="04A0" w:firstRow="1" w:lastRow="0" w:firstColumn="1" w:lastColumn="0" w:noHBand="0" w:noVBand="1"/>
      </w:tblPr>
      <w:tblGrid>
        <w:gridCol w:w="2802"/>
        <w:gridCol w:w="6486"/>
      </w:tblGrid>
      <w:tr w:rsidR="001677B4" w:rsidRPr="00E86883" w14:paraId="38E96670" w14:textId="77777777" w:rsidTr="00B86883">
        <w:tc>
          <w:tcPr>
            <w:tcW w:w="2802" w:type="dxa"/>
            <w:tcBorders>
              <w:top w:val="single" w:sz="4" w:space="0" w:color="auto"/>
              <w:left w:val="single" w:sz="4" w:space="0" w:color="auto"/>
              <w:bottom w:val="single" w:sz="4" w:space="0" w:color="auto"/>
              <w:right w:val="single" w:sz="4" w:space="0" w:color="auto"/>
            </w:tcBorders>
            <w:hideMark/>
          </w:tcPr>
          <w:p w14:paraId="09EF1BAF" w14:textId="77777777" w:rsidR="001677B4" w:rsidRPr="00E86883" w:rsidRDefault="001677B4" w:rsidP="00B86883">
            <w:pPr>
              <w:spacing w:line="276" w:lineRule="auto"/>
              <w:rPr>
                <w:rFonts w:ascii="Arial" w:hAnsi="Arial" w:cs="Arial"/>
                <w:sz w:val="22"/>
                <w:szCs w:val="22"/>
              </w:rPr>
            </w:pPr>
            <w:r w:rsidRPr="00E86883">
              <w:rPr>
                <w:rFonts w:ascii="Arial" w:hAnsi="Arial" w:cs="Arial"/>
                <w:sz w:val="22"/>
                <w:szCs w:val="22"/>
              </w:rPr>
              <w:t xml:space="preserve">Název a označení indikátoru: </w:t>
            </w:r>
          </w:p>
        </w:tc>
        <w:tc>
          <w:tcPr>
            <w:tcW w:w="6486" w:type="dxa"/>
            <w:tcBorders>
              <w:top w:val="single" w:sz="4" w:space="0" w:color="auto"/>
              <w:left w:val="single" w:sz="4" w:space="0" w:color="auto"/>
              <w:bottom w:val="single" w:sz="4" w:space="0" w:color="auto"/>
              <w:right w:val="single" w:sz="4" w:space="0" w:color="auto"/>
            </w:tcBorders>
            <w:hideMark/>
          </w:tcPr>
          <w:p w14:paraId="3505C1D2" w14:textId="77777777" w:rsidR="001677B4" w:rsidRPr="00E86883" w:rsidRDefault="001677B4" w:rsidP="00B86883">
            <w:pPr>
              <w:spacing w:line="276" w:lineRule="auto"/>
              <w:rPr>
                <w:rFonts w:ascii="Arial" w:hAnsi="Arial" w:cs="Arial"/>
                <w:b/>
                <w:sz w:val="22"/>
                <w:szCs w:val="22"/>
              </w:rPr>
            </w:pPr>
            <w:r w:rsidRPr="00E86883">
              <w:rPr>
                <w:rFonts w:ascii="Arial" w:hAnsi="Arial" w:cs="Arial"/>
                <w:b/>
                <w:sz w:val="22"/>
                <w:szCs w:val="22"/>
              </w:rPr>
              <w:t xml:space="preserve">2.5.3 </w:t>
            </w:r>
            <w:r>
              <w:rPr>
                <w:rFonts w:ascii="Arial" w:hAnsi="Arial" w:cs="Arial"/>
                <w:b/>
                <w:sz w:val="22"/>
                <w:szCs w:val="22"/>
              </w:rPr>
              <w:t>M</w:t>
            </w:r>
            <w:r w:rsidRPr="00E86883">
              <w:rPr>
                <w:rFonts w:ascii="Arial" w:hAnsi="Arial" w:cs="Arial"/>
                <w:b/>
                <w:sz w:val="22"/>
                <w:szCs w:val="22"/>
              </w:rPr>
              <w:t xml:space="preserve">íra </w:t>
            </w:r>
            <w:r>
              <w:rPr>
                <w:rFonts w:ascii="Arial" w:hAnsi="Arial" w:cs="Arial"/>
                <w:b/>
                <w:sz w:val="22"/>
                <w:szCs w:val="22"/>
              </w:rPr>
              <w:t xml:space="preserve">hrubé </w:t>
            </w:r>
            <w:r w:rsidRPr="00E86883">
              <w:rPr>
                <w:rFonts w:ascii="Arial" w:hAnsi="Arial" w:cs="Arial"/>
                <w:b/>
                <w:sz w:val="22"/>
                <w:szCs w:val="22"/>
              </w:rPr>
              <w:t>migrace</w:t>
            </w:r>
          </w:p>
        </w:tc>
      </w:tr>
      <w:tr w:rsidR="001677B4" w:rsidRPr="00E86883" w14:paraId="772CD7CC" w14:textId="77777777" w:rsidTr="00B86883">
        <w:tc>
          <w:tcPr>
            <w:tcW w:w="2802" w:type="dxa"/>
            <w:tcBorders>
              <w:top w:val="single" w:sz="4" w:space="0" w:color="auto"/>
              <w:left w:val="single" w:sz="4" w:space="0" w:color="auto"/>
              <w:bottom w:val="single" w:sz="4" w:space="0" w:color="auto"/>
              <w:right w:val="single" w:sz="4" w:space="0" w:color="auto"/>
            </w:tcBorders>
            <w:hideMark/>
          </w:tcPr>
          <w:p w14:paraId="6D0BA5A9" w14:textId="77777777" w:rsidR="001677B4" w:rsidRPr="00E86883" w:rsidRDefault="001677B4" w:rsidP="00B86883">
            <w:pPr>
              <w:spacing w:line="276" w:lineRule="auto"/>
              <w:rPr>
                <w:rFonts w:ascii="Arial" w:hAnsi="Arial" w:cs="Arial"/>
                <w:sz w:val="22"/>
                <w:szCs w:val="22"/>
              </w:rPr>
            </w:pPr>
            <w:r w:rsidRPr="00E86883">
              <w:rPr>
                <w:rFonts w:ascii="Arial" w:hAnsi="Arial" w:cs="Arial"/>
                <w:sz w:val="22"/>
                <w:szCs w:val="22"/>
              </w:rPr>
              <w:t xml:space="preserve">Stručná definice: </w:t>
            </w:r>
          </w:p>
        </w:tc>
        <w:tc>
          <w:tcPr>
            <w:tcW w:w="6486" w:type="dxa"/>
            <w:tcBorders>
              <w:top w:val="single" w:sz="4" w:space="0" w:color="auto"/>
              <w:left w:val="single" w:sz="4" w:space="0" w:color="auto"/>
              <w:bottom w:val="single" w:sz="4" w:space="0" w:color="auto"/>
              <w:right w:val="single" w:sz="4" w:space="0" w:color="auto"/>
            </w:tcBorders>
          </w:tcPr>
          <w:p w14:paraId="72DF2F77" w14:textId="77777777" w:rsidR="001677B4" w:rsidRPr="00E86883" w:rsidRDefault="001677B4" w:rsidP="0099602A">
            <w:pPr>
              <w:spacing w:line="276" w:lineRule="auto"/>
              <w:jc w:val="both"/>
              <w:rPr>
                <w:rFonts w:ascii="Arial" w:hAnsi="Arial" w:cs="Arial"/>
                <w:sz w:val="22"/>
                <w:szCs w:val="22"/>
              </w:rPr>
            </w:pPr>
            <w:r w:rsidRPr="00E86883">
              <w:rPr>
                <w:rFonts w:ascii="Arial" w:hAnsi="Arial" w:cs="Arial"/>
                <w:sz w:val="22"/>
                <w:szCs w:val="22"/>
              </w:rPr>
              <w:t>Počet přistěhovalých a vystěhovalých osob do/z ČR během daného kalendářního roku na 1 000 obyvatel středního stavu.</w:t>
            </w:r>
          </w:p>
        </w:tc>
      </w:tr>
      <w:tr w:rsidR="001677B4" w:rsidRPr="00E86883" w14:paraId="193D3A85" w14:textId="77777777" w:rsidTr="00B86883">
        <w:tc>
          <w:tcPr>
            <w:tcW w:w="2802" w:type="dxa"/>
            <w:tcBorders>
              <w:top w:val="single" w:sz="4" w:space="0" w:color="auto"/>
              <w:left w:val="single" w:sz="4" w:space="0" w:color="auto"/>
              <w:bottom w:val="single" w:sz="4" w:space="0" w:color="auto"/>
              <w:right w:val="single" w:sz="4" w:space="0" w:color="auto"/>
            </w:tcBorders>
            <w:hideMark/>
          </w:tcPr>
          <w:p w14:paraId="0E5F98C9" w14:textId="77777777" w:rsidR="001677B4" w:rsidRPr="00E86883" w:rsidRDefault="001677B4" w:rsidP="00B86883">
            <w:pPr>
              <w:spacing w:line="276" w:lineRule="auto"/>
              <w:rPr>
                <w:rFonts w:ascii="Arial" w:hAnsi="Arial" w:cs="Arial"/>
                <w:sz w:val="22"/>
                <w:szCs w:val="22"/>
              </w:rPr>
            </w:pPr>
            <w:r w:rsidRPr="00E86883">
              <w:rPr>
                <w:rFonts w:ascii="Arial" w:hAnsi="Arial" w:cs="Arial"/>
                <w:sz w:val="22"/>
                <w:szCs w:val="22"/>
              </w:rPr>
              <w:t>Jednotka:</w:t>
            </w:r>
          </w:p>
        </w:tc>
        <w:tc>
          <w:tcPr>
            <w:tcW w:w="6486" w:type="dxa"/>
            <w:tcBorders>
              <w:top w:val="single" w:sz="4" w:space="0" w:color="auto"/>
              <w:left w:val="single" w:sz="4" w:space="0" w:color="auto"/>
              <w:bottom w:val="single" w:sz="4" w:space="0" w:color="auto"/>
              <w:right w:val="single" w:sz="4" w:space="0" w:color="auto"/>
            </w:tcBorders>
            <w:hideMark/>
          </w:tcPr>
          <w:p w14:paraId="04750B40" w14:textId="77777777" w:rsidR="001677B4" w:rsidRPr="00E86883" w:rsidRDefault="001677B4" w:rsidP="0099602A">
            <w:pPr>
              <w:spacing w:line="276" w:lineRule="auto"/>
              <w:jc w:val="both"/>
              <w:rPr>
                <w:rFonts w:ascii="Arial" w:hAnsi="Arial" w:cs="Arial"/>
                <w:sz w:val="22"/>
                <w:szCs w:val="22"/>
              </w:rPr>
            </w:pPr>
            <w:r w:rsidRPr="00E86883">
              <w:rPr>
                <w:rFonts w:ascii="Arial" w:hAnsi="Arial" w:cs="Arial"/>
                <w:sz w:val="22"/>
                <w:szCs w:val="22"/>
              </w:rPr>
              <w:t>Podíl (v ‰)</w:t>
            </w:r>
          </w:p>
        </w:tc>
      </w:tr>
      <w:tr w:rsidR="001677B4" w:rsidRPr="00E86883" w14:paraId="14C36313" w14:textId="77777777" w:rsidTr="00B86883">
        <w:tc>
          <w:tcPr>
            <w:tcW w:w="2802" w:type="dxa"/>
            <w:tcBorders>
              <w:top w:val="single" w:sz="4" w:space="0" w:color="auto"/>
              <w:left w:val="single" w:sz="4" w:space="0" w:color="auto"/>
              <w:bottom w:val="single" w:sz="4" w:space="0" w:color="auto"/>
              <w:right w:val="single" w:sz="4" w:space="0" w:color="auto"/>
            </w:tcBorders>
            <w:hideMark/>
          </w:tcPr>
          <w:p w14:paraId="5CFAB07E" w14:textId="77777777" w:rsidR="001677B4" w:rsidRPr="00E86883" w:rsidRDefault="001677B4" w:rsidP="00B86883">
            <w:pPr>
              <w:spacing w:line="276" w:lineRule="auto"/>
              <w:rPr>
                <w:rFonts w:ascii="Arial" w:hAnsi="Arial" w:cs="Arial"/>
                <w:sz w:val="22"/>
                <w:szCs w:val="22"/>
              </w:rPr>
            </w:pPr>
            <w:r w:rsidRPr="00E86883">
              <w:rPr>
                <w:rFonts w:ascii="Arial" w:hAnsi="Arial" w:cs="Arial"/>
                <w:sz w:val="22"/>
                <w:szCs w:val="22"/>
              </w:rPr>
              <w:t xml:space="preserve">Gestor: </w:t>
            </w:r>
          </w:p>
        </w:tc>
        <w:tc>
          <w:tcPr>
            <w:tcW w:w="6486" w:type="dxa"/>
            <w:tcBorders>
              <w:top w:val="single" w:sz="4" w:space="0" w:color="auto"/>
              <w:left w:val="single" w:sz="4" w:space="0" w:color="auto"/>
              <w:bottom w:val="single" w:sz="4" w:space="0" w:color="auto"/>
              <w:right w:val="single" w:sz="4" w:space="0" w:color="auto"/>
            </w:tcBorders>
          </w:tcPr>
          <w:p w14:paraId="1851CA1C" w14:textId="77777777" w:rsidR="001677B4" w:rsidRPr="00E86883" w:rsidRDefault="001677B4" w:rsidP="0099602A">
            <w:pPr>
              <w:spacing w:line="276" w:lineRule="auto"/>
              <w:jc w:val="both"/>
              <w:rPr>
                <w:rFonts w:ascii="Arial" w:hAnsi="Arial" w:cs="Arial"/>
                <w:sz w:val="22"/>
                <w:szCs w:val="22"/>
              </w:rPr>
            </w:pPr>
            <w:r w:rsidRPr="00E86883">
              <w:rPr>
                <w:rFonts w:ascii="Arial" w:hAnsi="Arial" w:cs="Arial"/>
                <w:sz w:val="22"/>
                <w:szCs w:val="22"/>
                <w:lang w:eastAsia="en-US"/>
              </w:rPr>
              <w:t>Český statistický úřad</w:t>
            </w:r>
          </w:p>
        </w:tc>
      </w:tr>
      <w:tr w:rsidR="001677B4" w:rsidRPr="00E86883" w14:paraId="5AE3FC0E" w14:textId="77777777" w:rsidTr="00B86883">
        <w:tc>
          <w:tcPr>
            <w:tcW w:w="2802" w:type="dxa"/>
            <w:tcBorders>
              <w:top w:val="single" w:sz="4" w:space="0" w:color="auto"/>
              <w:left w:val="single" w:sz="4" w:space="0" w:color="auto"/>
              <w:bottom w:val="single" w:sz="4" w:space="0" w:color="auto"/>
              <w:right w:val="single" w:sz="4" w:space="0" w:color="auto"/>
            </w:tcBorders>
            <w:hideMark/>
          </w:tcPr>
          <w:p w14:paraId="26BC8DA5" w14:textId="77777777" w:rsidR="001677B4" w:rsidRPr="00E86883" w:rsidRDefault="001677B4" w:rsidP="00B86883">
            <w:pPr>
              <w:spacing w:line="276" w:lineRule="auto"/>
              <w:rPr>
                <w:rFonts w:ascii="Arial" w:hAnsi="Arial" w:cs="Arial"/>
                <w:sz w:val="22"/>
                <w:szCs w:val="22"/>
              </w:rPr>
            </w:pPr>
            <w:r w:rsidRPr="00E86883">
              <w:rPr>
                <w:rFonts w:ascii="Arial" w:hAnsi="Arial" w:cs="Arial"/>
                <w:sz w:val="22"/>
                <w:szCs w:val="22"/>
              </w:rPr>
              <w:t xml:space="preserve">Význam indikátoru: </w:t>
            </w:r>
          </w:p>
        </w:tc>
        <w:tc>
          <w:tcPr>
            <w:tcW w:w="6486" w:type="dxa"/>
            <w:tcBorders>
              <w:top w:val="single" w:sz="4" w:space="0" w:color="auto"/>
              <w:left w:val="single" w:sz="4" w:space="0" w:color="auto"/>
              <w:bottom w:val="single" w:sz="4" w:space="0" w:color="auto"/>
              <w:right w:val="single" w:sz="4" w:space="0" w:color="auto"/>
            </w:tcBorders>
          </w:tcPr>
          <w:p w14:paraId="2A92C032" w14:textId="77777777" w:rsidR="001677B4" w:rsidRPr="00E86883" w:rsidRDefault="001677B4" w:rsidP="0099602A">
            <w:pPr>
              <w:spacing w:line="276" w:lineRule="auto"/>
              <w:jc w:val="both"/>
              <w:rPr>
                <w:rFonts w:ascii="Arial" w:hAnsi="Arial" w:cs="Arial"/>
                <w:sz w:val="22"/>
                <w:szCs w:val="22"/>
              </w:rPr>
            </w:pPr>
            <w:r w:rsidRPr="00E86883">
              <w:rPr>
                <w:rFonts w:ascii="Arial" w:hAnsi="Arial" w:cs="Arial"/>
                <w:sz w:val="22"/>
                <w:szCs w:val="22"/>
              </w:rPr>
              <w:t xml:space="preserve">Kvantifikuje </w:t>
            </w:r>
            <w:r w:rsidRPr="00AC3D41">
              <w:rPr>
                <w:rFonts w:ascii="Arial" w:hAnsi="Arial" w:cs="Arial"/>
                <w:sz w:val="22"/>
                <w:szCs w:val="22"/>
              </w:rPr>
              <w:t xml:space="preserve">intenzitu </w:t>
            </w:r>
            <w:r>
              <w:rPr>
                <w:rFonts w:ascii="Arial" w:hAnsi="Arial" w:cs="Arial"/>
                <w:sz w:val="22"/>
                <w:szCs w:val="22"/>
              </w:rPr>
              <w:t>(</w:t>
            </w:r>
            <w:r w:rsidRPr="00AC3D41">
              <w:rPr>
                <w:rFonts w:ascii="Arial" w:hAnsi="Arial" w:cs="Arial"/>
                <w:sz w:val="22"/>
                <w:szCs w:val="22"/>
              </w:rPr>
              <w:t>ob</w:t>
            </w:r>
            <w:r>
              <w:rPr>
                <w:rFonts w:ascii="Arial" w:hAnsi="Arial" w:cs="Arial"/>
                <w:sz w:val="22"/>
                <w:szCs w:val="22"/>
              </w:rPr>
              <w:t>rat)</w:t>
            </w:r>
            <w:r w:rsidRPr="00AC3D41" w:rsidDel="00AC3D41">
              <w:rPr>
                <w:rFonts w:ascii="Arial" w:hAnsi="Arial" w:cs="Arial"/>
                <w:sz w:val="22"/>
                <w:szCs w:val="22"/>
              </w:rPr>
              <w:t xml:space="preserve"> </w:t>
            </w:r>
            <w:r w:rsidRPr="00E86883">
              <w:rPr>
                <w:rFonts w:ascii="Arial" w:hAnsi="Arial" w:cs="Arial"/>
                <w:sz w:val="22"/>
                <w:szCs w:val="22"/>
              </w:rPr>
              <w:t>mezinárodní migrace</w:t>
            </w:r>
          </w:p>
        </w:tc>
      </w:tr>
      <w:tr w:rsidR="001677B4" w:rsidRPr="00E86883" w14:paraId="56049FFD" w14:textId="77777777" w:rsidTr="00B86883">
        <w:tc>
          <w:tcPr>
            <w:tcW w:w="2802" w:type="dxa"/>
            <w:tcBorders>
              <w:top w:val="single" w:sz="4" w:space="0" w:color="auto"/>
              <w:left w:val="single" w:sz="4" w:space="0" w:color="auto"/>
              <w:bottom w:val="single" w:sz="4" w:space="0" w:color="auto"/>
              <w:right w:val="single" w:sz="4" w:space="0" w:color="auto"/>
            </w:tcBorders>
            <w:hideMark/>
          </w:tcPr>
          <w:p w14:paraId="77498045" w14:textId="77777777" w:rsidR="001677B4" w:rsidRPr="00E86883" w:rsidRDefault="001677B4" w:rsidP="00B86883">
            <w:pPr>
              <w:spacing w:line="276" w:lineRule="auto"/>
              <w:rPr>
                <w:rFonts w:ascii="Arial" w:hAnsi="Arial" w:cs="Arial"/>
                <w:sz w:val="22"/>
                <w:szCs w:val="22"/>
              </w:rPr>
            </w:pPr>
            <w:r w:rsidRPr="00E86883">
              <w:rPr>
                <w:rFonts w:ascii="Arial" w:hAnsi="Arial" w:cs="Arial"/>
                <w:sz w:val="22"/>
                <w:szCs w:val="22"/>
              </w:rPr>
              <w:t xml:space="preserve">Časová řada: </w:t>
            </w:r>
          </w:p>
        </w:tc>
        <w:tc>
          <w:tcPr>
            <w:tcW w:w="6486" w:type="dxa"/>
            <w:tcBorders>
              <w:top w:val="single" w:sz="4" w:space="0" w:color="auto"/>
              <w:left w:val="single" w:sz="4" w:space="0" w:color="auto"/>
              <w:bottom w:val="single" w:sz="4" w:space="0" w:color="auto"/>
              <w:right w:val="single" w:sz="4" w:space="0" w:color="auto"/>
            </w:tcBorders>
          </w:tcPr>
          <w:p w14:paraId="59CAD971" w14:textId="77777777" w:rsidR="001677B4" w:rsidRPr="00E86883" w:rsidRDefault="001677B4" w:rsidP="0099602A">
            <w:pPr>
              <w:spacing w:line="276" w:lineRule="auto"/>
              <w:jc w:val="both"/>
              <w:rPr>
                <w:rFonts w:ascii="Arial" w:hAnsi="Arial" w:cs="Arial"/>
                <w:sz w:val="22"/>
                <w:szCs w:val="22"/>
              </w:rPr>
            </w:pPr>
            <w:r w:rsidRPr="00E86883">
              <w:rPr>
                <w:rFonts w:ascii="Arial" w:hAnsi="Arial" w:cs="Arial"/>
                <w:sz w:val="22"/>
                <w:szCs w:val="22"/>
              </w:rPr>
              <w:t xml:space="preserve">Od </w:t>
            </w:r>
            <w:r>
              <w:rPr>
                <w:rFonts w:ascii="Arial" w:hAnsi="Arial" w:cs="Arial"/>
                <w:sz w:val="22"/>
                <w:szCs w:val="22"/>
              </w:rPr>
              <w:t xml:space="preserve">roku </w:t>
            </w:r>
            <w:r w:rsidRPr="00E86883">
              <w:rPr>
                <w:rFonts w:ascii="Arial" w:hAnsi="Arial" w:cs="Arial"/>
                <w:sz w:val="22"/>
                <w:szCs w:val="22"/>
              </w:rPr>
              <w:t xml:space="preserve">2001 </w:t>
            </w:r>
          </w:p>
        </w:tc>
      </w:tr>
      <w:tr w:rsidR="001677B4" w:rsidRPr="00E86883" w14:paraId="4EE336BB" w14:textId="77777777" w:rsidTr="00B86883">
        <w:tc>
          <w:tcPr>
            <w:tcW w:w="2802" w:type="dxa"/>
            <w:tcBorders>
              <w:top w:val="single" w:sz="4" w:space="0" w:color="auto"/>
              <w:left w:val="single" w:sz="4" w:space="0" w:color="auto"/>
              <w:bottom w:val="single" w:sz="4" w:space="0" w:color="auto"/>
              <w:right w:val="single" w:sz="4" w:space="0" w:color="auto"/>
            </w:tcBorders>
            <w:hideMark/>
          </w:tcPr>
          <w:p w14:paraId="0A7A81E2" w14:textId="77777777" w:rsidR="001677B4" w:rsidRPr="00E86883" w:rsidRDefault="001677B4" w:rsidP="00B86883">
            <w:pPr>
              <w:spacing w:line="276" w:lineRule="auto"/>
              <w:rPr>
                <w:rFonts w:ascii="Arial" w:hAnsi="Arial" w:cs="Arial"/>
                <w:sz w:val="22"/>
                <w:szCs w:val="22"/>
              </w:rPr>
            </w:pPr>
            <w:r w:rsidRPr="00E86883">
              <w:rPr>
                <w:rFonts w:ascii="Arial" w:hAnsi="Arial" w:cs="Arial"/>
                <w:sz w:val="22"/>
                <w:szCs w:val="22"/>
              </w:rPr>
              <w:t xml:space="preserve">Frekvence výstupu: </w:t>
            </w:r>
          </w:p>
        </w:tc>
        <w:tc>
          <w:tcPr>
            <w:tcW w:w="6486" w:type="dxa"/>
            <w:tcBorders>
              <w:top w:val="single" w:sz="4" w:space="0" w:color="auto"/>
              <w:left w:val="single" w:sz="4" w:space="0" w:color="auto"/>
              <w:bottom w:val="single" w:sz="4" w:space="0" w:color="auto"/>
              <w:right w:val="single" w:sz="4" w:space="0" w:color="auto"/>
            </w:tcBorders>
          </w:tcPr>
          <w:p w14:paraId="18D56DD5" w14:textId="77777777" w:rsidR="001677B4" w:rsidRPr="00E86883" w:rsidRDefault="001677B4" w:rsidP="0099602A">
            <w:pPr>
              <w:spacing w:line="276" w:lineRule="auto"/>
              <w:jc w:val="both"/>
              <w:rPr>
                <w:rFonts w:ascii="Arial" w:hAnsi="Arial" w:cs="Arial"/>
                <w:sz w:val="22"/>
                <w:szCs w:val="22"/>
              </w:rPr>
            </w:pPr>
            <w:r w:rsidRPr="00E86883">
              <w:rPr>
                <w:rFonts w:ascii="Arial" w:hAnsi="Arial" w:cs="Arial"/>
                <w:sz w:val="22"/>
                <w:szCs w:val="22"/>
              </w:rPr>
              <w:t>Ročně</w:t>
            </w:r>
          </w:p>
        </w:tc>
      </w:tr>
      <w:tr w:rsidR="001677B4" w:rsidRPr="00E86883" w14:paraId="0048B7FD" w14:textId="77777777" w:rsidTr="00B86883">
        <w:trPr>
          <w:trHeight w:val="70"/>
        </w:trPr>
        <w:tc>
          <w:tcPr>
            <w:tcW w:w="2802" w:type="dxa"/>
            <w:tcBorders>
              <w:top w:val="single" w:sz="4" w:space="0" w:color="auto"/>
              <w:left w:val="single" w:sz="4" w:space="0" w:color="auto"/>
              <w:bottom w:val="single" w:sz="4" w:space="0" w:color="auto"/>
              <w:right w:val="single" w:sz="4" w:space="0" w:color="auto"/>
            </w:tcBorders>
            <w:hideMark/>
          </w:tcPr>
          <w:p w14:paraId="7DB7802B" w14:textId="77777777" w:rsidR="001677B4" w:rsidRPr="00E86883" w:rsidRDefault="001677B4" w:rsidP="00B86883">
            <w:pPr>
              <w:spacing w:line="276" w:lineRule="auto"/>
              <w:rPr>
                <w:rFonts w:ascii="Arial" w:hAnsi="Arial" w:cs="Arial"/>
                <w:sz w:val="22"/>
                <w:szCs w:val="22"/>
              </w:rPr>
            </w:pPr>
            <w:r w:rsidRPr="00E86883">
              <w:rPr>
                <w:rFonts w:ascii="Arial" w:hAnsi="Arial" w:cs="Arial"/>
                <w:sz w:val="22"/>
                <w:szCs w:val="22"/>
              </w:rPr>
              <w:t xml:space="preserve">Členění indikátoru: </w:t>
            </w:r>
          </w:p>
        </w:tc>
        <w:tc>
          <w:tcPr>
            <w:tcW w:w="6486" w:type="dxa"/>
            <w:tcBorders>
              <w:top w:val="single" w:sz="4" w:space="0" w:color="auto"/>
              <w:left w:val="single" w:sz="4" w:space="0" w:color="auto"/>
              <w:bottom w:val="single" w:sz="4" w:space="0" w:color="auto"/>
              <w:right w:val="single" w:sz="4" w:space="0" w:color="auto"/>
            </w:tcBorders>
            <w:hideMark/>
          </w:tcPr>
          <w:p w14:paraId="03BCE278" w14:textId="004F78C7" w:rsidR="001677B4" w:rsidRPr="00E86883" w:rsidRDefault="00D74D21" w:rsidP="0099602A">
            <w:pPr>
              <w:spacing w:line="276" w:lineRule="auto"/>
              <w:jc w:val="both"/>
              <w:rPr>
                <w:rFonts w:ascii="Arial" w:hAnsi="Arial" w:cs="Arial"/>
                <w:sz w:val="22"/>
                <w:szCs w:val="22"/>
              </w:rPr>
            </w:pPr>
            <w:r>
              <w:rPr>
                <w:rFonts w:ascii="Arial" w:hAnsi="Arial" w:cs="Arial"/>
                <w:sz w:val="22"/>
                <w:szCs w:val="22"/>
              </w:rPr>
              <w:t>Dle p</w:t>
            </w:r>
            <w:r w:rsidR="001677B4" w:rsidRPr="00E86883">
              <w:rPr>
                <w:rFonts w:ascii="Arial" w:hAnsi="Arial" w:cs="Arial"/>
                <w:sz w:val="22"/>
                <w:szCs w:val="22"/>
              </w:rPr>
              <w:t>ohlaví</w:t>
            </w:r>
            <w:r w:rsidR="001677B4">
              <w:rPr>
                <w:rFonts w:ascii="Arial" w:hAnsi="Arial" w:cs="Arial"/>
                <w:sz w:val="22"/>
                <w:szCs w:val="22"/>
              </w:rPr>
              <w:t>, věk</w:t>
            </w:r>
            <w:r>
              <w:rPr>
                <w:rFonts w:ascii="Arial" w:hAnsi="Arial" w:cs="Arial"/>
                <w:sz w:val="22"/>
                <w:szCs w:val="22"/>
              </w:rPr>
              <w:t>u</w:t>
            </w:r>
            <w:r w:rsidR="001677B4">
              <w:rPr>
                <w:rFonts w:ascii="Arial" w:hAnsi="Arial" w:cs="Arial"/>
                <w:sz w:val="22"/>
                <w:szCs w:val="22"/>
              </w:rPr>
              <w:t xml:space="preserve"> </w:t>
            </w:r>
          </w:p>
        </w:tc>
      </w:tr>
      <w:tr w:rsidR="001677B4" w:rsidRPr="00E86883" w14:paraId="568DD918" w14:textId="77777777" w:rsidTr="00B86883">
        <w:trPr>
          <w:trHeight w:val="70"/>
        </w:trPr>
        <w:tc>
          <w:tcPr>
            <w:tcW w:w="2802" w:type="dxa"/>
            <w:tcBorders>
              <w:top w:val="single" w:sz="4" w:space="0" w:color="auto"/>
              <w:left w:val="single" w:sz="4" w:space="0" w:color="auto"/>
              <w:bottom w:val="single" w:sz="4" w:space="0" w:color="auto"/>
              <w:right w:val="single" w:sz="4" w:space="0" w:color="auto"/>
            </w:tcBorders>
            <w:hideMark/>
          </w:tcPr>
          <w:p w14:paraId="00C726B4" w14:textId="77777777" w:rsidR="001677B4" w:rsidRPr="00E86883" w:rsidRDefault="001677B4" w:rsidP="00B86883">
            <w:pPr>
              <w:spacing w:line="276" w:lineRule="auto"/>
              <w:rPr>
                <w:rFonts w:ascii="Arial" w:hAnsi="Arial" w:cs="Arial"/>
                <w:sz w:val="22"/>
                <w:szCs w:val="22"/>
              </w:rPr>
            </w:pPr>
            <w:r w:rsidRPr="00E86883">
              <w:rPr>
                <w:rFonts w:ascii="Arial" w:hAnsi="Arial" w:cs="Arial"/>
                <w:sz w:val="22"/>
                <w:szCs w:val="22"/>
              </w:rPr>
              <w:t>Mezinárodní srovnání:</w:t>
            </w:r>
          </w:p>
        </w:tc>
        <w:tc>
          <w:tcPr>
            <w:tcW w:w="6486" w:type="dxa"/>
            <w:tcBorders>
              <w:top w:val="single" w:sz="4" w:space="0" w:color="auto"/>
              <w:left w:val="single" w:sz="4" w:space="0" w:color="auto"/>
              <w:bottom w:val="single" w:sz="4" w:space="0" w:color="auto"/>
              <w:right w:val="single" w:sz="4" w:space="0" w:color="auto"/>
            </w:tcBorders>
          </w:tcPr>
          <w:p w14:paraId="732466EF" w14:textId="03D914C8" w:rsidR="001677B4" w:rsidRPr="00E86883" w:rsidRDefault="001677B4" w:rsidP="0099602A">
            <w:pPr>
              <w:spacing w:line="276" w:lineRule="auto"/>
              <w:jc w:val="both"/>
              <w:rPr>
                <w:rFonts w:ascii="Arial" w:hAnsi="Arial" w:cs="Arial"/>
                <w:sz w:val="22"/>
                <w:szCs w:val="22"/>
              </w:rPr>
            </w:pPr>
            <w:proofErr w:type="spellStart"/>
            <w:r w:rsidRPr="00E86883">
              <w:rPr>
                <w:rFonts w:ascii="Arial" w:hAnsi="Arial" w:cs="Arial"/>
                <w:sz w:val="22"/>
                <w:szCs w:val="22"/>
              </w:rPr>
              <w:t>Eurostat</w:t>
            </w:r>
            <w:proofErr w:type="spellEnd"/>
            <w:r w:rsidRPr="00E86883">
              <w:rPr>
                <w:rFonts w:ascii="Arial" w:hAnsi="Arial" w:cs="Arial"/>
                <w:sz w:val="22"/>
                <w:szCs w:val="22"/>
              </w:rPr>
              <w:t xml:space="preserve"> (v definici dle obvyklého pobytu), resp. lze vypočíst ze </w:t>
            </w:r>
            <w:r w:rsidRPr="00E86883">
              <w:rPr>
                <w:rFonts w:ascii="Arial" w:hAnsi="Arial" w:cs="Arial"/>
                <w:sz w:val="22"/>
                <w:szCs w:val="22"/>
              </w:rPr>
              <w:lastRenderedPageBreak/>
              <w:t>zveřejňovaných dat</w:t>
            </w:r>
            <w:r w:rsidR="00D74D21">
              <w:rPr>
                <w:rFonts w:ascii="Arial" w:hAnsi="Arial" w:cs="Arial"/>
                <w:sz w:val="22"/>
                <w:szCs w:val="22"/>
              </w:rPr>
              <w:t>.</w:t>
            </w:r>
          </w:p>
        </w:tc>
      </w:tr>
    </w:tbl>
    <w:p w14:paraId="6B9AE165" w14:textId="77777777" w:rsidR="00691FB5" w:rsidRDefault="00691FB5" w:rsidP="00C54BB7">
      <w:pPr>
        <w:pStyle w:val="r2030cle"/>
        <w:numPr>
          <w:ilvl w:val="0"/>
          <w:numId w:val="0"/>
        </w:numPr>
        <w:spacing w:before="0" w:after="0"/>
        <w:ind w:left="360"/>
      </w:pPr>
    </w:p>
    <w:tbl>
      <w:tblPr>
        <w:tblStyle w:val="Mkatabulky"/>
        <w:tblW w:w="0" w:type="auto"/>
        <w:tblLook w:val="04A0" w:firstRow="1" w:lastRow="0" w:firstColumn="1" w:lastColumn="0" w:noHBand="0" w:noVBand="1"/>
      </w:tblPr>
      <w:tblGrid>
        <w:gridCol w:w="2802"/>
        <w:gridCol w:w="6486"/>
      </w:tblGrid>
      <w:tr w:rsidR="00691FB5" w:rsidRPr="00E86883" w14:paraId="7C9B0409" w14:textId="77777777" w:rsidTr="00246D73">
        <w:tc>
          <w:tcPr>
            <w:tcW w:w="2802" w:type="dxa"/>
            <w:tcBorders>
              <w:top w:val="single" w:sz="4" w:space="0" w:color="auto"/>
              <w:left w:val="single" w:sz="4" w:space="0" w:color="auto"/>
              <w:bottom w:val="single" w:sz="4" w:space="0" w:color="auto"/>
              <w:right w:val="single" w:sz="4" w:space="0" w:color="auto"/>
            </w:tcBorders>
            <w:hideMark/>
          </w:tcPr>
          <w:p w14:paraId="6F506717" w14:textId="77777777" w:rsidR="00691FB5" w:rsidRPr="00E86883" w:rsidRDefault="00691FB5" w:rsidP="00246D73">
            <w:pPr>
              <w:spacing w:line="276" w:lineRule="auto"/>
              <w:rPr>
                <w:rFonts w:ascii="Arial" w:hAnsi="Arial" w:cs="Arial"/>
                <w:sz w:val="22"/>
                <w:szCs w:val="22"/>
              </w:rPr>
            </w:pPr>
            <w:r w:rsidRPr="00E86883">
              <w:rPr>
                <w:rFonts w:ascii="Arial" w:hAnsi="Arial" w:cs="Arial"/>
                <w:sz w:val="22"/>
                <w:szCs w:val="22"/>
              </w:rPr>
              <w:t xml:space="preserve">Název a označení indikátoru: </w:t>
            </w:r>
          </w:p>
        </w:tc>
        <w:tc>
          <w:tcPr>
            <w:tcW w:w="6486" w:type="dxa"/>
            <w:tcBorders>
              <w:top w:val="single" w:sz="4" w:space="0" w:color="auto"/>
              <w:left w:val="single" w:sz="4" w:space="0" w:color="auto"/>
              <w:bottom w:val="single" w:sz="4" w:space="0" w:color="auto"/>
              <w:right w:val="single" w:sz="4" w:space="0" w:color="auto"/>
            </w:tcBorders>
            <w:hideMark/>
          </w:tcPr>
          <w:p w14:paraId="7A8FE040" w14:textId="210C79D5" w:rsidR="00691FB5" w:rsidRPr="00E86883" w:rsidRDefault="00691FB5" w:rsidP="00246D73">
            <w:pPr>
              <w:spacing w:line="276" w:lineRule="auto"/>
              <w:rPr>
                <w:rFonts w:ascii="Arial" w:hAnsi="Arial" w:cs="Arial"/>
                <w:b/>
                <w:sz w:val="22"/>
                <w:szCs w:val="22"/>
              </w:rPr>
            </w:pPr>
            <w:r w:rsidRPr="00E86883">
              <w:rPr>
                <w:rFonts w:ascii="Arial" w:hAnsi="Arial" w:cs="Arial"/>
                <w:b/>
                <w:sz w:val="22"/>
                <w:szCs w:val="22"/>
              </w:rPr>
              <w:t>2.5.</w:t>
            </w:r>
            <w:r>
              <w:rPr>
                <w:rFonts w:ascii="Arial" w:hAnsi="Arial" w:cs="Arial"/>
                <w:b/>
                <w:sz w:val="22"/>
                <w:szCs w:val="22"/>
              </w:rPr>
              <w:t>4</w:t>
            </w:r>
            <w:r w:rsidRPr="00E86883">
              <w:rPr>
                <w:rFonts w:ascii="Arial" w:hAnsi="Arial" w:cs="Arial"/>
                <w:b/>
                <w:sz w:val="22"/>
                <w:szCs w:val="22"/>
              </w:rPr>
              <w:t xml:space="preserve"> </w:t>
            </w:r>
            <w:r w:rsidRPr="00733F5D">
              <w:rPr>
                <w:rFonts w:ascii="Arial" w:hAnsi="Arial" w:cs="Arial"/>
                <w:b/>
                <w:sz w:val="22"/>
                <w:szCs w:val="22"/>
              </w:rPr>
              <w:t>Podíl cizinců</w:t>
            </w:r>
            <w:r w:rsidR="00D74D21">
              <w:rPr>
                <w:rFonts w:ascii="Arial" w:hAnsi="Arial" w:cs="Arial"/>
                <w:b/>
                <w:sz w:val="22"/>
                <w:szCs w:val="22"/>
              </w:rPr>
              <w:t xml:space="preserve"> na celkovém počtu absolventů vysokých škol</w:t>
            </w:r>
          </w:p>
        </w:tc>
      </w:tr>
      <w:tr w:rsidR="00691FB5" w:rsidRPr="00E86883" w14:paraId="53809CB1" w14:textId="77777777" w:rsidTr="00246D73">
        <w:tc>
          <w:tcPr>
            <w:tcW w:w="2802" w:type="dxa"/>
            <w:tcBorders>
              <w:top w:val="single" w:sz="4" w:space="0" w:color="auto"/>
              <w:left w:val="single" w:sz="4" w:space="0" w:color="auto"/>
              <w:bottom w:val="single" w:sz="4" w:space="0" w:color="auto"/>
              <w:right w:val="single" w:sz="4" w:space="0" w:color="auto"/>
            </w:tcBorders>
            <w:hideMark/>
          </w:tcPr>
          <w:p w14:paraId="61F6D929" w14:textId="77777777" w:rsidR="00691FB5" w:rsidRPr="00E86883" w:rsidRDefault="00691FB5" w:rsidP="00246D73">
            <w:pPr>
              <w:spacing w:line="276" w:lineRule="auto"/>
              <w:rPr>
                <w:rFonts w:ascii="Arial" w:hAnsi="Arial" w:cs="Arial"/>
                <w:sz w:val="22"/>
                <w:szCs w:val="22"/>
              </w:rPr>
            </w:pPr>
            <w:r w:rsidRPr="00E86883">
              <w:rPr>
                <w:rFonts w:ascii="Arial" w:hAnsi="Arial" w:cs="Arial"/>
                <w:sz w:val="22"/>
                <w:szCs w:val="22"/>
              </w:rPr>
              <w:t xml:space="preserve">Stručná definice: </w:t>
            </w:r>
          </w:p>
        </w:tc>
        <w:tc>
          <w:tcPr>
            <w:tcW w:w="6486" w:type="dxa"/>
            <w:tcBorders>
              <w:top w:val="single" w:sz="4" w:space="0" w:color="auto"/>
              <w:left w:val="single" w:sz="4" w:space="0" w:color="auto"/>
              <w:bottom w:val="single" w:sz="4" w:space="0" w:color="auto"/>
              <w:right w:val="single" w:sz="4" w:space="0" w:color="auto"/>
            </w:tcBorders>
          </w:tcPr>
          <w:p w14:paraId="55F5D887" w14:textId="17E634EE" w:rsidR="00691FB5" w:rsidRPr="00E86883" w:rsidRDefault="00D74D21" w:rsidP="00BE1309">
            <w:pPr>
              <w:spacing w:line="276" w:lineRule="auto"/>
              <w:jc w:val="both"/>
              <w:rPr>
                <w:rFonts w:ascii="Arial" w:hAnsi="Arial" w:cs="Arial"/>
                <w:sz w:val="22"/>
                <w:szCs w:val="22"/>
              </w:rPr>
            </w:pPr>
            <w:r>
              <w:rPr>
                <w:rFonts w:ascii="Arial" w:hAnsi="Arial" w:cs="Arial"/>
                <w:sz w:val="22"/>
                <w:szCs w:val="22"/>
              </w:rPr>
              <w:t>Podíl absolventů vysokých škol</w:t>
            </w:r>
            <w:r w:rsidR="00691FB5">
              <w:rPr>
                <w:rFonts w:ascii="Arial" w:hAnsi="Arial" w:cs="Arial"/>
                <w:sz w:val="22"/>
                <w:szCs w:val="22"/>
              </w:rPr>
              <w:t xml:space="preserve"> v daném roce s cizím státním občanstvím</w:t>
            </w:r>
            <w:r>
              <w:rPr>
                <w:rFonts w:ascii="Arial" w:hAnsi="Arial" w:cs="Arial"/>
                <w:sz w:val="22"/>
                <w:szCs w:val="22"/>
              </w:rPr>
              <w:t xml:space="preserve"> na celkovém počtu absolventů vysokých škol</w:t>
            </w:r>
            <w:r w:rsidR="00691FB5">
              <w:rPr>
                <w:rFonts w:ascii="Arial" w:hAnsi="Arial" w:cs="Arial"/>
                <w:sz w:val="22"/>
                <w:szCs w:val="22"/>
              </w:rPr>
              <w:t xml:space="preserve"> v daném roce</w:t>
            </w:r>
            <w:r w:rsidR="00691FB5" w:rsidRPr="00E86883">
              <w:rPr>
                <w:rFonts w:ascii="Arial" w:hAnsi="Arial" w:cs="Arial"/>
                <w:sz w:val="22"/>
                <w:szCs w:val="22"/>
              </w:rPr>
              <w:t>.</w:t>
            </w:r>
          </w:p>
        </w:tc>
      </w:tr>
      <w:tr w:rsidR="00691FB5" w:rsidRPr="00E86883" w14:paraId="53ECA6CC" w14:textId="77777777" w:rsidTr="00246D73">
        <w:tc>
          <w:tcPr>
            <w:tcW w:w="2802" w:type="dxa"/>
            <w:tcBorders>
              <w:top w:val="single" w:sz="4" w:space="0" w:color="auto"/>
              <w:left w:val="single" w:sz="4" w:space="0" w:color="auto"/>
              <w:bottom w:val="single" w:sz="4" w:space="0" w:color="auto"/>
              <w:right w:val="single" w:sz="4" w:space="0" w:color="auto"/>
            </w:tcBorders>
            <w:hideMark/>
          </w:tcPr>
          <w:p w14:paraId="0808107D" w14:textId="77777777" w:rsidR="00691FB5" w:rsidRPr="00E86883" w:rsidRDefault="00691FB5" w:rsidP="00246D73">
            <w:pPr>
              <w:spacing w:line="276" w:lineRule="auto"/>
              <w:rPr>
                <w:rFonts w:ascii="Arial" w:hAnsi="Arial" w:cs="Arial"/>
                <w:sz w:val="22"/>
                <w:szCs w:val="22"/>
              </w:rPr>
            </w:pPr>
            <w:r w:rsidRPr="00E86883">
              <w:rPr>
                <w:rFonts w:ascii="Arial" w:hAnsi="Arial" w:cs="Arial"/>
                <w:sz w:val="22"/>
                <w:szCs w:val="22"/>
              </w:rPr>
              <w:t>Jednotka:</w:t>
            </w:r>
          </w:p>
        </w:tc>
        <w:tc>
          <w:tcPr>
            <w:tcW w:w="6486" w:type="dxa"/>
            <w:tcBorders>
              <w:top w:val="single" w:sz="4" w:space="0" w:color="auto"/>
              <w:left w:val="single" w:sz="4" w:space="0" w:color="auto"/>
              <w:bottom w:val="single" w:sz="4" w:space="0" w:color="auto"/>
              <w:right w:val="single" w:sz="4" w:space="0" w:color="auto"/>
            </w:tcBorders>
            <w:hideMark/>
          </w:tcPr>
          <w:p w14:paraId="386D4B40" w14:textId="77777777" w:rsidR="00691FB5" w:rsidRPr="00E86883" w:rsidRDefault="00691FB5" w:rsidP="00BE1309">
            <w:pPr>
              <w:spacing w:line="276" w:lineRule="auto"/>
              <w:jc w:val="both"/>
              <w:rPr>
                <w:rFonts w:ascii="Arial" w:hAnsi="Arial" w:cs="Arial"/>
                <w:sz w:val="22"/>
                <w:szCs w:val="22"/>
              </w:rPr>
            </w:pPr>
            <w:r w:rsidRPr="00E86883">
              <w:rPr>
                <w:rFonts w:ascii="Arial" w:hAnsi="Arial" w:cs="Arial"/>
                <w:sz w:val="22"/>
                <w:szCs w:val="22"/>
              </w:rPr>
              <w:t xml:space="preserve">Podíl (v </w:t>
            </w:r>
            <w:r>
              <w:rPr>
                <w:rFonts w:ascii="Arial" w:hAnsi="Arial" w:cs="Arial"/>
                <w:sz w:val="22"/>
                <w:szCs w:val="22"/>
              </w:rPr>
              <w:t>%</w:t>
            </w:r>
            <w:r w:rsidRPr="00E86883">
              <w:rPr>
                <w:rFonts w:ascii="Arial" w:hAnsi="Arial" w:cs="Arial"/>
                <w:sz w:val="22"/>
                <w:szCs w:val="22"/>
              </w:rPr>
              <w:t>)</w:t>
            </w:r>
          </w:p>
        </w:tc>
      </w:tr>
      <w:tr w:rsidR="00691FB5" w:rsidRPr="00E86883" w14:paraId="015CCAE9" w14:textId="77777777" w:rsidTr="00246D73">
        <w:tc>
          <w:tcPr>
            <w:tcW w:w="2802" w:type="dxa"/>
            <w:tcBorders>
              <w:top w:val="single" w:sz="4" w:space="0" w:color="auto"/>
              <w:left w:val="single" w:sz="4" w:space="0" w:color="auto"/>
              <w:bottom w:val="single" w:sz="4" w:space="0" w:color="auto"/>
              <w:right w:val="single" w:sz="4" w:space="0" w:color="auto"/>
            </w:tcBorders>
            <w:hideMark/>
          </w:tcPr>
          <w:p w14:paraId="38C7C411" w14:textId="77777777" w:rsidR="00691FB5" w:rsidRPr="00E86883" w:rsidRDefault="00691FB5" w:rsidP="00246D73">
            <w:pPr>
              <w:spacing w:line="276" w:lineRule="auto"/>
              <w:rPr>
                <w:rFonts w:ascii="Arial" w:hAnsi="Arial" w:cs="Arial"/>
                <w:sz w:val="22"/>
                <w:szCs w:val="22"/>
              </w:rPr>
            </w:pPr>
            <w:r w:rsidRPr="00E86883">
              <w:rPr>
                <w:rFonts w:ascii="Arial" w:hAnsi="Arial" w:cs="Arial"/>
                <w:sz w:val="22"/>
                <w:szCs w:val="22"/>
              </w:rPr>
              <w:t xml:space="preserve">Gestor: </w:t>
            </w:r>
          </w:p>
        </w:tc>
        <w:tc>
          <w:tcPr>
            <w:tcW w:w="6486" w:type="dxa"/>
            <w:tcBorders>
              <w:top w:val="single" w:sz="4" w:space="0" w:color="auto"/>
              <w:left w:val="single" w:sz="4" w:space="0" w:color="auto"/>
              <w:bottom w:val="single" w:sz="4" w:space="0" w:color="auto"/>
              <w:right w:val="single" w:sz="4" w:space="0" w:color="auto"/>
            </w:tcBorders>
          </w:tcPr>
          <w:p w14:paraId="62B97F7D" w14:textId="524D5B80" w:rsidR="00691FB5" w:rsidRPr="00E86883" w:rsidRDefault="00C375C1" w:rsidP="00BE1309">
            <w:pPr>
              <w:spacing w:line="276" w:lineRule="auto"/>
              <w:jc w:val="both"/>
              <w:rPr>
                <w:rFonts w:ascii="Arial" w:hAnsi="Arial" w:cs="Arial"/>
                <w:sz w:val="22"/>
                <w:szCs w:val="22"/>
              </w:rPr>
            </w:pPr>
            <w:r>
              <w:rPr>
                <w:rFonts w:ascii="Arial" w:hAnsi="Arial" w:cs="Arial"/>
                <w:sz w:val="22"/>
                <w:szCs w:val="22"/>
                <w:lang w:eastAsia="en-US"/>
              </w:rPr>
              <w:t>Ministerstvo školství, mládeže a tělovýchovy</w:t>
            </w:r>
          </w:p>
        </w:tc>
      </w:tr>
      <w:tr w:rsidR="00691FB5" w:rsidRPr="00E86883" w14:paraId="5EE8E2CD" w14:textId="77777777" w:rsidTr="00246D73">
        <w:tc>
          <w:tcPr>
            <w:tcW w:w="2802" w:type="dxa"/>
            <w:tcBorders>
              <w:top w:val="single" w:sz="4" w:space="0" w:color="auto"/>
              <w:left w:val="single" w:sz="4" w:space="0" w:color="auto"/>
              <w:bottom w:val="single" w:sz="4" w:space="0" w:color="auto"/>
              <w:right w:val="single" w:sz="4" w:space="0" w:color="auto"/>
            </w:tcBorders>
            <w:hideMark/>
          </w:tcPr>
          <w:p w14:paraId="5FE100B8" w14:textId="77777777" w:rsidR="00691FB5" w:rsidRPr="00E86883" w:rsidRDefault="00691FB5" w:rsidP="00246D73">
            <w:pPr>
              <w:spacing w:line="276" w:lineRule="auto"/>
              <w:rPr>
                <w:rFonts w:ascii="Arial" w:hAnsi="Arial" w:cs="Arial"/>
                <w:sz w:val="22"/>
                <w:szCs w:val="22"/>
              </w:rPr>
            </w:pPr>
            <w:r w:rsidRPr="00E86883">
              <w:rPr>
                <w:rFonts w:ascii="Arial" w:hAnsi="Arial" w:cs="Arial"/>
                <w:sz w:val="22"/>
                <w:szCs w:val="22"/>
              </w:rPr>
              <w:t xml:space="preserve">Význam indikátoru: </w:t>
            </w:r>
          </w:p>
        </w:tc>
        <w:tc>
          <w:tcPr>
            <w:tcW w:w="6486" w:type="dxa"/>
            <w:tcBorders>
              <w:top w:val="single" w:sz="4" w:space="0" w:color="auto"/>
              <w:left w:val="single" w:sz="4" w:space="0" w:color="auto"/>
              <w:bottom w:val="single" w:sz="4" w:space="0" w:color="auto"/>
              <w:right w:val="single" w:sz="4" w:space="0" w:color="auto"/>
            </w:tcBorders>
          </w:tcPr>
          <w:p w14:paraId="55E575E6" w14:textId="4284F8F0" w:rsidR="00691FB5" w:rsidRPr="00E86883" w:rsidRDefault="00691FB5" w:rsidP="00BE1309">
            <w:pPr>
              <w:spacing w:line="276" w:lineRule="auto"/>
              <w:jc w:val="both"/>
              <w:rPr>
                <w:rFonts w:ascii="Arial" w:hAnsi="Arial" w:cs="Arial"/>
                <w:sz w:val="22"/>
                <w:szCs w:val="22"/>
              </w:rPr>
            </w:pPr>
            <w:r>
              <w:rPr>
                <w:rFonts w:ascii="Arial" w:hAnsi="Arial" w:cs="Arial"/>
                <w:sz w:val="22"/>
                <w:szCs w:val="22"/>
              </w:rPr>
              <w:t xml:space="preserve">Ukazuje zájem cizích státních příslušníků o studium v ČR. Část z nich v ČR zůstane a začne po absolvování </w:t>
            </w:r>
            <w:r w:rsidR="00D74D21">
              <w:rPr>
                <w:rFonts w:ascii="Arial" w:hAnsi="Arial" w:cs="Arial"/>
                <w:sz w:val="22"/>
                <w:szCs w:val="22"/>
              </w:rPr>
              <w:t>vysoké školy</w:t>
            </w:r>
            <w:r>
              <w:rPr>
                <w:rFonts w:ascii="Arial" w:hAnsi="Arial" w:cs="Arial"/>
                <w:sz w:val="22"/>
                <w:szCs w:val="22"/>
              </w:rPr>
              <w:t xml:space="preserve"> pracovat. </w:t>
            </w:r>
          </w:p>
        </w:tc>
      </w:tr>
      <w:tr w:rsidR="00691FB5" w:rsidRPr="00E86883" w14:paraId="0C9FDBFB" w14:textId="77777777" w:rsidTr="00246D73">
        <w:tc>
          <w:tcPr>
            <w:tcW w:w="2802" w:type="dxa"/>
            <w:tcBorders>
              <w:top w:val="single" w:sz="4" w:space="0" w:color="auto"/>
              <w:left w:val="single" w:sz="4" w:space="0" w:color="auto"/>
              <w:bottom w:val="single" w:sz="4" w:space="0" w:color="auto"/>
              <w:right w:val="single" w:sz="4" w:space="0" w:color="auto"/>
            </w:tcBorders>
            <w:hideMark/>
          </w:tcPr>
          <w:p w14:paraId="2751C20B" w14:textId="77777777" w:rsidR="00691FB5" w:rsidRPr="00E86883" w:rsidRDefault="00691FB5" w:rsidP="00246D73">
            <w:pPr>
              <w:spacing w:line="276" w:lineRule="auto"/>
              <w:rPr>
                <w:rFonts w:ascii="Arial" w:hAnsi="Arial" w:cs="Arial"/>
                <w:sz w:val="22"/>
                <w:szCs w:val="22"/>
              </w:rPr>
            </w:pPr>
            <w:r w:rsidRPr="00E86883">
              <w:rPr>
                <w:rFonts w:ascii="Arial" w:hAnsi="Arial" w:cs="Arial"/>
                <w:sz w:val="22"/>
                <w:szCs w:val="22"/>
              </w:rPr>
              <w:t xml:space="preserve">Časová řada: </w:t>
            </w:r>
          </w:p>
        </w:tc>
        <w:tc>
          <w:tcPr>
            <w:tcW w:w="6486" w:type="dxa"/>
            <w:tcBorders>
              <w:top w:val="single" w:sz="4" w:space="0" w:color="auto"/>
              <w:left w:val="single" w:sz="4" w:space="0" w:color="auto"/>
              <w:bottom w:val="single" w:sz="4" w:space="0" w:color="auto"/>
              <w:right w:val="single" w:sz="4" w:space="0" w:color="auto"/>
            </w:tcBorders>
          </w:tcPr>
          <w:p w14:paraId="068DE53C" w14:textId="77777777" w:rsidR="00691FB5" w:rsidRPr="00E86883" w:rsidRDefault="00691FB5" w:rsidP="00BE1309">
            <w:pPr>
              <w:spacing w:line="276" w:lineRule="auto"/>
              <w:jc w:val="both"/>
              <w:rPr>
                <w:rFonts w:ascii="Arial" w:hAnsi="Arial" w:cs="Arial"/>
                <w:sz w:val="22"/>
                <w:szCs w:val="22"/>
              </w:rPr>
            </w:pPr>
            <w:r w:rsidRPr="00E86883">
              <w:rPr>
                <w:rFonts w:ascii="Arial" w:hAnsi="Arial" w:cs="Arial"/>
                <w:sz w:val="22"/>
                <w:szCs w:val="22"/>
              </w:rPr>
              <w:t xml:space="preserve">Od 2001 </w:t>
            </w:r>
          </w:p>
        </w:tc>
      </w:tr>
      <w:tr w:rsidR="00691FB5" w:rsidRPr="00E86883" w14:paraId="30BB0603" w14:textId="77777777" w:rsidTr="00246D73">
        <w:tc>
          <w:tcPr>
            <w:tcW w:w="2802" w:type="dxa"/>
            <w:tcBorders>
              <w:top w:val="single" w:sz="4" w:space="0" w:color="auto"/>
              <w:left w:val="single" w:sz="4" w:space="0" w:color="auto"/>
              <w:bottom w:val="single" w:sz="4" w:space="0" w:color="auto"/>
              <w:right w:val="single" w:sz="4" w:space="0" w:color="auto"/>
            </w:tcBorders>
            <w:hideMark/>
          </w:tcPr>
          <w:p w14:paraId="6BC6F3F6" w14:textId="77777777" w:rsidR="00691FB5" w:rsidRPr="00E86883" w:rsidRDefault="00691FB5" w:rsidP="00246D73">
            <w:pPr>
              <w:spacing w:line="276" w:lineRule="auto"/>
              <w:rPr>
                <w:rFonts w:ascii="Arial" w:hAnsi="Arial" w:cs="Arial"/>
                <w:sz w:val="22"/>
                <w:szCs w:val="22"/>
              </w:rPr>
            </w:pPr>
            <w:r w:rsidRPr="00E86883">
              <w:rPr>
                <w:rFonts w:ascii="Arial" w:hAnsi="Arial" w:cs="Arial"/>
                <w:sz w:val="22"/>
                <w:szCs w:val="22"/>
              </w:rPr>
              <w:t xml:space="preserve">Frekvence výstupu: </w:t>
            </w:r>
          </w:p>
        </w:tc>
        <w:tc>
          <w:tcPr>
            <w:tcW w:w="6486" w:type="dxa"/>
            <w:tcBorders>
              <w:top w:val="single" w:sz="4" w:space="0" w:color="auto"/>
              <w:left w:val="single" w:sz="4" w:space="0" w:color="auto"/>
              <w:bottom w:val="single" w:sz="4" w:space="0" w:color="auto"/>
              <w:right w:val="single" w:sz="4" w:space="0" w:color="auto"/>
            </w:tcBorders>
          </w:tcPr>
          <w:p w14:paraId="4A8A2505" w14:textId="77777777" w:rsidR="00691FB5" w:rsidRPr="00E86883" w:rsidRDefault="00691FB5" w:rsidP="00BE1309">
            <w:pPr>
              <w:spacing w:line="276" w:lineRule="auto"/>
              <w:jc w:val="both"/>
              <w:rPr>
                <w:rFonts w:ascii="Arial" w:hAnsi="Arial" w:cs="Arial"/>
                <w:sz w:val="22"/>
                <w:szCs w:val="22"/>
              </w:rPr>
            </w:pPr>
            <w:r w:rsidRPr="00E86883">
              <w:rPr>
                <w:rFonts w:ascii="Arial" w:hAnsi="Arial" w:cs="Arial"/>
                <w:sz w:val="22"/>
                <w:szCs w:val="22"/>
              </w:rPr>
              <w:t>Ročně</w:t>
            </w:r>
          </w:p>
        </w:tc>
      </w:tr>
      <w:tr w:rsidR="00691FB5" w:rsidRPr="00E86883" w14:paraId="4624444F" w14:textId="77777777" w:rsidTr="00246D73">
        <w:trPr>
          <w:trHeight w:val="70"/>
        </w:trPr>
        <w:tc>
          <w:tcPr>
            <w:tcW w:w="2802" w:type="dxa"/>
            <w:tcBorders>
              <w:top w:val="single" w:sz="4" w:space="0" w:color="auto"/>
              <w:left w:val="single" w:sz="4" w:space="0" w:color="auto"/>
              <w:bottom w:val="single" w:sz="4" w:space="0" w:color="auto"/>
              <w:right w:val="single" w:sz="4" w:space="0" w:color="auto"/>
            </w:tcBorders>
            <w:hideMark/>
          </w:tcPr>
          <w:p w14:paraId="11E268B9" w14:textId="77777777" w:rsidR="00691FB5" w:rsidRPr="00E86883" w:rsidRDefault="00691FB5" w:rsidP="00246D73">
            <w:pPr>
              <w:spacing w:line="276" w:lineRule="auto"/>
              <w:rPr>
                <w:rFonts w:ascii="Arial" w:hAnsi="Arial" w:cs="Arial"/>
                <w:sz w:val="22"/>
                <w:szCs w:val="22"/>
              </w:rPr>
            </w:pPr>
            <w:r w:rsidRPr="00E86883">
              <w:rPr>
                <w:rFonts w:ascii="Arial" w:hAnsi="Arial" w:cs="Arial"/>
                <w:sz w:val="22"/>
                <w:szCs w:val="22"/>
              </w:rPr>
              <w:t xml:space="preserve">Členění indikátoru: </w:t>
            </w:r>
          </w:p>
        </w:tc>
        <w:tc>
          <w:tcPr>
            <w:tcW w:w="6486" w:type="dxa"/>
            <w:tcBorders>
              <w:top w:val="single" w:sz="4" w:space="0" w:color="auto"/>
              <w:left w:val="single" w:sz="4" w:space="0" w:color="auto"/>
              <w:bottom w:val="single" w:sz="4" w:space="0" w:color="auto"/>
              <w:right w:val="single" w:sz="4" w:space="0" w:color="auto"/>
            </w:tcBorders>
            <w:hideMark/>
          </w:tcPr>
          <w:p w14:paraId="35D84D8F" w14:textId="7A3673B0" w:rsidR="00691FB5" w:rsidRPr="00E86883" w:rsidRDefault="00D74D21" w:rsidP="00BE1309">
            <w:pPr>
              <w:spacing w:line="276" w:lineRule="auto"/>
              <w:jc w:val="both"/>
              <w:rPr>
                <w:rFonts w:ascii="Arial" w:hAnsi="Arial" w:cs="Arial"/>
                <w:sz w:val="22"/>
                <w:szCs w:val="22"/>
              </w:rPr>
            </w:pPr>
            <w:r>
              <w:rPr>
                <w:rFonts w:ascii="Arial" w:hAnsi="Arial" w:cs="Arial"/>
                <w:sz w:val="22"/>
                <w:szCs w:val="22"/>
              </w:rPr>
              <w:t>Dle p</w:t>
            </w:r>
            <w:r w:rsidR="00691FB5" w:rsidRPr="00E86883">
              <w:rPr>
                <w:rFonts w:ascii="Arial" w:hAnsi="Arial" w:cs="Arial"/>
                <w:sz w:val="22"/>
                <w:szCs w:val="22"/>
              </w:rPr>
              <w:t>ohlaví, státní</w:t>
            </w:r>
            <w:r>
              <w:rPr>
                <w:rFonts w:ascii="Arial" w:hAnsi="Arial" w:cs="Arial"/>
                <w:sz w:val="22"/>
                <w:szCs w:val="22"/>
              </w:rPr>
              <w:t>ho</w:t>
            </w:r>
            <w:r w:rsidR="00691FB5" w:rsidRPr="00E86883">
              <w:rPr>
                <w:rFonts w:ascii="Arial" w:hAnsi="Arial" w:cs="Arial"/>
                <w:sz w:val="22"/>
                <w:szCs w:val="22"/>
              </w:rPr>
              <w:t xml:space="preserve"> občanství</w:t>
            </w:r>
            <w:r w:rsidR="00691FB5">
              <w:rPr>
                <w:rFonts w:ascii="Arial" w:hAnsi="Arial" w:cs="Arial"/>
                <w:sz w:val="22"/>
                <w:szCs w:val="22"/>
              </w:rPr>
              <w:t>, typ</w:t>
            </w:r>
            <w:r>
              <w:rPr>
                <w:rFonts w:ascii="Arial" w:hAnsi="Arial" w:cs="Arial"/>
                <w:sz w:val="22"/>
                <w:szCs w:val="22"/>
              </w:rPr>
              <w:t>u</w:t>
            </w:r>
            <w:r w:rsidR="00691FB5">
              <w:rPr>
                <w:rFonts w:ascii="Arial" w:hAnsi="Arial" w:cs="Arial"/>
                <w:sz w:val="22"/>
                <w:szCs w:val="22"/>
              </w:rPr>
              <w:t xml:space="preserve"> studijního programu, obo</w:t>
            </w:r>
            <w:r>
              <w:rPr>
                <w:rFonts w:ascii="Arial" w:hAnsi="Arial" w:cs="Arial"/>
                <w:sz w:val="22"/>
                <w:szCs w:val="22"/>
              </w:rPr>
              <w:t>rové skupiny</w:t>
            </w:r>
            <w:r w:rsidR="00691FB5">
              <w:rPr>
                <w:rFonts w:ascii="Arial" w:hAnsi="Arial" w:cs="Arial"/>
                <w:sz w:val="22"/>
                <w:szCs w:val="22"/>
              </w:rPr>
              <w:t xml:space="preserve"> podle ISCED-F 2013</w:t>
            </w:r>
            <w:r>
              <w:rPr>
                <w:rFonts w:ascii="Arial" w:hAnsi="Arial" w:cs="Arial"/>
                <w:sz w:val="22"/>
                <w:szCs w:val="22"/>
              </w:rPr>
              <w:t>.</w:t>
            </w:r>
          </w:p>
        </w:tc>
      </w:tr>
      <w:tr w:rsidR="00691FB5" w:rsidRPr="00E86883" w14:paraId="01010914" w14:textId="77777777" w:rsidTr="00246D73">
        <w:trPr>
          <w:trHeight w:val="70"/>
        </w:trPr>
        <w:tc>
          <w:tcPr>
            <w:tcW w:w="2802" w:type="dxa"/>
            <w:tcBorders>
              <w:top w:val="single" w:sz="4" w:space="0" w:color="auto"/>
              <w:left w:val="single" w:sz="4" w:space="0" w:color="auto"/>
              <w:bottom w:val="single" w:sz="4" w:space="0" w:color="auto"/>
              <w:right w:val="single" w:sz="4" w:space="0" w:color="auto"/>
            </w:tcBorders>
            <w:hideMark/>
          </w:tcPr>
          <w:p w14:paraId="785D70F9" w14:textId="77777777" w:rsidR="00691FB5" w:rsidRPr="00E86883" w:rsidRDefault="00691FB5" w:rsidP="00246D73">
            <w:pPr>
              <w:spacing w:line="276" w:lineRule="auto"/>
              <w:rPr>
                <w:rFonts w:ascii="Arial" w:hAnsi="Arial" w:cs="Arial"/>
                <w:sz w:val="22"/>
                <w:szCs w:val="22"/>
              </w:rPr>
            </w:pPr>
            <w:r w:rsidRPr="00E86883">
              <w:rPr>
                <w:rFonts w:ascii="Arial" w:hAnsi="Arial" w:cs="Arial"/>
                <w:sz w:val="22"/>
                <w:szCs w:val="22"/>
              </w:rPr>
              <w:t>Mezinárodní srovnání:</w:t>
            </w:r>
          </w:p>
        </w:tc>
        <w:tc>
          <w:tcPr>
            <w:tcW w:w="6486" w:type="dxa"/>
            <w:tcBorders>
              <w:top w:val="single" w:sz="4" w:space="0" w:color="auto"/>
              <w:left w:val="single" w:sz="4" w:space="0" w:color="auto"/>
              <w:bottom w:val="single" w:sz="4" w:space="0" w:color="auto"/>
              <w:right w:val="single" w:sz="4" w:space="0" w:color="auto"/>
            </w:tcBorders>
          </w:tcPr>
          <w:p w14:paraId="33C3FE56" w14:textId="77777777" w:rsidR="00691FB5" w:rsidRPr="00E86883" w:rsidRDefault="00691FB5" w:rsidP="00BE1309">
            <w:pPr>
              <w:spacing w:line="276" w:lineRule="auto"/>
              <w:jc w:val="both"/>
              <w:rPr>
                <w:rFonts w:ascii="Arial" w:hAnsi="Arial" w:cs="Arial"/>
                <w:sz w:val="22"/>
                <w:szCs w:val="22"/>
              </w:rPr>
            </w:pPr>
            <w:proofErr w:type="spellStart"/>
            <w:r w:rsidRPr="00E86883">
              <w:rPr>
                <w:rFonts w:ascii="Arial" w:hAnsi="Arial" w:cs="Arial"/>
                <w:sz w:val="22"/>
                <w:szCs w:val="22"/>
              </w:rPr>
              <w:t>Eurostat</w:t>
            </w:r>
            <w:proofErr w:type="spellEnd"/>
            <w:r>
              <w:rPr>
                <w:rFonts w:ascii="Arial" w:hAnsi="Arial" w:cs="Arial"/>
                <w:sz w:val="22"/>
                <w:szCs w:val="22"/>
              </w:rPr>
              <w:t>, OECD (ne úplně přesné, ve vzdělávání je mobilita v terciéru primárně vázána na zemi předchozího vzdělání na úrovni ISCED 3, ne na státní občanství)</w:t>
            </w:r>
          </w:p>
        </w:tc>
      </w:tr>
    </w:tbl>
    <w:p w14:paraId="1979C392" w14:textId="77777777" w:rsidR="00691FB5" w:rsidRDefault="00691FB5" w:rsidP="00C54BB7">
      <w:pPr>
        <w:pStyle w:val="r2030cle"/>
        <w:numPr>
          <w:ilvl w:val="0"/>
          <w:numId w:val="0"/>
        </w:numPr>
        <w:spacing w:before="0" w:after="0"/>
        <w:ind w:left="360"/>
      </w:pPr>
    </w:p>
    <w:p w14:paraId="6A2B7736" w14:textId="77777777" w:rsidR="00E86883" w:rsidRDefault="00537BF5" w:rsidP="00ED673D">
      <w:pPr>
        <w:pStyle w:val="r2030cle"/>
        <w:numPr>
          <w:ilvl w:val="0"/>
          <w:numId w:val="17"/>
        </w:numPr>
        <w:ind w:left="567" w:hanging="425"/>
      </w:pPr>
      <w:r w:rsidRPr="00537BF5">
        <w:t>Strukturální nerovnosti ve společnosti jsou nízké</w:t>
      </w:r>
      <w:r w:rsidRPr="00FC4714">
        <w:t xml:space="preserve">. </w:t>
      </w:r>
    </w:p>
    <w:p w14:paraId="20893A52" w14:textId="77777777" w:rsidR="00E86883" w:rsidRPr="008A01AB" w:rsidRDefault="00537BF5" w:rsidP="00ED673D">
      <w:pPr>
        <w:pStyle w:val="r2030podcle"/>
        <w:numPr>
          <w:ilvl w:val="1"/>
          <w:numId w:val="17"/>
        </w:numPr>
        <w:ind w:left="567" w:hanging="425"/>
        <w:rPr>
          <w:rFonts w:eastAsia="Calibri"/>
          <w:lang w:eastAsia="en-US"/>
        </w:rPr>
      </w:pPr>
      <w:r w:rsidRPr="00537BF5">
        <w:rPr>
          <w:rFonts w:eastAsia="Calibri"/>
          <w:lang w:eastAsia="en-US"/>
        </w:rPr>
        <w:t xml:space="preserve">Dlouhodobě se snižuje podíl osob ohrožených chudobou a sociálním vyloučením. </w:t>
      </w:r>
    </w:p>
    <w:tbl>
      <w:tblPr>
        <w:tblStyle w:val="Mkatabulky"/>
        <w:tblW w:w="0" w:type="auto"/>
        <w:tblLook w:val="04A0" w:firstRow="1" w:lastRow="0" w:firstColumn="1" w:lastColumn="0" w:noHBand="0" w:noVBand="1"/>
      </w:tblPr>
      <w:tblGrid>
        <w:gridCol w:w="2802"/>
        <w:gridCol w:w="6486"/>
      </w:tblGrid>
      <w:tr w:rsidR="00E86883" w:rsidRPr="00E86883" w14:paraId="262B7766"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4B8F1E40"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Název a označení indikátoru: </w:t>
            </w:r>
          </w:p>
        </w:tc>
        <w:tc>
          <w:tcPr>
            <w:tcW w:w="6486" w:type="dxa"/>
            <w:tcBorders>
              <w:top w:val="single" w:sz="4" w:space="0" w:color="auto"/>
              <w:left w:val="single" w:sz="4" w:space="0" w:color="auto"/>
              <w:bottom w:val="single" w:sz="4" w:space="0" w:color="auto"/>
              <w:right w:val="single" w:sz="4" w:space="0" w:color="auto"/>
            </w:tcBorders>
            <w:hideMark/>
          </w:tcPr>
          <w:p w14:paraId="4C885B82" w14:textId="77777777" w:rsidR="00E86883" w:rsidRPr="00E86883" w:rsidRDefault="00E86883" w:rsidP="00C51B65">
            <w:pPr>
              <w:spacing w:line="276" w:lineRule="auto"/>
              <w:rPr>
                <w:rFonts w:ascii="Arial" w:hAnsi="Arial" w:cs="Arial"/>
                <w:b/>
                <w:sz w:val="22"/>
                <w:szCs w:val="22"/>
                <w:lang w:eastAsia="en-US"/>
              </w:rPr>
            </w:pPr>
            <w:r w:rsidRPr="00E86883">
              <w:rPr>
                <w:rFonts w:ascii="Arial" w:hAnsi="Arial" w:cs="Arial"/>
                <w:b/>
                <w:sz w:val="22"/>
                <w:szCs w:val="22"/>
                <w:lang w:eastAsia="en-US"/>
              </w:rPr>
              <w:t xml:space="preserve">3.1.1 Míra ohrožení příjmovou chudobou nebo sociálním vyloučením </w:t>
            </w:r>
          </w:p>
        </w:tc>
      </w:tr>
      <w:tr w:rsidR="00E86883" w:rsidRPr="00E86883" w14:paraId="141F4C53"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6C90507B"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Stručná definice: </w:t>
            </w:r>
          </w:p>
        </w:tc>
        <w:tc>
          <w:tcPr>
            <w:tcW w:w="6486" w:type="dxa"/>
            <w:tcBorders>
              <w:top w:val="single" w:sz="4" w:space="0" w:color="auto"/>
              <w:left w:val="single" w:sz="4" w:space="0" w:color="auto"/>
              <w:bottom w:val="single" w:sz="4" w:space="0" w:color="auto"/>
              <w:right w:val="single" w:sz="4" w:space="0" w:color="auto"/>
            </w:tcBorders>
            <w:hideMark/>
          </w:tcPr>
          <w:p w14:paraId="776C6302"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Podíl osob, které spadají do jedn</w:t>
            </w:r>
            <w:r w:rsidR="00141353">
              <w:rPr>
                <w:rFonts w:ascii="Arial" w:hAnsi="Arial" w:cs="Arial"/>
                <w:sz w:val="22"/>
                <w:szCs w:val="22"/>
                <w:lang w:eastAsia="en-US"/>
              </w:rPr>
              <w:t xml:space="preserve">é z následujících tří skupin </w:t>
            </w:r>
            <w:r w:rsidRPr="00E86883">
              <w:rPr>
                <w:rFonts w:ascii="Arial" w:hAnsi="Arial" w:cs="Arial"/>
                <w:sz w:val="22"/>
                <w:szCs w:val="22"/>
                <w:lang w:eastAsia="en-US"/>
              </w:rPr>
              <w:t xml:space="preserve">(osoby jsou započítány pouze jednou): </w:t>
            </w:r>
            <w:r w:rsidR="00B42347">
              <w:rPr>
                <w:rFonts w:ascii="Arial" w:hAnsi="Arial" w:cs="Arial"/>
                <w:sz w:val="22"/>
                <w:szCs w:val="22"/>
                <w:lang w:eastAsia="en-US"/>
              </w:rPr>
              <w:t xml:space="preserve">osoby ohrožené </w:t>
            </w:r>
            <w:r w:rsidRPr="00E86883">
              <w:rPr>
                <w:rFonts w:ascii="Arial" w:hAnsi="Arial" w:cs="Arial"/>
                <w:sz w:val="22"/>
                <w:szCs w:val="22"/>
                <w:lang w:eastAsia="en-US"/>
              </w:rPr>
              <w:t>příjmovou chudobou, materiální deprivac</w:t>
            </w:r>
            <w:r w:rsidR="00B42347">
              <w:rPr>
                <w:rFonts w:ascii="Arial" w:hAnsi="Arial" w:cs="Arial"/>
                <w:sz w:val="22"/>
                <w:szCs w:val="22"/>
                <w:lang w:eastAsia="en-US"/>
              </w:rPr>
              <w:t>í</w:t>
            </w:r>
            <w:r w:rsidRPr="00E86883">
              <w:rPr>
                <w:rFonts w:ascii="Arial" w:hAnsi="Arial" w:cs="Arial"/>
                <w:sz w:val="22"/>
                <w:szCs w:val="22"/>
                <w:lang w:eastAsia="en-US"/>
              </w:rPr>
              <w:t>, osoby žijící v domácnostech s nízkou pracovní intenzitou.</w:t>
            </w:r>
          </w:p>
        </w:tc>
      </w:tr>
      <w:tr w:rsidR="00E86883" w:rsidRPr="00E86883" w14:paraId="2CAEFFDA"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0FBFC4BA"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Jednotka:</w:t>
            </w:r>
          </w:p>
        </w:tc>
        <w:tc>
          <w:tcPr>
            <w:tcW w:w="6486" w:type="dxa"/>
            <w:tcBorders>
              <w:top w:val="single" w:sz="4" w:space="0" w:color="auto"/>
              <w:left w:val="single" w:sz="4" w:space="0" w:color="auto"/>
              <w:bottom w:val="single" w:sz="4" w:space="0" w:color="auto"/>
              <w:right w:val="single" w:sz="4" w:space="0" w:color="auto"/>
            </w:tcBorders>
            <w:hideMark/>
          </w:tcPr>
          <w:p w14:paraId="4AEACC5E"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Podíl (v %)</w:t>
            </w:r>
          </w:p>
        </w:tc>
      </w:tr>
      <w:tr w:rsidR="00E86883" w:rsidRPr="00E86883" w14:paraId="1E325EB2"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509A0F88"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Gestor: </w:t>
            </w:r>
          </w:p>
        </w:tc>
        <w:tc>
          <w:tcPr>
            <w:tcW w:w="6486" w:type="dxa"/>
            <w:tcBorders>
              <w:top w:val="single" w:sz="4" w:space="0" w:color="auto"/>
              <w:left w:val="single" w:sz="4" w:space="0" w:color="auto"/>
              <w:bottom w:val="single" w:sz="4" w:space="0" w:color="auto"/>
              <w:right w:val="single" w:sz="4" w:space="0" w:color="auto"/>
            </w:tcBorders>
            <w:hideMark/>
          </w:tcPr>
          <w:p w14:paraId="4152BD3B"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Český statistický úřad</w:t>
            </w:r>
          </w:p>
        </w:tc>
      </w:tr>
      <w:tr w:rsidR="00E86883" w:rsidRPr="00E86883" w14:paraId="35F82AEE"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0D67997A"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Význam indikátoru: </w:t>
            </w:r>
          </w:p>
        </w:tc>
        <w:tc>
          <w:tcPr>
            <w:tcW w:w="6486" w:type="dxa"/>
            <w:tcBorders>
              <w:top w:val="single" w:sz="4" w:space="0" w:color="auto"/>
              <w:left w:val="single" w:sz="4" w:space="0" w:color="auto"/>
              <w:bottom w:val="single" w:sz="4" w:space="0" w:color="auto"/>
              <w:right w:val="single" w:sz="4" w:space="0" w:color="auto"/>
            </w:tcBorders>
            <w:hideMark/>
          </w:tcPr>
          <w:p w14:paraId="5A778362"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 xml:space="preserve">Vyjadřuje míru strukturální </w:t>
            </w:r>
            <w:proofErr w:type="spellStart"/>
            <w:r w:rsidRPr="00E86883">
              <w:rPr>
                <w:rFonts w:ascii="Arial" w:hAnsi="Arial" w:cs="Arial"/>
                <w:sz w:val="22"/>
                <w:szCs w:val="22"/>
                <w:lang w:eastAsia="en-US"/>
              </w:rPr>
              <w:t>socio</w:t>
            </w:r>
            <w:proofErr w:type="spellEnd"/>
            <w:r w:rsidRPr="00E86883">
              <w:rPr>
                <w:rFonts w:ascii="Arial" w:hAnsi="Arial" w:cs="Arial"/>
                <w:sz w:val="22"/>
                <w:szCs w:val="22"/>
                <w:lang w:eastAsia="en-US"/>
              </w:rPr>
              <w:t>-ekonomické nerovnosti.</w:t>
            </w:r>
          </w:p>
        </w:tc>
      </w:tr>
      <w:tr w:rsidR="00E86883" w:rsidRPr="00E86883" w14:paraId="143D0233"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0C93CE9F"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Časová řada: </w:t>
            </w:r>
          </w:p>
        </w:tc>
        <w:tc>
          <w:tcPr>
            <w:tcW w:w="6486" w:type="dxa"/>
            <w:tcBorders>
              <w:top w:val="single" w:sz="4" w:space="0" w:color="auto"/>
              <w:left w:val="single" w:sz="4" w:space="0" w:color="auto"/>
              <w:bottom w:val="single" w:sz="4" w:space="0" w:color="auto"/>
              <w:right w:val="single" w:sz="4" w:space="0" w:color="auto"/>
            </w:tcBorders>
          </w:tcPr>
          <w:p w14:paraId="1D6A5B4B"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 xml:space="preserve">Od </w:t>
            </w:r>
            <w:r w:rsidR="00B42347">
              <w:rPr>
                <w:rFonts w:ascii="Arial" w:hAnsi="Arial" w:cs="Arial"/>
                <w:sz w:val="22"/>
                <w:szCs w:val="22"/>
                <w:lang w:eastAsia="en-US"/>
              </w:rPr>
              <w:t xml:space="preserve">roku </w:t>
            </w:r>
            <w:r w:rsidRPr="00E86883">
              <w:rPr>
                <w:rFonts w:ascii="Arial" w:hAnsi="Arial" w:cs="Arial"/>
                <w:sz w:val="22"/>
                <w:szCs w:val="22"/>
                <w:lang w:eastAsia="en-US"/>
              </w:rPr>
              <w:t>2011</w:t>
            </w:r>
          </w:p>
        </w:tc>
      </w:tr>
      <w:tr w:rsidR="00E86883" w:rsidRPr="00E86883" w14:paraId="417818E8"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038A099D"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Frekvence výstupu: </w:t>
            </w:r>
          </w:p>
        </w:tc>
        <w:tc>
          <w:tcPr>
            <w:tcW w:w="6486" w:type="dxa"/>
            <w:tcBorders>
              <w:top w:val="single" w:sz="4" w:space="0" w:color="auto"/>
              <w:left w:val="single" w:sz="4" w:space="0" w:color="auto"/>
              <w:bottom w:val="single" w:sz="4" w:space="0" w:color="auto"/>
              <w:right w:val="single" w:sz="4" w:space="0" w:color="auto"/>
            </w:tcBorders>
            <w:hideMark/>
          </w:tcPr>
          <w:p w14:paraId="619F9085"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Ročně</w:t>
            </w:r>
          </w:p>
        </w:tc>
      </w:tr>
      <w:tr w:rsidR="00E86883" w:rsidRPr="00E86883" w14:paraId="5A581668" w14:textId="77777777" w:rsidTr="008D14FE">
        <w:trPr>
          <w:trHeight w:val="70"/>
        </w:trPr>
        <w:tc>
          <w:tcPr>
            <w:tcW w:w="2802" w:type="dxa"/>
            <w:tcBorders>
              <w:top w:val="single" w:sz="4" w:space="0" w:color="auto"/>
              <w:left w:val="single" w:sz="4" w:space="0" w:color="auto"/>
              <w:bottom w:val="single" w:sz="4" w:space="0" w:color="auto"/>
              <w:right w:val="single" w:sz="4" w:space="0" w:color="auto"/>
            </w:tcBorders>
            <w:hideMark/>
          </w:tcPr>
          <w:p w14:paraId="376046E9"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Členění indikátoru: </w:t>
            </w:r>
          </w:p>
        </w:tc>
        <w:tc>
          <w:tcPr>
            <w:tcW w:w="6486" w:type="dxa"/>
            <w:tcBorders>
              <w:top w:val="single" w:sz="4" w:space="0" w:color="auto"/>
              <w:left w:val="single" w:sz="4" w:space="0" w:color="auto"/>
              <w:bottom w:val="single" w:sz="4" w:space="0" w:color="auto"/>
              <w:right w:val="single" w:sz="4" w:space="0" w:color="auto"/>
            </w:tcBorders>
          </w:tcPr>
          <w:p w14:paraId="038D2F31" w14:textId="1EDBD2E8" w:rsidR="00E86883" w:rsidRPr="00E86883" w:rsidRDefault="00BE1309" w:rsidP="00BE1309">
            <w:pPr>
              <w:spacing w:line="276" w:lineRule="auto"/>
              <w:jc w:val="both"/>
              <w:rPr>
                <w:rFonts w:ascii="Arial" w:hAnsi="Arial" w:cs="Arial"/>
                <w:sz w:val="22"/>
                <w:szCs w:val="22"/>
                <w:lang w:eastAsia="en-US"/>
              </w:rPr>
            </w:pPr>
            <w:r>
              <w:rPr>
                <w:rFonts w:ascii="Arial" w:hAnsi="Arial" w:cs="Arial"/>
                <w:sz w:val="22"/>
                <w:szCs w:val="22"/>
                <w:lang w:eastAsia="en-US"/>
              </w:rPr>
              <w:t>Dle z</w:t>
            </w:r>
            <w:r w:rsidR="00E86883" w:rsidRPr="00E86883">
              <w:rPr>
                <w:rFonts w:ascii="Arial" w:hAnsi="Arial" w:cs="Arial"/>
                <w:sz w:val="22"/>
                <w:szCs w:val="22"/>
                <w:lang w:eastAsia="en-US"/>
              </w:rPr>
              <w:t>ákladní</w:t>
            </w:r>
            <w:r>
              <w:rPr>
                <w:rFonts w:ascii="Arial" w:hAnsi="Arial" w:cs="Arial"/>
                <w:sz w:val="22"/>
                <w:szCs w:val="22"/>
                <w:lang w:eastAsia="en-US"/>
              </w:rPr>
              <w:t xml:space="preserve">ch </w:t>
            </w:r>
            <w:proofErr w:type="spellStart"/>
            <w:r>
              <w:rPr>
                <w:rFonts w:ascii="Arial" w:hAnsi="Arial" w:cs="Arial"/>
                <w:sz w:val="22"/>
                <w:szCs w:val="22"/>
                <w:lang w:eastAsia="en-US"/>
              </w:rPr>
              <w:t>socio</w:t>
            </w:r>
            <w:proofErr w:type="spellEnd"/>
            <w:r>
              <w:rPr>
                <w:rFonts w:ascii="Arial" w:hAnsi="Arial" w:cs="Arial"/>
                <w:sz w:val="22"/>
                <w:szCs w:val="22"/>
                <w:lang w:eastAsia="en-US"/>
              </w:rPr>
              <w:t>-ekonomických skupin</w:t>
            </w:r>
            <w:r w:rsidR="00E86883" w:rsidRPr="00E86883">
              <w:rPr>
                <w:rFonts w:ascii="Arial" w:hAnsi="Arial" w:cs="Arial"/>
                <w:sz w:val="22"/>
                <w:szCs w:val="22"/>
                <w:lang w:eastAsia="en-US"/>
              </w:rPr>
              <w:t xml:space="preserve"> obyvatel, regiony NUTS</w:t>
            </w:r>
            <w:r w:rsidR="009B251E">
              <w:rPr>
                <w:rFonts w:ascii="Arial" w:hAnsi="Arial" w:cs="Arial"/>
                <w:sz w:val="22"/>
                <w:szCs w:val="22"/>
                <w:lang w:eastAsia="en-US"/>
              </w:rPr>
              <w:t xml:space="preserve"> </w:t>
            </w:r>
            <w:r w:rsidR="00E86883" w:rsidRPr="00E86883">
              <w:rPr>
                <w:rFonts w:ascii="Arial" w:hAnsi="Arial" w:cs="Arial"/>
                <w:sz w:val="22"/>
                <w:szCs w:val="22"/>
                <w:lang w:eastAsia="en-US"/>
              </w:rPr>
              <w:t>2</w:t>
            </w:r>
          </w:p>
        </w:tc>
      </w:tr>
      <w:tr w:rsidR="00E86883" w:rsidRPr="00E86883" w14:paraId="5FC565B2" w14:textId="77777777" w:rsidTr="008D14FE">
        <w:trPr>
          <w:trHeight w:val="70"/>
        </w:trPr>
        <w:tc>
          <w:tcPr>
            <w:tcW w:w="2802" w:type="dxa"/>
            <w:tcBorders>
              <w:top w:val="single" w:sz="4" w:space="0" w:color="auto"/>
              <w:left w:val="single" w:sz="4" w:space="0" w:color="auto"/>
              <w:bottom w:val="single" w:sz="4" w:space="0" w:color="auto"/>
              <w:right w:val="single" w:sz="4" w:space="0" w:color="auto"/>
            </w:tcBorders>
            <w:hideMark/>
          </w:tcPr>
          <w:p w14:paraId="0060890C"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Mezinárodní srovnání:</w:t>
            </w:r>
          </w:p>
        </w:tc>
        <w:tc>
          <w:tcPr>
            <w:tcW w:w="6486" w:type="dxa"/>
            <w:tcBorders>
              <w:top w:val="single" w:sz="4" w:space="0" w:color="auto"/>
              <w:left w:val="single" w:sz="4" w:space="0" w:color="auto"/>
              <w:bottom w:val="single" w:sz="4" w:space="0" w:color="auto"/>
              <w:right w:val="single" w:sz="4" w:space="0" w:color="auto"/>
            </w:tcBorders>
            <w:hideMark/>
          </w:tcPr>
          <w:p w14:paraId="12764F1A"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Harmonizovaný indikátor v rámci EU (</w:t>
            </w:r>
            <w:r w:rsidR="009B251E">
              <w:rPr>
                <w:rFonts w:ascii="Arial" w:hAnsi="Arial" w:cs="Arial"/>
                <w:sz w:val="22"/>
                <w:szCs w:val="22"/>
                <w:lang w:eastAsia="en-US"/>
              </w:rPr>
              <w:t>Evropa</w:t>
            </w:r>
            <w:r w:rsidRPr="00E86883">
              <w:rPr>
                <w:rFonts w:ascii="Arial" w:hAnsi="Arial" w:cs="Arial"/>
                <w:sz w:val="22"/>
                <w:szCs w:val="22"/>
                <w:lang w:eastAsia="en-US"/>
              </w:rPr>
              <w:t xml:space="preserve"> 2020)</w:t>
            </w:r>
          </w:p>
        </w:tc>
      </w:tr>
    </w:tbl>
    <w:p w14:paraId="32DB5049" w14:textId="5D006F77" w:rsidR="00E86883" w:rsidRPr="00537BF5" w:rsidRDefault="00B42347" w:rsidP="00ED673D">
      <w:pPr>
        <w:pStyle w:val="r2030podcle"/>
        <w:numPr>
          <w:ilvl w:val="1"/>
          <w:numId w:val="17"/>
        </w:numPr>
        <w:ind w:left="567" w:hanging="425"/>
        <w:rPr>
          <w:rFonts w:eastAsia="Calibri"/>
          <w:lang w:eastAsia="en-US"/>
        </w:rPr>
      </w:pPr>
      <w:r w:rsidRPr="00B42347">
        <w:rPr>
          <w:rFonts w:eastAsia="Calibri"/>
          <w:lang w:eastAsia="en-US"/>
        </w:rPr>
        <w:t>Snižuje se příjmová nerovnost a je kladen důraz na udržení silné střední vrstvy.</w:t>
      </w:r>
    </w:p>
    <w:tbl>
      <w:tblPr>
        <w:tblStyle w:val="Mkatabulky"/>
        <w:tblW w:w="0" w:type="auto"/>
        <w:tblLook w:val="04A0" w:firstRow="1" w:lastRow="0" w:firstColumn="1" w:lastColumn="0" w:noHBand="0" w:noVBand="1"/>
      </w:tblPr>
      <w:tblGrid>
        <w:gridCol w:w="2802"/>
        <w:gridCol w:w="6486"/>
      </w:tblGrid>
      <w:tr w:rsidR="00E86883" w:rsidRPr="00E86883" w14:paraId="218F52A9"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22A3DEC8"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Název a označení indikátoru: </w:t>
            </w:r>
          </w:p>
        </w:tc>
        <w:tc>
          <w:tcPr>
            <w:tcW w:w="6486" w:type="dxa"/>
            <w:tcBorders>
              <w:top w:val="single" w:sz="4" w:space="0" w:color="auto"/>
              <w:left w:val="single" w:sz="4" w:space="0" w:color="auto"/>
              <w:bottom w:val="single" w:sz="4" w:space="0" w:color="auto"/>
              <w:right w:val="single" w:sz="4" w:space="0" w:color="auto"/>
            </w:tcBorders>
            <w:hideMark/>
          </w:tcPr>
          <w:p w14:paraId="03A66578" w14:textId="77777777" w:rsidR="00E86883" w:rsidRPr="00E86883" w:rsidRDefault="00E86883" w:rsidP="00C51B65">
            <w:pPr>
              <w:spacing w:line="276" w:lineRule="auto"/>
              <w:rPr>
                <w:rFonts w:ascii="Arial" w:hAnsi="Arial" w:cs="Arial"/>
                <w:b/>
                <w:sz w:val="22"/>
                <w:szCs w:val="22"/>
                <w:lang w:eastAsia="en-US"/>
              </w:rPr>
            </w:pPr>
            <w:r w:rsidRPr="00E86883">
              <w:rPr>
                <w:rFonts w:ascii="Arial" w:eastAsia="Calibri" w:hAnsi="Arial" w:cs="Arial"/>
                <w:b/>
                <w:sz w:val="22"/>
                <w:szCs w:val="22"/>
                <w:lang w:eastAsia="en-US"/>
              </w:rPr>
              <w:t>3.2.1 Vývoj příjmů osob ohrožených příjmovou chudobou</w:t>
            </w:r>
          </w:p>
        </w:tc>
      </w:tr>
      <w:tr w:rsidR="00E86883" w:rsidRPr="00E86883" w14:paraId="398217A8"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1262DB5D"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Stručná definice: </w:t>
            </w:r>
          </w:p>
        </w:tc>
        <w:tc>
          <w:tcPr>
            <w:tcW w:w="6486" w:type="dxa"/>
            <w:tcBorders>
              <w:top w:val="single" w:sz="4" w:space="0" w:color="auto"/>
              <w:left w:val="single" w:sz="4" w:space="0" w:color="auto"/>
              <w:bottom w:val="single" w:sz="4" w:space="0" w:color="auto"/>
              <w:right w:val="single" w:sz="4" w:space="0" w:color="auto"/>
            </w:tcBorders>
            <w:hideMark/>
          </w:tcPr>
          <w:p w14:paraId="75863A93"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Index mediánu vyrovnaného (</w:t>
            </w:r>
            <w:proofErr w:type="spellStart"/>
            <w:r w:rsidRPr="00E86883">
              <w:rPr>
                <w:rFonts w:ascii="Arial" w:hAnsi="Arial" w:cs="Arial"/>
                <w:sz w:val="22"/>
                <w:szCs w:val="22"/>
                <w:lang w:eastAsia="en-US"/>
              </w:rPr>
              <w:t>ekvalizovaného</w:t>
            </w:r>
            <w:proofErr w:type="spellEnd"/>
            <w:r w:rsidRPr="00E86883">
              <w:rPr>
                <w:rFonts w:ascii="Arial" w:hAnsi="Arial" w:cs="Arial"/>
                <w:sz w:val="22"/>
                <w:szCs w:val="22"/>
                <w:lang w:eastAsia="en-US"/>
              </w:rPr>
              <w:t xml:space="preserve">) příjmu osob, </w:t>
            </w:r>
            <w:r w:rsidRPr="00E86883">
              <w:rPr>
                <w:rFonts w:ascii="Arial" w:hAnsi="Arial" w:cs="Arial"/>
                <w:sz w:val="22"/>
                <w:szCs w:val="22"/>
                <w:lang w:eastAsia="en-US"/>
              </w:rPr>
              <w:lastRenderedPageBreak/>
              <w:t>jejichž roční vyrovnaný disponibilní příjem je nižší než 60 % ročního národního vyrovnaného mediánového příjmu na spotřební jednotku (tj. osob ohrožených příjmovou chudobou).</w:t>
            </w:r>
          </w:p>
        </w:tc>
      </w:tr>
      <w:tr w:rsidR="00E86883" w:rsidRPr="00E86883" w14:paraId="11001840"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4ED2646B"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lastRenderedPageBreak/>
              <w:t>Jednotka:</w:t>
            </w:r>
          </w:p>
        </w:tc>
        <w:tc>
          <w:tcPr>
            <w:tcW w:w="6486" w:type="dxa"/>
            <w:tcBorders>
              <w:top w:val="single" w:sz="4" w:space="0" w:color="auto"/>
              <w:left w:val="single" w:sz="4" w:space="0" w:color="auto"/>
              <w:bottom w:val="single" w:sz="4" w:space="0" w:color="auto"/>
              <w:right w:val="single" w:sz="4" w:space="0" w:color="auto"/>
            </w:tcBorders>
            <w:hideMark/>
          </w:tcPr>
          <w:p w14:paraId="78633549"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Index (meziroční)</w:t>
            </w:r>
          </w:p>
        </w:tc>
      </w:tr>
      <w:tr w:rsidR="00E86883" w:rsidRPr="00E86883" w14:paraId="066DA12B"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4BAF03ED"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Gestor: </w:t>
            </w:r>
          </w:p>
        </w:tc>
        <w:tc>
          <w:tcPr>
            <w:tcW w:w="6486" w:type="dxa"/>
            <w:tcBorders>
              <w:top w:val="single" w:sz="4" w:space="0" w:color="auto"/>
              <w:left w:val="single" w:sz="4" w:space="0" w:color="auto"/>
              <w:bottom w:val="single" w:sz="4" w:space="0" w:color="auto"/>
              <w:right w:val="single" w:sz="4" w:space="0" w:color="auto"/>
            </w:tcBorders>
            <w:hideMark/>
          </w:tcPr>
          <w:p w14:paraId="1436692D"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Český statistický úřad</w:t>
            </w:r>
          </w:p>
        </w:tc>
      </w:tr>
      <w:tr w:rsidR="00E86883" w:rsidRPr="00E86883" w14:paraId="0F3241B5"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36CC9C7A"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Význam indikátoru: </w:t>
            </w:r>
          </w:p>
        </w:tc>
        <w:tc>
          <w:tcPr>
            <w:tcW w:w="6486" w:type="dxa"/>
            <w:tcBorders>
              <w:top w:val="single" w:sz="4" w:space="0" w:color="auto"/>
              <w:left w:val="single" w:sz="4" w:space="0" w:color="auto"/>
              <w:bottom w:val="single" w:sz="4" w:space="0" w:color="auto"/>
              <w:right w:val="single" w:sz="4" w:space="0" w:color="auto"/>
            </w:tcBorders>
            <w:hideMark/>
          </w:tcPr>
          <w:p w14:paraId="629BD474"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Ukazuje vývoj životní úrovně osob ohrožených příjmovou chudobou.</w:t>
            </w:r>
          </w:p>
        </w:tc>
      </w:tr>
      <w:tr w:rsidR="00E86883" w:rsidRPr="00E86883" w14:paraId="2FE0C82B"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160F6EE2"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Časová řada: </w:t>
            </w:r>
          </w:p>
        </w:tc>
        <w:tc>
          <w:tcPr>
            <w:tcW w:w="6486" w:type="dxa"/>
            <w:tcBorders>
              <w:top w:val="single" w:sz="4" w:space="0" w:color="auto"/>
              <w:left w:val="single" w:sz="4" w:space="0" w:color="auto"/>
              <w:bottom w:val="single" w:sz="4" w:space="0" w:color="auto"/>
              <w:right w:val="single" w:sz="4" w:space="0" w:color="auto"/>
            </w:tcBorders>
          </w:tcPr>
          <w:p w14:paraId="691D9B6E"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Nový indikátor, lze zpětně propočítat od roku 2005.</w:t>
            </w:r>
          </w:p>
        </w:tc>
      </w:tr>
      <w:tr w:rsidR="00E86883" w:rsidRPr="00E86883" w14:paraId="4BFB7B4F"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5D6BE11A"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Frekvence výstupu: </w:t>
            </w:r>
          </w:p>
        </w:tc>
        <w:tc>
          <w:tcPr>
            <w:tcW w:w="6486" w:type="dxa"/>
            <w:tcBorders>
              <w:top w:val="single" w:sz="4" w:space="0" w:color="auto"/>
              <w:left w:val="single" w:sz="4" w:space="0" w:color="auto"/>
              <w:bottom w:val="single" w:sz="4" w:space="0" w:color="auto"/>
              <w:right w:val="single" w:sz="4" w:space="0" w:color="auto"/>
            </w:tcBorders>
            <w:hideMark/>
          </w:tcPr>
          <w:p w14:paraId="0EA7873A"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Ročně</w:t>
            </w:r>
          </w:p>
        </w:tc>
      </w:tr>
      <w:tr w:rsidR="00E86883" w:rsidRPr="00E86883" w14:paraId="476CF92B" w14:textId="77777777" w:rsidTr="008D14FE">
        <w:trPr>
          <w:trHeight w:val="70"/>
        </w:trPr>
        <w:tc>
          <w:tcPr>
            <w:tcW w:w="2802" w:type="dxa"/>
            <w:tcBorders>
              <w:top w:val="single" w:sz="4" w:space="0" w:color="auto"/>
              <w:left w:val="single" w:sz="4" w:space="0" w:color="auto"/>
              <w:bottom w:val="single" w:sz="4" w:space="0" w:color="auto"/>
              <w:right w:val="single" w:sz="4" w:space="0" w:color="auto"/>
            </w:tcBorders>
            <w:hideMark/>
          </w:tcPr>
          <w:p w14:paraId="09B66B3B"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Členění indikátoru: </w:t>
            </w:r>
          </w:p>
        </w:tc>
        <w:tc>
          <w:tcPr>
            <w:tcW w:w="6486" w:type="dxa"/>
            <w:tcBorders>
              <w:top w:val="single" w:sz="4" w:space="0" w:color="auto"/>
              <w:left w:val="single" w:sz="4" w:space="0" w:color="auto"/>
              <w:bottom w:val="single" w:sz="4" w:space="0" w:color="auto"/>
              <w:right w:val="single" w:sz="4" w:space="0" w:color="auto"/>
            </w:tcBorders>
          </w:tcPr>
          <w:p w14:paraId="363C6EA1" w14:textId="77777777" w:rsidR="00E86883" w:rsidRPr="00E86883" w:rsidRDefault="00793B30" w:rsidP="00BE1309">
            <w:pPr>
              <w:spacing w:line="276" w:lineRule="auto"/>
              <w:jc w:val="both"/>
              <w:rPr>
                <w:rFonts w:ascii="Arial" w:hAnsi="Arial" w:cs="Arial"/>
                <w:sz w:val="22"/>
                <w:szCs w:val="22"/>
                <w:lang w:eastAsia="en-US"/>
              </w:rPr>
            </w:pPr>
            <w:r>
              <w:rPr>
                <w:rFonts w:ascii="Arial" w:hAnsi="Arial" w:cs="Arial"/>
                <w:sz w:val="22"/>
                <w:szCs w:val="22"/>
                <w:lang w:eastAsia="en-US"/>
              </w:rPr>
              <w:t>-</w:t>
            </w:r>
          </w:p>
        </w:tc>
      </w:tr>
      <w:tr w:rsidR="00E86883" w:rsidRPr="00E86883" w14:paraId="6178852A" w14:textId="77777777" w:rsidTr="00C54BB7">
        <w:trPr>
          <w:trHeight w:val="431"/>
        </w:trPr>
        <w:tc>
          <w:tcPr>
            <w:tcW w:w="2802" w:type="dxa"/>
            <w:tcBorders>
              <w:top w:val="single" w:sz="4" w:space="0" w:color="auto"/>
              <w:left w:val="single" w:sz="4" w:space="0" w:color="auto"/>
              <w:bottom w:val="single" w:sz="4" w:space="0" w:color="auto"/>
              <w:right w:val="single" w:sz="4" w:space="0" w:color="auto"/>
            </w:tcBorders>
            <w:hideMark/>
          </w:tcPr>
          <w:p w14:paraId="3A9FC8ED"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Mezinárodní srovnání:</w:t>
            </w:r>
          </w:p>
        </w:tc>
        <w:tc>
          <w:tcPr>
            <w:tcW w:w="6486" w:type="dxa"/>
            <w:tcBorders>
              <w:top w:val="single" w:sz="4" w:space="0" w:color="auto"/>
              <w:left w:val="single" w:sz="4" w:space="0" w:color="auto"/>
              <w:bottom w:val="single" w:sz="4" w:space="0" w:color="auto"/>
              <w:right w:val="single" w:sz="4" w:space="0" w:color="auto"/>
            </w:tcBorders>
            <w:shd w:val="clear" w:color="auto" w:fill="auto"/>
          </w:tcPr>
          <w:p w14:paraId="1EEC11ED" w14:textId="77777777" w:rsidR="00E86883" w:rsidRPr="00E86883" w:rsidRDefault="00E86883" w:rsidP="00BE1309">
            <w:pPr>
              <w:spacing w:line="276" w:lineRule="auto"/>
              <w:jc w:val="both"/>
              <w:rPr>
                <w:rFonts w:ascii="Arial" w:hAnsi="Arial" w:cs="Arial"/>
                <w:sz w:val="22"/>
                <w:szCs w:val="22"/>
                <w:lang w:eastAsia="en-US"/>
              </w:rPr>
            </w:pPr>
            <w:proofErr w:type="spellStart"/>
            <w:r w:rsidRPr="00E86883">
              <w:rPr>
                <w:rFonts w:ascii="Arial" w:hAnsi="Arial" w:cs="Arial"/>
                <w:sz w:val="22"/>
                <w:szCs w:val="22"/>
                <w:lang w:eastAsia="en-US"/>
              </w:rPr>
              <w:t>Eurostatem</w:t>
            </w:r>
            <w:proofErr w:type="spellEnd"/>
            <w:r w:rsidRPr="00E86883">
              <w:rPr>
                <w:rFonts w:ascii="Arial" w:hAnsi="Arial" w:cs="Arial"/>
                <w:sz w:val="22"/>
                <w:szCs w:val="22"/>
                <w:lang w:eastAsia="en-US"/>
              </w:rPr>
              <w:t xml:space="preserve"> není běžně publikováno, k dispozici pouze z národních dat za ČR.</w:t>
            </w:r>
          </w:p>
        </w:tc>
      </w:tr>
    </w:tbl>
    <w:p w14:paraId="679994D1" w14:textId="77777777" w:rsidR="00E86883" w:rsidRPr="00E86883" w:rsidRDefault="00E86883" w:rsidP="00C51B65">
      <w:pPr>
        <w:spacing w:line="276" w:lineRule="auto"/>
        <w:contextualSpacing/>
        <w:rPr>
          <w:rFonts w:ascii="Arial" w:eastAsia="Calibri" w:hAnsi="Arial" w:cs="Arial"/>
          <w:b/>
          <w:sz w:val="22"/>
          <w:szCs w:val="22"/>
          <w:lang w:eastAsia="en-US"/>
        </w:rPr>
      </w:pPr>
    </w:p>
    <w:tbl>
      <w:tblPr>
        <w:tblStyle w:val="Mkatabulky"/>
        <w:tblW w:w="0" w:type="auto"/>
        <w:tblLook w:val="04A0" w:firstRow="1" w:lastRow="0" w:firstColumn="1" w:lastColumn="0" w:noHBand="0" w:noVBand="1"/>
      </w:tblPr>
      <w:tblGrid>
        <w:gridCol w:w="2802"/>
        <w:gridCol w:w="6486"/>
      </w:tblGrid>
      <w:tr w:rsidR="00E86883" w:rsidRPr="00E86883" w14:paraId="0B43853A"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09EEF9BC"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Název a označení indikátoru: </w:t>
            </w:r>
          </w:p>
        </w:tc>
        <w:tc>
          <w:tcPr>
            <w:tcW w:w="6486" w:type="dxa"/>
            <w:tcBorders>
              <w:top w:val="single" w:sz="4" w:space="0" w:color="auto"/>
              <w:left w:val="single" w:sz="4" w:space="0" w:color="auto"/>
              <w:bottom w:val="single" w:sz="4" w:space="0" w:color="auto"/>
              <w:right w:val="single" w:sz="4" w:space="0" w:color="auto"/>
            </w:tcBorders>
            <w:hideMark/>
          </w:tcPr>
          <w:p w14:paraId="2FEF52AD" w14:textId="77777777" w:rsidR="00E86883" w:rsidRPr="00E86883" w:rsidRDefault="00E86883" w:rsidP="00C51B65">
            <w:pPr>
              <w:spacing w:line="276" w:lineRule="auto"/>
              <w:contextualSpacing/>
              <w:rPr>
                <w:rFonts w:ascii="Arial" w:hAnsi="Arial" w:cs="Arial"/>
                <w:b/>
                <w:sz w:val="22"/>
                <w:szCs w:val="22"/>
                <w:lang w:eastAsia="en-US"/>
              </w:rPr>
            </w:pPr>
            <w:r w:rsidRPr="00E86883">
              <w:rPr>
                <w:rFonts w:ascii="Arial" w:eastAsia="Calibri" w:hAnsi="Arial" w:cs="Arial"/>
                <w:b/>
                <w:sz w:val="22"/>
                <w:szCs w:val="22"/>
                <w:lang w:eastAsia="en-US"/>
              </w:rPr>
              <w:t>3.2.2 Průměrná měsíční mzda</w:t>
            </w:r>
          </w:p>
        </w:tc>
      </w:tr>
      <w:tr w:rsidR="00E86883" w:rsidRPr="00E86883" w14:paraId="5FFCA003"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385AB566"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Stručná definice: </w:t>
            </w:r>
          </w:p>
        </w:tc>
        <w:tc>
          <w:tcPr>
            <w:tcW w:w="6486" w:type="dxa"/>
            <w:tcBorders>
              <w:top w:val="single" w:sz="4" w:space="0" w:color="auto"/>
              <w:left w:val="single" w:sz="4" w:space="0" w:color="auto"/>
              <w:bottom w:val="single" w:sz="4" w:space="0" w:color="auto"/>
              <w:right w:val="single" w:sz="4" w:space="0" w:color="auto"/>
            </w:tcBorders>
          </w:tcPr>
          <w:p w14:paraId="0AEDCDCB" w14:textId="77777777" w:rsidR="00E86883" w:rsidRPr="00E86883" w:rsidRDefault="00E86883" w:rsidP="0099602A">
            <w:pPr>
              <w:spacing w:line="276" w:lineRule="auto"/>
              <w:jc w:val="both"/>
              <w:rPr>
                <w:rFonts w:ascii="Arial" w:hAnsi="Arial" w:cs="Arial"/>
                <w:sz w:val="22"/>
                <w:szCs w:val="22"/>
                <w:lang w:eastAsia="en-US"/>
              </w:rPr>
            </w:pPr>
            <w:r w:rsidRPr="00E86883">
              <w:rPr>
                <w:rFonts w:ascii="Arial" w:hAnsi="Arial" w:cs="Arial"/>
                <w:sz w:val="22"/>
                <w:szCs w:val="22"/>
                <w:lang w:eastAsia="en-US"/>
              </w:rPr>
              <w:t>Průměrná hrubá mzda představuje podíl mezd bez ostatních osobních nákladů připadající na jednoho zaměstnance.</w:t>
            </w:r>
          </w:p>
        </w:tc>
      </w:tr>
      <w:tr w:rsidR="00E86883" w:rsidRPr="00E86883" w14:paraId="070451E1"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799386ED"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Jednotka:</w:t>
            </w:r>
          </w:p>
        </w:tc>
        <w:tc>
          <w:tcPr>
            <w:tcW w:w="6486" w:type="dxa"/>
            <w:tcBorders>
              <w:top w:val="single" w:sz="4" w:space="0" w:color="auto"/>
              <w:left w:val="single" w:sz="4" w:space="0" w:color="auto"/>
              <w:bottom w:val="single" w:sz="4" w:space="0" w:color="auto"/>
              <w:right w:val="single" w:sz="4" w:space="0" w:color="auto"/>
            </w:tcBorders>
            <w:hideMark/>
          </w:tcPr>
          <w:p w14:paraId="2BAC2B42" w14:textId="77777777" w:rsidR="00E86883" w:rsidRPr="00E86883" w:rsidRDefault="00E86883" w:rsidP="0099602A">
            <w:pPr>
              <w:spacing w:line="276" w:lineRule="auto"/>
              <w:jc w:val="both"/>
              <w:rPr>
                <w:rFonts w:ascii="Arial" w:hAnsi="Arial" w:cs="Arial"/>
                <w:sz w:val="22"/>
                <w:szCs w:val="22"/>
                <w:lang w:eastAsia="en-US"/>
              </w:rPr>
            </w:pPr>
            <w:r w:rsidRPr="00E86883">
              <w:rPr>
                <w:rFonts w:ascii="Arial" w:hAnsi="Arial" w:cs="Arial"/>
                <w:sz w:val="22"/>
                <w:szCs w:val="22"/>
                <w:lang w:eastAsia="en-US"/>
              </w:rPr>
              <w:t>Kč</w:t>
            </w:r>
          </w:p>
        </w:tc>
      </w:tr>
      <w:tr w:rsidR="00E86883" w:rsidRPr="00E86883" w14:paraId="4C839614"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4BC5E27B"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Gestor: </w:t>
            </w:r>
          </w:p>
        </w:tc>
        <w:tc>
          <w:tcPr>
            <w:tcW w:w="6486" w:type="dxa"/>
            <w:tcBorders>
              <w:top w:val="single" w:sz="4" w:space="0" w:color="auto"/>
              <w:left w:val="single" w:sz="4" w:space="0" w:color="auto"/>
              <w:bottom w:val="single" w:sz="4" w:space="0" w:color="auto"/>
              <w:right w:val="single" w:sz="4" w:space="0" w:color="auto"/>
            </w:tcBorders>
            <w:hideMark/>
          </w:tcPr>
          <w:p w14:paraId="018E55F0" w14:textId="77777777" w:rsidR="00E86883" w:rsidRPr="00E86883" w:rsidRDefault="00E86883" w:rsidP="0099602A">
            <w:pPr>
              <w:spacing w:line="276" w:lineRule="auto"/>
              <w:jc w:val="both"/>
              <w:rPr>
                <w:rFonts w:ascii="Arial" w:hAnsi="Arial" w:cs="Arial"/>
                <w:sz w:val="22"/>
                <w:szCs w:val="22"/>
                <w:lang w:eastAsia="en-US"/>
              </w:rPr>
            </w:pPr>
            <w:r w:rsidRPr="00E86883">
              <w:rPr>
                <w:rFonts w:ascii="Arial" w:hAnsi="Arial" w:cs="Arial"/>
                <w:sz w:val="22"/>
                <w:szCs w:val="22"/>
                <w:lang w:eastAsia="en-US"/>
              </w:rPr>
              <w:t xml:space="preserve">Český statistický úřad </w:t>
            </w:r>
          </w:p>
        </w:tc>
      </w:tr>
      <w:tr w:rsidR="00E86883" w:rsidRPr="00E86883" w14:paraId="7B211E64"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6F215874"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Význam indikátoru: </w:t>
            </w:r>
          </w:p>
        </w:tc>
        <w:tc>
          <w:tcPr>
            <w:tcW w:w="6486" w:type="dxa"/>
            <w:tcBorders>
              <w:top w:val="single" w:sz="4" w:space="0" w:color="auto"/>
              <w:left w:val="single" w:sz="4" w:space="0" w:color="auto"/>
              <w:bottom w:val="single" w:sz="4" w:space="0" w:color="auto"/>
              <w:right w:val="single" w:sz="4" w:space="0" w:color="auto"/>
            </w:tcBorders>
            <w:hideMark/>
          </w:tcPr>
          <w:p w14:paraId="6D4B419D" w14:textId="77777777" w:rsidR="00E86883" w:rsidRPr="00E86883" w:rsidRDefault="00E86883" w:rsidP="0099602A">
            <w:pPr>
              <w:spacing w:line="276" w:lineRule="auto"/>
              <w:jc w:val="both"/>
              <w:rPr>
                <w:rFonts w:ascii="Arial" w:hAnsi="Arial" w:cs="Arial"/>
                <w:sz w:val="22"/>
                <w:szCs w:val="22"/>
                <w:lang w:eastAsia="en-US"/>
              </w:rPr>
            </w:pPr>
            <w:r w:rsidRPr="00E86883">
              <w:rPr>
                <w:rFonts w:ascii="Arial" w:hAnsi="Arial" w:cs="Arial"/>
                <w:sz w:val="22"/>
                <w:szCs w:val="22"/>
                <w:lang w:eastAsia="en-US"/>
              </w:rPr>
              <w:t>Společně s mediánovou mzdou ukazuje mzdovou úroveň společnosti.</w:t>
            </w:r>
          </w:p>
        </w:tc>
      </w:tr>
      <w:tr w:rsidR="00E86883" w:rsidRPr="00E86883" w14:paraId="497272BD"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4097D3FF"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Časová řada: </w:t>
            </w:r>
          </w:p>
        </w:tc>
        <w:tc>
          <w:tcPr>
            <w:tcW w:w="6486" w:type="dxa"/>
            <w:tcBorders>
              <w:top w:val="single" w:sz="4" w:space="0" w:color="auto"/>
              <w:left w:val="single" w:sz="4" w:space="0" w:color="auto"/>
              <w:bottom w:val="single" w:sz="4" w:space="0" w:color="auto"/>
              <w:right w:val="single" w:sz="4" w:space="0" w:color="auto"/>
            </w:tcBorders>
            <w:hideMark/>
          </w:tcPr>
          <w:p w14:paraId="1BACA63F" w14:textId="77777777" w:rsidR="00E86883" w:rsidRPr="00E86883" w:rsidRDefault="00E86883" w:rsidP="0099602A">
            <w:pPr>
              <w:spacing w:line="276" w:lineRule="auto"/>
              <w:jc w:val="both"/>
              <w:rPr>
                <w:rFonts w:ascii="Arial" w:hAnsi="Arial" w:cs="Arial"/>
                <w:sz w:val="22"/>
                <w:szCs w:val="22"/>
                <w:lang w:eastAsia="en-US"/>
              </w:rPr>
            </w:pPr>
            <w:r w:rsidRPr="00E86883">
              <w:rPr>
                <w:rFonts w:ascii="Arial" w:hAnsi="Arial" w:cs="Arial"/>
                <w:sz w:val="22"/>
                <w:szCs w:val="22"/>
                <w:lang w:eastAsia="en-US"/>
              </w:rPr>
              <w:t xml:space="preserve">Od </w:t>
            </w:r>
            <w:r w:rsidR="00B42347">
              <w:rPr>
                <w:rFonts w:ascii="Arial" w:hAnsi="Arial" w:cs="Arial"/>
                <w:sz w:val="22"/>
                <w:szCs w:val="22"/>
                <w:lang w:eastAsia="en-US"/>
              </w:rPr>
              <w:t xml:space="preserve">roku </w:t>
            </w:r>
            <w:r w:rsidRPr="00E86883">
              <w:rPr>
                <w:rFonts w:ascii="Arial" w:hAnsi="Arial" w:cs="Arial"/>
                <w:sz w:val="22"/>
                <w:szCs w:val="22"/>
                <w:lang w:eastAsia="en-US"/>
              </w:rPr>
              <w:t>1955</w:t>
            </w:r>
          </w:p>
        </w:tc>
      </w:tr>
      <w:tr w:rsidR="00E86883" w:rsidRPr="00E86883" w14:paraId="5DE6B06E"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46A88ACF"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Frekvence výstupu: </w:t>
            </w:r>
          </w:p>
        </w:tc>
        <w:tc>
          <w:tcPr>
            <w:tcW w:w="6486" w:type="dxa"/>
            <w:tcBorders>
              <w:top w:val="single" w:sz="4" w:space="0" w:color="auto"/>
              <w:left w:val="single" w:sz="4" w:space="0" w:color="auto"/>
              <w:bottom w:val="single" w:sz="4" w:space="0" w:color="auto"/>
              <w:right w:val="single" w:sz="4" w:space="0" w:color="auto"/>
            </w:tcBorders>
            <w:hideMark/>
          </w:tcPr>
          <w:p w14:paraId="4AE21259" w14:textId="77777777" w:rsidR="00E86883" w:rsidRPr="00E86883" w:rsidRDefault="00E86883" w:rsidP="0099602A">
            <w:pPr>
              <w:spacing w:line="276" w:lineRule="auto"/>
              <w:jc w:val="both"/>
              <w:rPr>
                <w:rFonts w:ascii="Arial" w:hAnsi="Arial" w:cs="Arial"/>
                <w:sz w:val="22"/>
                <w:szCs w:val="22"/>
                <w:lang w:eastAsia="en-US"/>
              </w:rPr>
            </w:pPr>
            <w:r w:rsidRPr="00E86883">
              <w:rPr>
                <w:rFonts w:ascii="Arial" w:hAnsi="Arial" w:cs="Arial"/>
                <w:sz w:val="22"/>
                <w:szCs w:val="22"/>
                <w:lang w:eastAsia="en-US"/>
              </w:rPr>
              <w:t>Čtvrtletně</w:t>
            </w:r>
          </w:p>
        </w:tc>
      </w:tr>
      <w:tr w:rsidR="00E86883" w:rsidRPr="00E86883" w14:paraId="42A4842D" w14:textId="77777777" w:rsidTr="008D14FE">
        <w:trPr>
          <w:trHeight w:val="70"/>
        </w:trPr>
        <w:tc>
          <w:tcPr>
            <w:tcW w:w="2802" w:type="dxa"/>
            <w:tcBorders>
              <w:top w:val="single" w:sz="4" w:space="0" w:color="auto"/>
              <w:left w:val="single" w:sz="4" w:space="0" w:color="auto"/>
              <w:bottom w:val="single" w:sz="4" w:space="0" w:color="auto"/>
              <w:right w:val="single" w:sz="4" w:space="0" w:color="auto"/>
            </w:tcBorders>
            <w:hideMark/>
          </w:tcPr>
          <w:p w14:paraId="760B4C77"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Členění indikátoru: </w:t>
            </w:r>
          </w:p>
        </w:tc>
        <w:tc>
          <w:tcPr>
            <w:tcW w:w="6486" w:type="dxa"/>
            <w:tcBorders>
              <w:top w:val="single" w:sz="4" w:space="0" w:color="auto"/>
              <w:left w:val="single" w:sz="4" w:space="0" w:color="auto"/>
              <w:bottom w:val="single" w:sz="4" w:space="0" w:color="auto"/>
              <w:right w:val="single" w:sz="4" w:space="0" w:color="auto"/>
            </w:tcBorders>
            <w:hideMark/>
          </w:tcPr>
          <w:p w14:paraId="2A816FA3" w14:textId="69644F02" w:rsidR="00E86883" w:rsidRPr="00E86883" w:rsidRDefault="00BE1309" w:rsidP="0099602A">
            <w:pPr>
              <w:spacing w:line="276" w:lineRule="auto"/>
              <w:jc w:val="both"/>
              <w:rPr>
                <w:rFonts w:ascii="Arial" w:hAnsi="Arial" w:cs="Arial"/>
                <w:sz w:val="22"/>
                <w:szCs w:val="22"/>
                <w:lang w:eastAsia="en-US"/>
              </w:rPr>
            </w:pPr>
            <w:r>
              <w:rPr>
                <w:rFonts w:ascii="Arial" w:hAnsi="Arial" w:cs="Arial"/>
                <w:sz w:val="22"/>
                <w:szCs w:val="22"/>
                <w:lang w:eastAsia="en-US"/>
              </w:rPr>
              <w:t>Podle odvětví dle CZ-</w:t>
            </w:r>
            <w:r w:rsidR="00E86883" w:rsidRPr="00E86883">
              <w:rPr>
                <w:rFonts w:ascii="Arial" w:hAnsi="Arial" w:cs="Arial"/>
                <w:sz w:val="22"/>
                <w:szCs w:val="22"/>
                <w:lang w:eastAsia="en-US"/>
              </w:rPr>
              <w:t>NACE</w:t>
            </w:r>
          </w:p>
        </w:tc>
      </w:tr>
      <w:tr w:rsidR="00E86883" w:rsidRPr="00E86883" w14:paraId="1A3DB2AB" w14:textId="77777777" w:rsidTr="008D14FE">
        <w:trPr>
          <w:trHeight w:val="70"/>
        </w:trPr>
        <w:tc>
          <w:tcPr>
            <w:tcW w:w="2802" w:type="dxa"/>
            <w:tcBorders>
              <w:top w:val="single" w:sz="4" w:space="0" w:color="auto"/>
              <w:left w:val="single" w:sz="4" w:space="0" w:color="auto"/>
              <w:bottom w:val="single" w:sz="4" w:space="0" w:color="auto"/>
              <w:right w:val="single" w:sz="4" w:space="0" w:color="auto"/>
            </w:tcBorders>
            <w:hideMark/>
          </w:tcPr>
          <w:p w14:paraId="3C6F8285"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Mezinárodní srovnání:</w:t>
            </w:r>
          </w:p>
        </w:tc>
        <w:tc>
          <w:tcPr>
            <w:tcW w:w="6486" w:type="dxa"/>
            <w:tcBorders>
              <w:top w:val="single" w:sz="4" w:space="0" w:color="auto"/>
              <w:left w:val="single" w:sz="4" w:space="0" w:color="auto"/>
              <w:bottom w:val="single" w:sz="4" w:space="0" w:color="auto"/>
              <w:right w:val="single" w:sz="4" w:space="0" w:color="auto"/>
            </w:tcBorders>
          </w:tcPr>
          <w:p w14:paraId="1CEF0FCB" w14:textId="77777777" w:rsidR="00E86883" w:rsidRPr="00E86883" w:rsidRDefault="00793B30" w:rsidP="00BE1309">
            <w:pPr>
              <w:spacing w:line="276" w:lineRule="auto"/>
              <w:jc w:val="both"/>
              <w:rPr>
                <w:rFonts w:ascii="Arial" w:hAnsi="Arial" w:cs="Arial"/>
                <w:sz w:val="22"/>
                <w:szCs w:val="22"/>
                <w:lang w:eastAsia="en-US"/>
              </w:rPr>
            </w:pPr>
            <w:r>
              <w:rPr>
                <w:rFonts w:ascii="Arial" w:hAnsi="Arial" w:cs="Arial"/>
                <w:sz w:val="22"/>
                <w:szCs w:val="22"/>
                <w:lang w:eastAsia="en-US"/>
              </w:rPr>
              <w:t>-</w:t>
            </w:r>
          </w:p>
        </w:tc>
      </w:tr>
    </w:tbl>
    <w:p w14:paraId="4BFC0E61" w14:textId="77777777" w:rsidR="00E86883" w:rsidRPr="00E86883" w:rsidRDefault="00E86883" w:rsidP="00C51B65">
      <w:pPr>
        <w:spacing w:line="276" w:lineRule="auto"/>
        <w:contextualSpacing/>
        <w:rPr>
          <w:rFonts w:ascii="Arial" w:eastAsia="Calibri" w:hAnsi="Arial" w:cs="Arial"/>
          <w:b/>
          <w:sz w:val="22"/>
          <w:szCs w:val="22"/>
          <w:lang w:eastAsia="en-US"/>
        </w:rPr>
      </w:pPr>
    </w:p>
    <w:tbl>
      <w:tblPr>
        <w:tblStyle w:val="Mkatabulky"/>
        <w:tblW w:w="0" w:type="auto"/>
        <w:tblLook w:val="04A0" w:firstRow="1" w:lastRow="0" w:firstColumn="1" w:lastColumn="0" w:noHBand="0" w:noVBand="1"/>
      </w:tblPr>
      <w:tblGrid>
        <w:gridCol w:w="2802"/>
        <w:gridCol w:w="6486"/>
      </w:tblGrid>
      <w:tr w:rsidR="00E86883" w:rsidRPr="00E86883" w14:paraId="4419E502"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1FC08B4A"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Název a označení indikátoru: </w:t>
            </w:r>
          </w:p>
        </w:tc>
        <w:tc>
          <w:tcPr>
            <w:tcW w:w="6486" w:type="dxa"/>
            <w:tcBorders>
              <w:top w:val="single" w:sz="4" w:space="0" w:color="auto"/>
              <w:left w:val="single" w:sz="4" w:space="0" w:color="auto"/>
              <w:bottom w:val="single" w:sz="4" w:space="0" w:color="auto"/>
              <w:right w:val="single" w:sz="4" w:space="0" w:color="auto"/>
            </w:tcBorders>
            <w:hideMark/>
          </w:tcPr>
          <w:p w14:paraId="38AC4683" w14:textId="77777777" w:rsidR="00E86883" w:rsidRPr="00E86883" w:rsidRDefault="00E86883" w:rsidP="00C51B65">
            <w:pPr>
              <w:spacing w:line="276" w:lineRule="auto"/>
              <w:contextualSpacing/>
              <w:rPr>
                <w:rFonts w:ascii="Arial" w:hAnsi="Arial" w:cs="Arial"/>
                <w:b/>
                <w:sz w:val="22"/>
                <w:szCs w:val="22"/>
                <w:lang w:eastAsia="en-US"/>
              </w:rPr>
            </w:pPr>
            <w:r w:rsidRPr="00E86883">
              <w:rPr>
                <w:rFonts w:ascii="Arial" w:eastAsia="Calibri" w:hAnsi="Arial" w:cs="Arial"/>
                <w:b/>
                <w:sz w:val="22"/>
                <w:szCs w:val="22"/>
                <w:lang w:eastAsia="en-US"/>
              </w:rPr>
              <w:t>3.2.3 Mediánová měsíční mzda</w:t>
            </w:r>
          </w:p>
        </w:tc>
      </w:tr>
      <w:tr w:rsidR="00E86883" w:rsidRPr="00E86883" w14:paraId="34203EC9"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30735A44"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Stručná definice: </w:t>
            </w:r>
          </w:p>
        </w:tc>
        <w:tc>
          <w:tcPr>
            <w:tcW w:w="6486" w:type="dxa"/>
            <w:tcBorders>
              <w:top w:val="single" w:sz="4" w:space="0" w:color="auto"/>
              <w:left w:val="single" w:sz="4" w:space="0" w:color="auto"/>
              <w:bottom w:val="single" w:sz="4" w:space="0" w:color="auto"/>
              <w:right w:val="single" w:sz="4" w:space="0" w:color="auto"/>
            </w:tcBorders>
          </w:tcPr>
          <w:p w14:paraId="545AA2B1"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rPr>
              <w:t xml:space="preserve">Hrubá měsíční mzda zaměstnance uprostřed mzdového rozdělení </w:t>
            </w:r>
          </w:p>
        </w:tc>
      </w:tr>
      <w:tr w:rsidR="00E86883" w:rsidRPr="00E86883" w14:paraId="7061EADF"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541580BB"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Jednotka:</w:t>
            </w:r>
          </w:p>
        </w:tc>
        <w:tc>
          <w:tcPr>
            <w:tcW w:w="6486" w:type="dxa"/>
            <w:tcBorders>
              <w:top w:val="single" w:sz="4" w:space="0" w:color="auto"/>
              <w:left w:val="single" w:sz="4" w:space="0" w:color="auto"/>
              <w:bottom w:val="single" w:sz="4" w:space="0" w:color="auto"/>
              <w:right w:val="single" w:sz="4" w:space="0" w:color="auto"/>
            </w:tcBorders>
            <w:hideMark/>
          </w:tcPr>
          <w:p w14:paraId="57F86C5C"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Kč</w:t>
            </w:r>
          </w:p>
        </w:tc>
      </w:tr>
      <w:tr w:rsidR="00E86883" w:rsidRPr="00E86883" w14:paraId="25F35F49"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777C6AF7"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Gestor: </w:t>
            </w:r>
          </w:p>
        </w:tc>
        <w:tc>
          <w:tcPr>
            <w:tcW w:w="6486" w:type="dxa"/>
            <w:tcBorders>
              <w:top w:val="single" w:sz="4" w:space="0" w:color="auto"/>
              <w:left w:val="single" w:sz="4" w:space="0" w:color="auto"/>
              <w:bottom w:val="single" w:sz="4" w:space="0" w:color="auto"/>
              <w:right w:val="single" w:sz="4" w:space="0" w:color="auto"/>
            </w:tcBorders>
            <w:hideMark/>
          </w:tcPr>
          <w:p w14:paraId="7B206C9B"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 xml:space="preserve">Český statistický úřad </w:t>
            </w:r>
          </w:p>
        </w:tc>
      </w:tr>
      <w:tr w:rsidR="00E86883" w:rsidRPr="00E86883" w14:paraId="0A5B2F32"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049B396E"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Význam indikátoru: </w:t>
            </w:r>
          </w:p>
        </w:tc>
        <w:tc>
          <w:tcPr>
            <w:tcW w:w="6486" w:type="dxa"/>
            <w:tcBorders>
              <w:top w:val="single" w:sz="4" w:space="0" w:color="auto"/>
              <w:left w:val="single" w:sz="4" w:space="0" w:color="auto"/>
              <w:bottom w:val="single" w:sz="4" w:space="0" w:color="auto"/>
              <w:right w:val="single" w:sz="4" w:space="0" w:color="auto"/>
            </w:tcBorders>
            <w:hideMark/>
          </w:tcPr>
          <w:p w14:paraId="51F6F67E" w14:textId="74C11925"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rPr>
              <w:t>Společně s </w:t>
            </w:r>
            <w:r w:rsidR="00AC3D41" w:rsidRPr="00AC3D41">
              <w:rPr>
                <w:rFonts w:ascii="Arial" w:hAnsi="Arial" w:cs="Arial"/>
                <w:sz w:val="22"/>
                <w:szCs w:val="22"/>
              </w:rPr>
              <w:t>průměrnou mzdou</w:t>
            </w:r>
            <w:r w:rsidR="00AC3D41" w:rsidRPr="00AC3D41" w:rsidDel="00AC3D41">
              <w:rPr>
                <w:rFonts w:ascii="Arial" w:hAnsi="Arial" w:cs="Arial"/>
                <w:sz w:val="22"/>
                <w:szCs w:val="22"/>
              </w:rPr>
              <w:t xml:space="preserve"> </w:t>
            </w:r>
            <w:r w:rsidRPr="00E86883">
              <w:rPr>
                <w:rFonts w:ascii="Arial" w:hAnsi="Arial" w:cs="Arial"/>
                <w:sz w:val="22"/>
                <w:szCs w:val="22"/>
              </w:rPr>
              <w:t>ukazuje mzdovou úroveň společnosti jako celku.</w:t>
            </w:r>
          </w:p>
        </w:tc>
      </w:tr>
      <w:tr w:rsidR="00E86883" w:rsidRPr="00E86883" w14:paraId="64389E10"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672E4876"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Časová řada: </w:t>
            </w:r>
          </w:p>
        </w:tc>
        <w:tc>
          <w:tcPr>
            <w:tcW w:w="6486" w:type="dxa"/>
            <w:tcBorders>
              <w:top w:val="single" w:sz="4" w:space="0" w:color="auto"/>
              <w:left w:val="single" w:sz="4" w:space="0" w:color="auto"/>
              <w:bottom w:val="single" w:sz="4" w:space="0" w:color="auto"/>
              <w:right w:val="single" w:sz="4" w:space="0" w:color="auto"/>
            </w:tcBorders>
            <w:hideMark/>
          </w:tcPr>
          <w:p w14:paraId="759EB2A7"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rPr>
              <w:t xml:space="preserve">Od </w:t>
            </w:r>
            <w:r w:rsidR="00B42347">
              <w:rPr>
                <w:rFonts w:ascii="Arial" w:hAnsi="Arial" w:cs="Arial"/>
                <w:sz w:val="22"/>
                <w:szCs w:val="22"/>
              </w:rPr>
              <w:t xml:space="preserve">roku </w:t>
            </w:r>
            <w:r w:rsidRPr="00E86883">
              <w:rPr>
                <w:rFonts w:ascii="Arial" w:hAnsi="Arial" w:cs="Arial"/>
                <w:sz w:val="22"/>
                <w:szCs w:val="22"/>
              </w:rPr>
              <w:t>2012</w:t>
            </w:r>
          </w:p>
        </w:tc>
      </w:tr>
      <w:tr w:rsidR="00E86883" w:rsidRPr="00E86883" w14:paraId="15714537"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6B14AD24"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Frekvence výstupu: </w:t>
            </w:r>
          </w:p>
        </w:tc>
        <w:tc>
          <w:tcPr>
            <w:tcW w:w="6486" w:type="dxa"/>
            <w:tcBorders>
              <w:top w:val="single" w:sz="4" w:space="0" w:color="auto"/>
              <w:left w:val="single" w:sz="4" w:space="0" w:color="auto"/>
              <w:bottom w:val="single" w:sz="4" w:space="0" w:color="auto"/>
              <w:right w:val="single" w:sz="4" w:space="0" w:color="auto"/>
            </w:tcBorders>
            <w:hideMark/>
          </w:tcPr>
          <w:p w14:paraId="13433C69"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Ročně</w:t>
            </w:r>
          </w:p>
        </w:tc>
      </w:tr>
      <w:tr w:rsidR="00E86883" w:rsidRPr="00E86883" w14:paraId="762CB7A8" w14:textId="77777777" w:rsidTr="008D14FE">
        <w:trPr>
          <w:trHeight w:val="70"/>
        </w:trPr>
        <w:tc>
          <w:tcPr>
            <w:tcW w:w="2802" w:type="dxa"/>
            <w:tcBorders>
              <w:top w:val="single" w:sz="4" w:space="0" w:color="auto"/>
              <w:left w:val="single" w:sz="4" w:space="0" w:color="auto"/>
              <w:bottom w:val="single" w:sz="4" w:space="0" w:color="auto"/>
              <w:right w:val="single" w:sz="4" w:space="0" w:color="auto"/>
            </w:tcBorders>
            <w:hideMark/>
          </w:tcPr>
          <w:p w14:paraId="357903E1"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Členění indikátoru: </w:t>
            </w:r>
          </w:p>
        </w:tc>
        <w:tc>
          <w:tcPr>
            <w:tcW w:w="6486" w:type="dxa"/>
            <w:tcBorders>
              <w:top w:val="single" w:sz="4" w:space="0" w:color="auto"/>
              <w:left w:val="single" w:sz="4" w:space="0" w:color="auto"/>
              <w:bottom w:val="single" w:sz="4" w:space="0" w:color="auto"/>
              <w:right w:val="single" w:sz="4" w:space="0" w:color="auto"/>
            </w:tcBorders>
            <w:hideMark/>
          </w:tcPr>
          <w:p w14:paraId="7E96B1B7" w14:textId="56CBFD55" w:rsidR="00E86883" w:rsidRPr="00E86883" w:rsidRDefault="00CD5590" w:rsidP="00BE1309">
            <w:pPr>
              <w:spacing w:line="276" w:lineRule="auto"/>
              <w:jc w:val="both"/>
              <w:rPr>
                <w:rFonts w:ascii="Arial" w:hAnsi="Arial" w:cs="Arial"/>
                <w:sz w:val="22"/>
                <w:szCs w:val="22"/>
                <w:lang w:eastAsia="en-US"/>
              </w:rPr>
            </w:pPr>
            <w:r>
              <w:rPr>
                <w:rFonts w:ascii="Arial" w:hAnsi="Arial" w:cs="Arial"/>
                <w:sz w:val="22"/>
                <w:szCs w:val="22"/>
              </w:rPr>
              <w:t>Dle v</w:t>
            </w:r>
            <w:r w:rsidR="00E86883" w:rsidRPr="00E86883">
              <w:rPr>
                <w:rFonts w:ascii="Arial" w:hAnsi="Arial" w:cs="Arial"/>
                <w:sz w:val="22"/>
                <w:szCs w:val="22"/>
              </w:rPr>
              <w:t>ěk</w:t>
            </w:r>
            <w:r>
              <w:rPr>
                <w:rFonts w:ascii="Arial" w:hAnsi="Arial" w:cs="Arial"/>
                <w:sz w:val="22"/>
                <w:szCs w:val="22"/>
              </w:rPr>
              <w:t>u, ISCO, NACE, pohlaví, stupně</w:t>
            </w:r>
            <w:r w:rsidR="00E86883" w:rsidRPr="00E86883">
              <w:rPr>
                <w:rFonts w:ascii="Arial" w:hAnsi="Arial" w:cs="Arial"/>
                <w:sz w:val="22"/>
                <w:szCs w:val="22"/>
              </w:rPr>
              <w:t xml:space="preserve"> vzdělání</w:t>
            </w:r>
          </w:p>
        </w:tc>
      </w:tr>
      <w:tr w:rsidR="00E86883" w:rsidRPr="00E86883" w14:paraId="7C50FE69" w14:textId="77777777" w:rsidTr="008D14FE">
        <w:trPr>
          <w:trHeight w:val="70"/>
        </w:trPr>
        <w:tc>
          <w:tcPr>
            <w:tcW w:w="2802" w:type="dxa"/>
            <w:tcBorders>
              <w:top w:val="single" w:sz="4" w:space="0" w:color="auto"/>
              <w:left w:val="single" w:sz="4" w:space="0" w:color="auto"/>
              <w:bottom w:val="single" w:sz="4" w:space="0" w:color="auto"/>
              <w:right w:val="single" w:sz="4" w:space="0" w:color="auto"/>
            </w:tcBorders>
            <w:hideMark/>
          </w:tcPr>
          <w:p w14:paraId="2C8EA3BD"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Mezinárodní srovnání:</w:t>
            </w:r>
          </w:p>
        </w:tc>
        <w:tc>
          <w:tcPr>
            <w:tcW w:w="6486" w:type="dxa"/>
            <w:tcBorders>
              <w:top w:val="single" w:sz="4" w:space="0" w:color="auto"/>
              <w:left w:val="single" w:sz="4" w:space="0" w:color="auto"/>
              <w:bottom w:val="single" w:sz="4" w:space="0" w:color="auto"/>
              <w:right w:val="single" w:sz="4" w:space="0" w:color="auto"/>
            </w:tcBorders>
          </w:tcPr>
          <w:p w14:paraId="772C5F4D" w14:textId="77777777" w:rsidR="00E86883" w:rsidRPr="00E86883" w:rsidRDefault="00DC29DF" w:rsidP="00C51B65">
            <w:pPr>
              <w:spacing w:line="276" w:lineRule="auto"/>
              <w:rPr>
                <w:rFonts w:ascii="Arial" w:hAnsi="Arial" w:cs="Arial"/>
                <w:sz w:val="22"/>
                <w:szCs w:val="22"/>
                <w:lang w:eastAsia="en-US"/>
              </w:rPr>
            </w:pPr>
            <w:r>
              <w:rPr>
                <w:rFonts w:ascii="Arial" w:hAnsi="Arial" w:cs="Arial"/>
                <w:sz w:val="22"/>
                <w:szCs w:val="22"/>
                <w:lang w:eastAsia="en-US"/>
              </w:rPr>
              <w:t>-</w:t>
            </w:r>
          </w:p>
        </w:tc>
      </w:tr>
    </w:tbl>
    <w:p w14:paraId="4A3D02A5" w14:textId="77777777" w:rsidR="00E86883" w:rsidRPr="00537BF5" w:rsidRDefault="00B75EA2" w:rsidP="00ED673D">
      <w:pPr>
        <w:pStyle w:val="r2030podcle"/>
        <w:numPr>
          <w:ilvl w:val="1"/>
          <w:numId w:val="17"/>
        </w:numPr>
        <w:ind w:left="567" w:hanging="425"/>
        <w:rPr>
          <w:rFonts w:eastAsia="Calibri"/>
          <w:lang w:eastAsia="en-US"/>
        </w:rPr>
      </w:pPr>
      <w:r>
        <w:rPr>
          <w:rFonts w:eastAsiaTheme="minorHAnsi"/>
          <w:lang w:eastAsia="en-US"/>
        </w:rPr>
        <w:t>Snižuje se genderová nerovnost.</w:t>
      </w:r>
    </w:p>
    <w:tbl>
      <w:tblPr>
        <w:tblStyle w:val="Mkatabulky"/>
        <w:tblW w:w="0" w:type="auto"/>
        <w:tblLook w:val="04A0" w:firstRow="1" w:lastRow="0" w:firstColumn="1" w:lastColumn="0" w:noHBand="0" w:noVBand="1"/>
      </w:tblPr>
      <w:tblGrid>
        <w:gridCol w:w="2802"/>
        <w:gridCol w:w="6486"/>
      </w:tblGrid>
      <w:tr w:rsidR="00E86883" w:rsidRPr="00E86883" w14:paraId="0A067A0B"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219B6190"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Název a označení indikátoru: </w:t>
            </w:r>
          </w:p>
        </w:tc>
        <w:tc>
          <w:tcPr>
            <w:tcW w:w="6486" w:type="dxa"/>
            <w:tcBorders>
              <w:top w:val="single" w:sz="4" w:space="0" w:color="auto"/>
              <w:left w:val="single" w:sz="4" w:space="0" w:color="auto"/>
              <w:bottom w:val="single" w:sz="4" w:space="0" w:color="auto"/>
              <w:right w:val="single" w:sz="4" w:space="0" w:color="auto"/>
            </w:tcBorders>
            <w:hideMark/>
          </w:tcPr>
          <w:p w14:paraId="60FAA12F" w14:textId="77777777" w:rsidR="00E86883" w:rsidRPr="00E86883" w:rsidRDefault="00E86883" w:rsidP="00C51B65">
            <w:pPr>
              <w:spacing w:line="276" w:lineRule="auto"/>
              <w:rPr>
                <w:rFonts w:ascii="Arial" w:hAnsi="Arial" w:cs="Arial"/>
                <w:b/>
                <w:sz w:val="22"/>
                <w:szCs w:val="22"/>
                <w:lang w:eastAsia="en-US"/>
              </w:rPr>
            </w:pPr>
            <w:r w:rsidRPr="00E86883">
              <w:rPr>
                <w:rFonts w:ascii="Arial" w:hAnsi="Arial" w:cs="Arial"/>
                <w:b/>
                <w:sz w:val="22"/>
                <w:szCs w:val="22"/>
                <w:lang w:eastAsia="en-US"/>
              </w:rPr>
              <w:t xml:space="preserve">3.3.1 Gender </w:t>
            </w:r>
            <w:proofErr w:type="spellStart"/>
            <w:r w:rsidRPr="00E86883">
              <w:rPr>
                <w:rFonts w:ascii="Arial" w:hAnsi="Arial" w:cs="Arial"/>
                <w:b/>
                <w:sz w:val="22"/>
                <w:szCs w:val="22"/>
                <w:lang w:eastAsia="en-US"/>
              </w:rPr>
              <w:t>pay</w:t>
            </w:r>
            <w:proofErr w:type="spellEnd"/>
            <w:r w:rsidRPr="00E86883">
              <w:rPr>
                <w:rFonts w:ascii="Arial" w:hAnsi="Arial" w:cs="Arial"/>
                <w:b/>
                <w:sz w:val="22"/>
                <w:szCs w:val="22"/>
                <w:lang w:eastAsia="en-US"/>
              </w:rPr>
              <w:t xml:space="preserve"> gap </w:t>
            </w:r>
          </w:p>
        </w:tc>
      </w:tr>
      <w:tr w:rsidR="00E86883" w:rsidRPr="00E86883" w14:paraId="56A6D676"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3584B60A"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Stručná definice: </w:t>
            </w:r>
          </w:p>
        </w:tc>
        <w:tc>
          <w:tcPr>
            <w:tcW w:w="6486" w:type="dxa"/>
            <w:tcBorders>
              <w:top w:val="single" w:sz="4" w:space="0" w:color="auto"/>
              <w:left w:val="single" w:sz="4" w:space="0" w:color="auto"/>
              <w:bottom w:val="single" w:sz="4" w:space="0" w:color="auto"/>
              <w:right w:val="single" w:sz="4" w:space="0" w:color="auto"/>
            </w:tcBorders>
            <w:hideMark/>
          </w:tcPr>
          <w:p w14:paraId="3F486065"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rPr>
              <w:t xml:space="preserve">Relativní rozdíl průměru měsíční mzdy mužů a žen (vztažený k průměru </w:t>
            </w:r>
            <w:r w:rsidR="00B42347" w:rsidRPr="00E86883">
              <w:rPr>
                <w:rFonts w:ascii="Arial" w:hAnsi="Arial" w:cs="Arial"/>
                <w:sz w:val="22"/>
                <w:szCs w:val="22"/>
              </w:rPr>
              <w:t xml:space="preserve">měsíční </w:t>
            </w:r>
            <w:r w:rsidRPr="00E86883">
              <w:rPr>
                <w:rFonts w:ascii="Arial" w:hAnsi="Arial" w:cs="Arial"/>
                <w:sz w:val="22"/>
                <w:szCs w:val="22"/>
              </w:rPr>
              <w:t xml:space="preserve">mzdy mužů). Relativní rozdíl mediánu měsíční </w:t>
            </w:r>
            <w:r w:rsidRPr="00E86883">
              <w:rPr>
                <w:rFonts w:ascii="Arial" w:hAnsi="Arial" w:cs="Arial"/>
                <w:sz w:val="22"/>
                <w:szCs w:val="22"/>
              </w:rPr>
              <w:lastRenderedPageBreak/>
              <w:t xml:space="preserve">mzdy mužů a žen (vztažený k mediánu </w:t>
            </w:r>
            <w:r w:rsidR="00B42347" w:rsidRPr="00E86883">
              <w:rPr>
                <w:rFonts w:ascii="Arial" w:hAnsi="Arial" w:cs="Arial"/>
                <w:sz w:val="22"/>
                <w:szCs w:val="22"/>
              </w:rPr>
              <w:t xml:space="preserve">měsíční </w:t>
            </w:r>
            <w:r w:rsidRPr="00E86883">
              <w:rPr>
                <w:rFonts w:ascii="Arial" w:hAnsi="Arial" w:cs="Arial"/>
                <w:sz w:val="22"/>
                <w:szCs w:val="22"/>
              </w:rPr>
              <w:t>mzdy mužů).</w:t>
            </w:r>
          </w:p>
        </w:tc>
      </w:tr>
      <w:tr w:rsidR="00E86883" w:rsidRPr="00E86883" w14:paraId="7CAC69D4"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597E498D"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lastRenderedPageBreak/>
              <w:t>Jednotka:</w:t>
            </w:r>
          </w:p>
        </w:tc>
        <w:tc>
          <w:tcPr>
            <w:tcW w:w="6486" w:type="dxa"/>
            <w:tcBorders>
              <w:top w:val="single" w:sz="4" w:space="0" w:color="auto"/>
              <w:left w:val="single" w:sz="4" w:space="0" w:color="auto"/>
              <w:bottom w:val="single" w:sz="4" w:space="0" w:color="auto"/>
              <w:right w:val="single" w:sz="4" w:space="0" w:color="auto"/>
            </w:tcBorders>
            <w:hideMark/>
          </w:tcPr>
          <w:p w14:paraId="5CD89A83"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Podíl (v %)</w:t>
            </w:r>
          </w:p>
        </w:tc>
      </w:tr>
      <w:tr w:rsidR="00E86883" w:rsidRPr="00E86883" w14:paraId="366A04D5"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7D64ECD6"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Gestor: </w:t>
            </w:r>
          </w:p>
        </w:tc>
        <w:tc>
          <w:tcPr>
            <w:tcW w:w="6486" w:type="dxa"/>
            <w:tcBorders>
              <w:top w:val="single" w:sz="4" w:space="0" w:color="auto"/>
              <w:left w:val="single" w:sz="4" w:space="0" w:color="auto"/>
              <w:bottom w:val="single" w:sz="4" w:space="0" w:color="auto"/>
              <w:right w:val="single" w:sz="4" w:space="0" w:color="auto"/>
            </w:tcBorders>
            <w:hideMark/>
          </w:tcPr>
          <w:p w14:paraId="23DED3A4"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Český statistický úřad</w:t>
            </w:r>
          </w:p>
        </w:tc>
      </w:tr>
      <w:tr w:rsidR="00E86883" w:rsidRPr="00E86883" w14:paraId="70630F83"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1C483972"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Význam indikátoru: </w:t>
            </w:r>
          </w:p>
        </w:tc>
        <w:tc>
          <w:tcPr>
            <w:tcW w:w="6486" w:type="dxa"/>
            <w:tcBorders>
              <w:top w:val="single" w:sz="4" w:space="0" w:color="auto"/>
              <w:left w:val="single" w:sz="4" w:space="0" w:color="auto"/>
              <w:bottom w:val="single" w:sz="4" w:space="0" w:color="auto"/>
              <w:right w:val="single" w:sz="4" w:space="0" w:color="auto"/>
            </w:tcBorders>
            <w:hideMark/>
          </w:tcPr>
          <w:p w14:paraId="19D08AA1"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Ukazuje projevy genderové nerovnosti</w:t>
            </w:r>
            <w:r w:rsidR="009B251E">
              <w:rPr>
                <w:rFonts w:ascii="Arial" w:hAnsi="Arial" w:cs="Arial"/>
                <w:sz w:val="22"/>
                <w:szCs w:val="22"/>
                <w:lang w:eastAsia="en-US"/>
              </w:rPr>
              <w:t xml:space="preserve"> na trhu práce</w:t>
            </w:r>
            <w:r w:rsidRPr="00E86883">
              <w:rPr>
                <w:rFonts w:ascii="Arial" w:hAnsi="Arial" w:cs="Arial"/>
                <w:sz w:val="22"/>
                <w:szCs w:val="22"/>
                <w:lang w:eastAsia="en-US"/>
              </w:rPr>
              <w:t>.</w:t>
            </w:r>
          </w:p>
        </w:tc>
      </w:tr>
      <w:tr w:rsidR="00E86883" w:rsidRPr="00E86883" w14:paraId="0B83B671"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23570A4E"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Časová řada: </w:t>
            </w:r>
          </w:p>
        </w:tc>
        <w:tc>
          <w:tcPr>
            <w:tcW w:w="6486" w:type="dxa"/>
            <w:tcBorders>
              <w:top w:val="single" w:sz="4" w:space="0" w:color="auto"/>
              <w:left w:val="single" w:sz="4" w:space="0" w:color="auto"/>
              <w:bottom w:val="single" w:sz="4" w:space="0" w:color="auto"/>
              <w:right w:val="single" w:sz="4" w:space="0" w:color="auto"/>
            </w:tcBorders>
            <w:hideMark/>
          </w:tcPr>
          <w:p w14:paraId="5D331399"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 xml:space="preserve">Od </w:t>
            </w:r>
            <w:r w:rsidR="00B42347">
              <w:rPr>
                <w:rFonts w:ascii="Arial" w:hAnsi="Arial" w:cs="Arial"/>
                <w:sz w:val="22"/>
                <w:szCs w:val="22"/>
                <w:lang w:eastAsia="en-US"/>
              </w:rPr>
              <w:t xml:space="preserve">roku </w:t>
            </w:r>
            <w:r w:rsidRPr="00E86883">
              <w:rPr>
                <w:rFonts w:ascii="Arial" w:hAnsi="Arial" w:cs="Arial"/>
                <w:sz w:val="22"/>
                <w:szCs w:val="22"/>
                <w:lang w:eastAsia="en-US"/>
              </w:rPr>
              <w:t>2003</w:t>
            </w:r>
          </w:p>
        </w:tc>
      </w:tr>
      <w:tr w:rsidR="00E86883" w:rsidRPr="00E86883" w14:paraId="23ED8968"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56FAC911"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Frekvence výstupu: </w:t>
            </w:r>
          </w:p>
        </w:tc>
        <w:tc>
          <w:tcPr>
            <w:tcW w:w="6486" w:type="dxa"/>
            <w:tcBorders>
              <w:top w:val="single" w:sz="4" w:space="0" w:color="auto"/>
              <w:left w:val="single" w:sz="4" w:space="0" w:color="auto"/>
              <w:bottom w:val="single" w:sz="4" w:space="0" w:color="auto"/>
              <w:right w:val="single" w:sz="4" w:space="0" w:color="auto"/>
            </w:tcBorders>
            <w:hideMark/>
          </w:tcPr>
          <w:p w14:paraId="6E007DF8"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Ročně</w:t>
            </w:r>
          </w:p>
        </w:tc>
      </w:tr>
      <w:tr w:rsidR="00E86883" w:rsidRPr="00E86883" w14:paraId="57758B35" w14:textId="77777777" w:rsidTr="008D14FE">
        <w:trPr>
          <w:trHeight w:val="70"/>
        </w:trPr>
        <w:tc>
          <w:tcPr>
            <w:tcW w:w="2802" w:type="dxa"/>
            <w:tcBorders>
              <w:top w:val="single" w:sz="4" w:space="0" w:color="auto"/>
              <w:left w:val="single" w:sz="4" w:space="0" w:color="auto"/>
              <w:bottom w:val="single" w:sz="4" w:space="0" w:color="auto"/>
              <w:right w:val="single" w:sz="4" w:space="0" w:color="auto"/>
            </w:tcBorders>
            <w:hideMark/>
          </w:tcPr>
          <w:p w14:paraId="6ABD2D6D"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Členění indikátoru: </w:t>
            </w:r>
          </w:p>
        </w:tc>
        <w:tc>
          <w:tcPr>
            <w:tcW w:w="6486" w:type="dxa"/>
            <w:tcBorders>
              <w:top w:val="single" w:sz="4" w:space="0" w:color="auto"/>
              <w:left w:val="single" w:sz="4" w:space="0" w:color="auto"/>
              <w:bottom w:val="single" w:sz="4" w:space="0" w:color="auto"/>
              <w:right w:val="single" w:sz="4" w:space="0" w:color="auto"/>
            </w:tcBorders>
          </w:tcPr>
          <w:p w14:paraId="768495D9" w14:textId="77777777" w:rsidR="00E86883" w:rsidRPr="00E86883" w:rsidRDefault="00F4372F" w:rsidP="00BE1309">
            <w:pPr>
              <w:spacing w:line="276" w:lineRule="auto"/>
              <w:jc w:val="both"/>
              <w:rPr>
                <w:rFonts w:ascii="Arial" w:hAnsi="Arial" w:cs="Arial"/>
                <w:sz w:val="22"/>
                <w:szCs w:val="22"/>
                <w:lang w:eastAsia="en-US"/>
              </w:rPr>
            </w:pPr>
            <w:r>
              <w:rPr>
                <w:rFonts w:ascii="Arial" w:hAnsi="Arial" w:cs="Arial"/>
                <w:sz w:val="22"/>
                <w:szCs w:val="22"/>
                <w:lang w:eastAsia="en-US"/>
              </w:rPr>
              <w:t>-</w:t>
            </w:r>
          </w:p>
        </w:tc>
      </w:tr>
      <w:tr w:rsidR="00E86883" w:rsidRPr="00E86883" w14:paraId="0C29C314" w14:textId="77777777" w:rsidTr="008D14FE">
        <w:trPr>
          <w:trHeight w:val="70"/>
        </w:trPr>
        <w:tc>
          <w:tcPr>
            <w:tcW w:w="2802" w:type="dxa"/>
            <w:tcBorders>
              <w:top w:val="single" w:sz="4" w:space="0" w:color="auto"/>
              <w:left w:val="single" w:sz="4" w:space="0" w:color="auto"/>
              <w:bottom w:val="single" w:sz="4" w:space="0" w:color="auto"/>
              <w:right w:val="single" w:sz="4" w:space="0" w:color="auto"/>
            </w:tcBorders>
            <w:hideMark/>
          </w:tcPr>
          <w:p w14:paraId="536A6750"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Mezinárodní srovnání:</w:t>
            </w:r>
          </w:p>
        </w:tc>
        <w:tc>
          <w:tcPr>
            <w:tcW w:w="6486" w:type="dxa"/>
            <w:tcBorders>
              <w:top w:val="single" w:sz="4" w:space="0" w:color="auto"/>
              <w:left w:val="single" w:sz="4" w:space="0" w:color="auto"/>
              <w:bottom w:val="single" w:sz="4" w:space="0" w:color="auto"/>
              <w:right w:val="single" w:sz="4" w:space="0" w:color="auto"/>
            </w:tcBorders>
            <w:hideMark/>
          </w:tcPr>
          <w:p w14:paraId="340A59F4" w14:textId="77777777" w:rsidR="00E86883" w:rsidRPr="00E86883" w:rsidRDefault="00E86883" w:rsidP="00BE1309">
            <w:pPr>
              <w:spacing w:line="276" w:lineRule="auto"/>
              <w:jc w:val="both"/>
              <w:rPr>
                <w:rFonts w:ascii="Arial" w:hAnsi="Arial" w:cs="Arial"/>
                <w:sz w:val="22"/>
                <w:szCs w:val="22"/>
                <w:lang w:eastAsia="en-US"/>
              </w:rPr>
            </w:pPr>
            <w:proofErr w:type="spellStart"/>
            <w:r w:rsidRPr="00E86883">
              <w:rPr>
                <w:rFonts w:ascii="Arial" w:hAnsi="Arial" w:cs="Arial"/>
                <w:sz w:val="22"/>
                <w:szCs w:val="22"/>
                <w:lang w:eastAsia="en-US"/>
              </w:rPr>
              <w:t>Eurostat</w:t>
            </w:r>
            <w:proofErr w:type="spellEnd"/>
          </w:p>
        </w:tc>
      </w:tr>
    </w:tbl>
    <w:p w14:paraId="392D9D26" w14:textId="77777777" w:rsidR="00E86883" w:rsidRPr="00E86883" w:rsidRDefault="00E86883" w:rsidP="00C51B65">
      <w:pPr>
        <w:spacing w:line="276" w:lineRule="auto"/>
        <w:ind w:left="1701"/>
        <w:contextualSpacing/>
        <w:rPr>
          <w:rFonts w:ascii="Arial" w:eastAsiaTheme="minorHAnsi" w:hAnsi="Arial" w:cs="Arial"/>
          <w:sz w:val="22"/>
          <w:szCs w:val="22"/>
          <w:lang w:eastAsia="en-US"/>
        </w:rPr>
      </w:pPr>
    </w:p>
    <w:tbl>
      <w:tblPr>
        <w:tblStyle w:val="Mkatabulky"/>
        <w:tblW w:w="0" w:type="auto"/>
        <w:tblLook w:val="04A0" w:firstRow="1" w:lastRow="0" w:firstColumn="1" w:lastColumn="0" w:noHBand="0" w:noVBand="1"/>
      </w:tblPr>
      <w:tblGrid>
        <w:gridCol w:w="2802"/>
        <w:gridCol w:w="6486"/>
      </w:tblGrid>
      <w:tr w:rsidR="00E86883" w:rsidRPr="00E86883" w14:paraId="4D7C80D4"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25F28E34"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Název a označení indikátoru: </w:t>
            </w:r>
          </w:p>
        </w:tc>
        <w:tc>
          <w:tcPr>
            <w:tcW w:w="6486" w:type="dxa"/>
            <w:tcBorders>
              <w:top w:val="single" w:sz="4" w:space="0" w:color="auto"/>
              <w:left w:val="single" w:sz="4" w:space="0" w:color="auto"/>
              <w:bottom w:val="single" w:sz="4" w:space="0" w:color="auto"/>
              <w:right w:val="single" w:sz="4" w:space="0" w:color="auto"/>
            </w:tcBorders>
            <w:hideMark/>
          </w:tcPr>
          <w:p w14:paraId="65461ABC" w14:textId="77777777" w:rsidR="00E86883" w:rsidRPr="00E86883" w:rsidRDefault="00E86883" w:rsidP="00C51B65">
            <w:pPr>
              <w:spacing w:line="276" w:lineRule="auto"/>
              <w:contextualSpacing/>
              <w:rPr>
                <w:rFonts w:ascii="Arial" w:hAnsi="Arial" w:cs="Arial"/>
                <w:b/>
                <w:sz w:val="22"/>
                <w:szCs w:val="22"/>
                <w:lang w:eastAsia="en-US"/>
              </w:rPr>
            </w:pPr>
            <w:r w:rsidRPr="00E86883">
              <w:rPr>
                <w:rFonts w:ascii="Arial" w:hAnsi="Arial" w:cs="Arial"/>
                <w:b/>
                <w:sz w:val="22"/>
                <w:szCs w:val="22"/>
                <w:lang w:eastAsia="en-US"/>
              </w:rPr>
              <w:t xml:space="preserve">3.3.2 Zastoupení žen v zastupitelských a exekutivních orgánech </w:t>
            </w:r>
          </w:p>
        </w:tc>
      </w:tr>
      <w:tr w:rsidR="00E86883" w:rsidRPr="00E86883" w14:paraId="3EE443CE"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3C671963"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 xml:space="preserve">Stručná definice: </w:t>
            </w:r>
          </w:p>
        </w:tc>
        <w:tc>
          <w:tcPr>
            <w:tcW w:w="6486" w:type="dxa"/>
            <w:tcBorders>
              <w:top w:val="single" w:sz="4" w:space="0" w:color="auto"/>
              <w:left w:val="single" w:sz="4" w:space="0" w:color="auto"/>
              <w:bottom w:val="single" w:sz="4" w:space="0" w:color="auto"/>
              <w:right w:val="single" w:sz="4" w:space="0" w:color="auto"/>
            </w:tcBorders>
            <w:hideMark/>
          </w:tcPr>
          <w:p w14:paraId="5A45B2AC" w14:textId="77777777" w:rsidR="00E86883" w:rsidRPr="00E86883" w:rsidRDefault="00E86883" w:rsidP="0099602A">
            <w:pPr>
              <w:spacing w:line="276" w:lineRule="auto"/>
              <w:jc w:val="both"/>
              <w:rPr>
                <w:rFonts w:ascii="Arial" w:hAnsi="Arial" w:cs="Arial"/>
                <w:sz w:val="22"/>
                <w:szCs w:val="22"/>
                <w:lang w:eastAsia="en-US"/>
              </w:rPr>
            </w:pPr>
            <w:r w:rsidRPr="00E86883">
              <w:rPr>
                <w:rFonts w:ascii="Arial" w:hAnsi="Arial" w:cs="Arial"/>
                <w:sz w:val="22"/>
                <w:szCs w:val="22"/>
                <w:lang w:eastAsia="en-US"/>
              </w:rPr>
              <w:t>Podíl resp. počet žen ve vybraných institucích (vláda, Poslanecká sněmovna, vedoucí pozice ministerstev, soudy, armáda)</w:t>
            </w:r>
          </w:p>
        </w:tc>
      </w:tr>
      <w:tr w:rsidR="00E86883" w:rsidRPr="00E86883" w14:paraId="722D4594"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560A0F13"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Jednotka:</w:t>
            </w:r>
          </w:p>
        </w:tc>
        <w:tc>
          <w:tcPr>
            <w:tcW w:w="6486" w:type="dxa"/>
            <w:tcBorders>
              <w:top w:val="single" w:sz="4" w:space="0" w:color="auto"/>
              <w:left w:val="single" w:sz="4" w:space="0" w:color="auto"/>
              <w:bottom w:val="single" w:sz="4" w:space="0" w:color="auto"/>
              <w:right w:val="single" w:sz="4" w:space="0" w:color="auto"/>
            </w:tcBorders>
            <w:hideMark/>
          </w:tcPr>
          <w:p w14:paraId="5AF1328E" w14:textId="77777777" w:rsidR="00E86883" w:rsidRPr="00E86883" w:rsidRDefault="00E86883" w:rsidP="0099602A">
            <w:pPr>
              <w:spacing w:line="276" w:lineRule="auto"/>
              <w:jc w:val="both"/>
              <w:rPr>
                <w:rFonts w:ascii="Arial" w:hAnsi="Arial" w:cs="Arial"/>
                <w:sz w:val="22"/>
                <w:szCs w:val="22"/>
                <w:lang w:eastAsia="en-US"/>
              </w:rPr>
            </w:pPr>
            <w:r w:rsidRPr="00E86883">
              <w:rPr>
                <w:rFonts w:ascii="Arial" w:hAnsi="Arial" w:cs="Arial"/>
                <w:sz w:val="22"/>
                <w:szCs w:val="22"/>
                <w:lang w:eastAsia="en-US"/>
              </w:rPr>
              <w:t>Podíl (v %), počet osob</w:t>
            </w:r>
          </w:p>
        </w:tc>
      </w:tr>
      <w:tr w:rsidR="00E86883" w:rsidRPr="00E86883" w14:paraId="39936CEA"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4DD3305B"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 xml:space="preserve">Gestor: </w:t>
            </w:r>
          </w:p>
        </w:tc>
        <w:tc>
          <w:tcPr>
            <w:tcW w:w="6486" w:type="dxa"/>
            <w:tcBorders>
              <w:top w:val="single" w:sz="4" w:space="0" w:color="auto"/>
              <w:left w:val="single" w:sz="4" w:space="0" w:color="auto"/>
              <w:bottom w:val="single" w:sz="4" w:space="0" w:color="auto"/>
              <w:right w:val="single" w:sz="4" w:space="0" w:color="auto"/>
            </w:tcBorders>
            <w:hideMark/>
          </w:tcPr>
          <w:p w14:paraId="39F2FAFC" w14:textId="77777777" w:rsidR="00E86883" w:rsidRPr="00E86883" w:rsidRDefault="00E86883" w:rsidP="0099602A">
            <w:pPr>
              <w:spacing w:line="276" w:lineRule="auto"/>
              <w:jc w:val="both"/>
              <w:rPr>
                <w:rFonts w:ascii="Arial" w:hAnsi="Arial" w:cs="Arial"/>
                <w:sz w:val="22"/>
                <w:szCs w:val="22"/>
                <w:lang w:eastAsia="en-US"/>
              </w:rPr>
            </w:pPr>
            <w:r w:rsidRPr="00E86883">
              <w:rPr>
                <w:rFonts w:ascii="Arial" w:hAnsi="Arial" w:cs="Arial"/>
                <w:sz w:val="22"/>
                <w:szCs w:val="22"/>
                <w:lang w:eastAsia="en-US"/>
              </w:rPr>
              <w:t>Český statistický úřad</w:t>
            </w:r>
          </w:p>
        </w:tc>
      </w:tr>
      <w:tr w:rsidR="00E86883" w:rsidRPr="00E86883" w14:paraId="2AD669D8"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67C61EE7"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 xml:space="preserve">Význam indikátoru: </w:t>
            </w:r>
          </w:p>
        </w:tc>
        <w:tc>
          <w:tcPr>
            <w:tcW w:w="6486" w:type="dxa"/>
            <w:tcBorders>
              <w:top w:val="single" w:sz="4" w:space="0" w:color="auto"/>
              <w:left w:val="single" w:sz="4" w:space="0" w:color="auto"/>
              <w:bottom w:val="single" w:sz="4" w:space="0" w:color="auto"/>
              <w:right w:val="single" w:sz="4" w:space="0" w:color="auto"/>
            </w:tcBorders>
            <w:hideMark/>
          </w:tcPr>
          <w:p w14:paraId="369C7237" w14:textId="77777777" w:rsidR="00E86883" w:rsidRPr="00E86883" w:rsidRDefault="00E86883" w:rsidP="0099602A">
            <w:pPr>
              <w:spacing w:line="276" w:lineRule="auto"/>
              <w:jc w:val="both"/>
              <w:rPr>
                <w:rFonts w:ascii="Arial" w:hAnsi="Arial" w:cs="Arial"/>
                <w:sz w:val="22"/>
                <w:szCs w:val="22"/>
                <w:lang w:eastAsia="en-US"/>
              </w:rPr>
            </w:pPr>
            <w:r w:rsidRPr="00E86883">
              <w:rPr>
                <w:rFonts w:ascii="Arial" w:hAnsi="Arial" w:cs="Arial"/>
                <w:sz w:val="22"/>
                <w:szCs w:val="22"/>
                <w:lang w:eastAsia="en-US"/>
              </w:rPr>
              <w:t>Ukazuje projevy genderové nerovnosti</w:t>
            </w:r>
            <w:r w:rsidR="00F61C86">
              <w:rPr>
                <w:rFonts w:ascii="Arial" w:hAnsi="Arial" w:cs="Arial"/>
                <w:sz w:val="22"/>
                <w:szCs w:val="22"/>
                <w:lang w:eastAsia="en-US"/>
              </w:rPr>
              <w:t xml:space="preserve"> v politickém zastoupení žen</w:t>
            </w:r>
            <w:r w:rsidRPr="00E86883">
              <w:rPr>
                <w:rFonts w:ascii="Arial" w:hAnsi="Arial" w:cs="Arial"/>
                <w:sz w:val="22"/>
                <w:szCs w:val="22"/>
                <w:lang w:eastAsia="en-US"/>
              </w:rPr>
              <w:t>.</w:t>
            </w:r>
          </w:p>
        </w:tc>
      </w:tr>
      <w:tr w:rsidR="00E86883" w:rsidRPr="00E86883" w14:paraId="7A7B93E3"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7EA75057"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 xml:space="preserve">Časová řada: </w:t>
            </w:r>
          </w:p>
        </w:tc>
        <w:tc>
          <w:tcPr>
            <w:tcW w:w="6486" w:type="dxa"/>
            <w:tcBorders>
              <w:top w:val="single" w:sz="4" w:space="0" w:color="auto"/>
              <w:left w:val="single" w:sz="4" w:space="0" w:color="auto"/>
              <w:bottom w:val="single" w:sz="4" w:space="0" w:color="auto"/>
              <w:right w:val="single" w:sz="4" w:space="0" w:color="auto"/>
            </w:tcBorders>
            <w:hideMark/>
          </w:tcPr>
          <w:p w14:paraId="73C227BE" w14:textId="77777777" w:rsidR="00E86883" w:rsidRPr="00E86883" w:rsidRDefault="00E86883" w:rsidP="0099602A">
            <w:pPr>
              <w:spacing w:line="276" w:lineRule="auto"/>
              <w:jc w:val="both"/>
              <w:rPr>
                <w:rFonts w:ascii="Arial" w:hAnsi="Arial" w:cs="Arial"/>
                <w:sz w:val="22"/>
                <w:szCs w:val="22"/>
                <w:lang w:eastAsia="en-US"/>
              </w:rPr>
            </w:pPr>
            <w:r w:rsidRPr="00E86883">
              <w:rPr>
                <w:rFonts w:ascii="Arial" w:hAnsi="Arial" w:cs="Arial"/>
                <w:sz w:val="22"/>
                <w:szCs w:val="22"/>
                <w:lang w:eastAsia="en-US"/>
              </w:rPr>
              <w:t>Dle dostupnosti</w:t>
            </w:r>
          </w:p>
        </w:tc>
      </w:tr>
      <w:tr w:rsidR="00E86883" w:rsidRPr="00E86883" w14:paraId="05FFBE5F"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71E57302"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 xml:space="preserve">Frekvence výstupu: </w:t>
            </w:r>
          </w:p>
        </w:tc>
        <w:tc>
          <w:tcPr>
            <w:tcW w:w="6486" w:type="dxa"/>
            <w:tcBorders>
              <w:top w:val="single" w:sz="4" w:space="0" w:color="auto"/>
              <w:left w:val="single" w:sz="4" w:space="0" w:color="auto"/>
              <w:bottom w:val="single" w:sz="4" w:space="0" w:color="auto"/>
              <w:right w:val="single" w:sz="4" w:space="0" w:color="auto"/>
            </w:tcBorders>
            <w:hideMark/>
          </w:tcPr>
          <w:p w14:paraId="0A7A0433" w14:textId="77777777" w:rsidR="00E86883" w:rsidRPr="00E86883" w:rsidRDefault="00E86883" w:rsidP="0099602A">
            <w:pPr>
              <w:spacing w:line="276" w:lineRule="auto"/>
              <w:jc w:val="both"/>
              <w:rPr>
                <w:rFonts w:ascii="Arial" w:hAnsi="Arial" w:cs="Arial"/>
                <w:sz w:val="22"/>
                <w:szCs w:val="22"/>
                <w:lang w:eastAsia="en-US"/>
              </w:rPr>
            </w:pPr>
            <w:r w:rsidRPr="00E86883">
              <w:rPr>
                <w:rFonts w:ascii="Arial" w:hAnsi="Arial" w:cs="Arial"/>
                <w:sz w:val="22"/>
                <w:szCs w:val="22"/>
                <w:lang w:eastAsia="en-US"/>
              </w:rPr>
              <w:t>Ročně</w:t>
            </w:r>
          </w:p>
        </w:tc>
      </w:tr>
      <w:tr w:rsidR="00E86883" w:rsidRPr="00E86883" w14:paraId="241EFAB8" w14:textId="77777777" w:rsidTr="008D14FE">
        <w:trPr>
          <w:trHeight w:val="70"/>
        </w:trPr>
        <w:tc>
          <w:tcPr>
            <w:tcW w:w="2802" w:type="dxa"/>
            <w:tcBorders>
              <w:top w:val="single" w:sz="4" w:space="0" w:color="auto"/>
              <w:left w:val="single" w:sz="4" w:space="0" w:color="auto"/>
              <w:bottom w:val="single" w:sz="4" w:space="0" w:color="auto"/>
              <w:right w:val="single" w:sz="4" w:space="0" w:color="auto"/>
            </w:tcBorders>
            <w:hideMark/>
          </w:tcPr>
          <w:p w14:paraId="3F36EB93"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 xml:space="preserve">Členění indikátoru: </w:t>
            </w:r>
          </w:p>
        </w:tc>
        <w:tc>
          <w:tcPr>
            <w:tcW w:w="6486" w:type="dxa"/>
            <w:tcBorders>
              <w:top w:val="single" w:sz="4" w:space="0" w:color="auto"/>
              <w:left w:val="single" w:sz="4" w:space="0" w:color="auto"/>
              <w:bottom w:val="single" w:sz="4" w:space="0" w:color="auto"/>
              <w:right w:val="single" w:sz="4" w:space="0" w:color="auto"/>
            </w:tcBorders>
            <w:hideMark/>
          </w:tcPr>
          <w:p w14:paraId="38F82E8F" w14:textId="6913F4CC" w:rsidR="00E86883" w:rsidRPr="00E86883" w:rsidRDefault="00CD5590" w:rsidP="0099602A">
            <w:pPr>
              <w:spacing w:line="276" w:lineRule="auto"/>
              <w:jc w:val="both"/>
              <w:rPr>
                <w:rFonts w:ascii="Arial" w:hAnsi="Arial" w:cs="Arial"/>
                <w:sz w:val="22"/>
                <w:szCs w:val="22"/>
                <w:lang w:eastAsia="en-US"/>
              </w:rPr>
            </w:pPr>
            <w:r>
              <w:rPr>
                <w:rFonts w:ascii="Arial" w:hAnsi="Arial" w:cs="Arial"/>
                <w:sz w:val="22"/>
                <w:szCs w:val="22"/>
                <w:lang w:eastAsia="en-US"/>
              </w:rPr>
              <w:t>Dle instituce</w:t>
            </w:r>
          </w:p>
        </w:tc>
      </w:tr>
      <w:tr w:rsidR="00E86883" w:rsidRPr="00E86883" w14:paraId="5F53283B" w14:textId="77777777" w:rsidTr="008D14FE">
        <w:trPr>
          <w:trHeight w:val="70"/>
        </w:trPr>
        <w:tc>
          <w:tcPr>
            <w:tcW w:w="2802" w:type="dxa"/>
            <w:tcBorders>
              <w:top w:val="single" w:sz="4" w:space="0" w:color="auto"/>
              <w:left w:val="single" w:sz="4" w:space="0" w:color="auto"/>
              <w:bottom w:val="single" w:sz="4" w:space="0" w:color="auto"/>
              <w:right w:val="single" w:sz="4" w:space="0" w:color="auto"/>
            </w:tcBorders>
            <w:hideMark/>
          </w:tcPr>
          <w:p w14:paraId="5385255B"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Mezinárodní srovnání:</w:t>
            </w:r>
          </w:p>
        </w:tc>
        <w:tc>
          <w:tcPr>
            <w:tcW w:w="6486" w:type="dxa"/>
            <w:tcBorders>
              <w:top w:val="single" w:sz="4" w:space="0" w:color="auto"/>
              <w:left w:val="single" w:sz="4" w:space="0" w:color="auto"/>
              <w:bottom w:val="single" w:sz="4" w:space="0" w:color="auto"/>
              <w:right w:val="single" w:sz="4" w:space="0" w:color="auto"/>
            </w:tcBorders>
            <w:hideMark/>
          </w:tcPr>
          <w:p w14:paraId="35F6FCF6" w14:textId="77777777" w:rsidR="00E86883" w:rsidRPr="00E86883" w:rsidRDefault="00E86883" w:rsidP="0099602A">
            <w:pPr>
              <w:spacing w:line="276" w:lineRule="auto"/>
              <w:jc w:val="both"/>
              <w:rPr>
                <w:rFonts w:ascii="Arial" w:hAnsi="Arial" w:cs="Arial"/>
                <w:sz w:val="22"/>
                <w:szCs w:val="22"/>
                <w:lang w:eastAsia="en-US"/>
              </w:rPr>
            </w:pPr>
            <w:r w:rsidRPr="00E86883">
              <w:rPr>
                <w:rFonts w:ascii="Arial" w:hAnsi="Arial" w:cs="Arial"/>
                <w:sz w:val="22"/>
                <w:szCs w:val="22"/>
                <w:lang w:eastAsia="en-US"/>
              </w:rPr>
              <w:t>Parlamenty</w:t>
            </w:r>
            <w:r w:rsidR="00BA0402">
              <w:rPr>
                <w:rFonts w:ascii="Arial" w:hAnsi="Arial" w:cs="Arial"/>
                <w:sz w:val="22"/>
                <w:szCs w:val="22"/>
                <w:lang w:eastAsia="en-US"/>
              </w:rPr>
              <w:t xml:space="preserve"> </w:t>
            </w:r>
            <w:r w:rsidRPr="00E86883">
              <w:rPr>
                <w:rFonts w:ascii="Arial" w:hAnsi="Arial" w:cs="Arial"/>
                <w:sz w:val="22"/>
                <w:szCs w:val="22"/>
                <w:lang w:eastAsia="en-US"/>
              </w:rPr>
              <w:t>jiných států</w:t>
            </w:r>
          </w:p>
        </w:tc>
      </w:tr>
    </w:tbl>
    <w:p w14:paraId="143B487C" w14:textId="77777777" w:rsidR="00E86883" w:rsidRPr="00E86883" w:rsidRDefault="00E86883" w:rsidP="00C51B65">
      <w:pPr>
        <w:spacing w:line="276" w:lineRule="auto"/>
        <w:ind w:left="1701"/>
        <w:contextualSpacing/>
        <w:rPr>
          <w:rFonts w:ascii="Arial" w:eastAsiaTheme="minorHAnsi" w:hAnsi="Arial" w:cs="Arial"/>
          <w:sz w:val="22"/>
          <w:szCs w:val="22"/>
        </w:rPr>
      </w:pPr>
    </w:p>
    <w:tbl>
      <w:tblPr>
        <w:tblStyle w:val="Mkatabulky"/>
        <w:tblW w:w="0" w:type="auto"/>
        <w:tblLook w:val="04A0" w:firstRow="1" w:lastRow="0" w:firstColumn="1" w:lastColumn="0" w:noHBand="0" w:noVBand="1"/>
      </w:tblPr>
      <w:tblGrid>
        <w:gridCol w:w="2802"/>
        <w:gridCol w:w="6486"/>
      </w:tblGrid>
      <w:tr w:rsidR="00E86883" w:rsidRPr="00E86883" w14:paraId="1A49A322"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415889D9" w14:textId="77777777" w:rsidR="00E86883" w:rsidRPr="00E86883" w:rsidRDefault="00E86883" w:rsidP="00C51B65">
            <w:pPr>
              <w:spacing w:line="276" w:lineRule="auto"/>
              <w:rPr>
                <w:rFonts w:ascii="Arial" w:hAnsi="Arial" w:cs="Arial"/>
                <w:sz w:val="22"/>
                <w:szCs w:val="22"/>
                <w:lang w:eastAsia="en-US"/>
              </w:rPr>
            </w:pPr>
            <w:r w:rsidRPr="00E86883">
              <w:rPr>
                <w:rFonts w:ascii="Arial" w:hAnsi="Arial" w:cs="Arial"/>
                <w:sz w:val="22"/>
                <w:szCs w:val="22"/>
                <w:lang w:eastAsia="en-US"/>
              </w:rPr>
              <w:t xml:space="preserve">Název a označení indikátoru: </w:t>
            </w:r>
          </w:p>
        </w:tc>
        <w:tc>
          <w:tcPr>
            <w:tcW w:w="6486" w:type="dxa"/>
            <w:tcBorders>
              <w:top w:val="single" w:sz="4" w:space="0" w:color="auto"/>
              <w:left w:val="single" w:sz="4" w:space="0" w:color="auto"/>
              <w:bottom w:val="single" w:sz="4" w:space="0" w:color="auto"/>
              <w:right w:val="single" w:sz="4" w:space="0" w:color="auto"/>
            </w:tcBorders>
            <w:hideMark/>
          </w:tcPr>
          <w:p w14:paraId="7CAD2AA3" w14:textId="4914C082" w:rsidR="00E86883" w:rsidRPr="00E86883" w:rsidRDefault="00E86883" w:rsidP="00C51B65">
            <w:pPr>
              <w:spacing w:line="276" w:lineRule="auto"/>
              <w:contextualSpacing/>
              <w:rPr>
                <w:rFonts w:ascii="Arial" w:hAnsi="Arial" w:cs="Arial"/>
                <w:b/>
                <w:sz w:val="22"/>
                <w:szCs w:val="22"/>
                <w:lang w:eastAsia="en-US"/>
              </w:rPr>
            </w:pPr>
            <w:r w:rsidRPr="00E86883">
              <w:rPr>
                <w:rFonts w:ascii="Arial" w:hAnsi="Arial" w:cs="Arial"/>
                <w:b/>
                <w:sz w:val="22"/>
                <w:szCs w:val="22"/>
                <w:lang w:eastAsia="en-US"/>
              </w:rPr>
              <w:t>3.3.3 Míra ekonomické aktivity žen</w:t>
            </w:r>
            <w:r w:rsidR="00481B16">
              <w:rPr>
                <w:rFonts w:ascii="Arial" w:hAnsi="Arial" w:cs="Arial"/>
                <w:b/>
                <w:sz w:val="22"/>
                <w:szCs w:val="22"/>
                <w:lang w:eastAsia="en-US"/>
              </w:rPr>
              <w:t xml:space="preserve"> a mužů</w:t>
            </w:r>
          </w:p>
        </w:tc>
      </w:tr>
      <w:tr w:rsidR="00E86883" w:rsidRPr="00E86883" w14:paraId="553D4953"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160402D5"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 xml:space="preserve">Stručná definice: </w:t>
            </w:r>
          </w:p>
        </w:tc>
        <w:tc>
          <w:tcPr>
            <w:tcW w:w="6486" w:type="dxa"/>
            <w:tcBorders>
              <w:top w:val="single" w:sz="4" w:space="0" w:color="auto"/>
              <w:left w:val="single" w:sz="4" w:space="0" w:color="auto"/>
              <w:bottom w:val="single" w:sz="4" w:space="0" w:color="auto"/>
              <w:right w:val="single" w:sz="4" w:space="0" w:color="auto"/>
            </w:tcBorders>
          </w:tcPr>
          <w:p w14:paraId="32ED50B0" w14:textId="3E510853"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rPr>
              <w:t xml:space="preserve">Podíl počtu zaměstnaných a nezaměstnaných (pracovní síly) </w:t>
            </w:r>
            <w:r w:rsidR="00875513">
              <w:rPr>
                <w:rFonts w:ascii="Arial" w:hAnsi="Arial" w:cs="Arial"/>
                <w:sz w:val="22"/>
                <w:szCs w:val="22"/>
              </w:rPr>
              <w:t>žen</w:t>
            </w:r>
            <w:r w:rsidR="004A4A62">
              <w:rPr>
                <w:rFonts w:ascii="Arial" w:hAnsi="Arial" w:cs="Arial"/>
                <w:sz w:val="22"/>
                <w:szCs w:val="22"/>
              </w:rPr>
              <w:t>/mužů</w:t>
            </w:r>
            <w:r w:rsidR="00875513">
              <w:rPr>
                <w:rFonts w:ascii="Arial" w:hAnsi="Arial" w:cs="Arial"/>
                <w:sz w:val="22"/>
                <w:szCs w:val="22"/>
              </w:rPr>
              <w:t xml:space="preserve"> </w:t>
            </w:r>
            <w:r w:rsidRPr="00E86883">
              <w:rPr>
                <w:rFonts w:ascii="Arial" w:hAnsi="Arial" w:cs="Arial"/>
                <w:sz w:val="22"/>
                <w:szCs w:val="22"/>
              </w:rPr>
              <w:t xml:space="preserve">na počtu všech </w:t>
            </w:r>
            <w:r w:rsidR="00875513">
              <w:rPr>
                <w:rFonts w:ascii="Arial" w:hAnsi="Arial" w:cs="Arial"/>
                <w:sz w:val="22"/>
                <w:szCs w:val="22"/>
              </w:rPr>
              <w:t>žen</w:t>
            </w:r>
            <w:r w:rsidR="004A4A62">
              <w:rPr>
                <w:rFonts w:ascii="Arial" w:hAnsi="Arial" w:cs="Arial"/>
                <w:sz w:val="22"/>
                <w:szCs w:val="22"/>
              </w:rPr>
              <w:t>/mužů</w:t>
            </w:r>
            <w:r w:rsidR="00875513" w:rsidRPr="00E86883">
              <w:rPr>
                <w:rFonts w:ascii="Arial" w:hAnsi="Arial" w:cs="Arial"/>
                <w:sz w:val="22"/>
                <w:szCs w:val="22"/>
              </w:rPr>
              <w:t xml:space="preserve"> </w:t>
            </w:r>
            <w:r w:rsidRPr="00E86883">
              <w:rPr>
                <w:rFonts w:ascii="Arial" w:hAnsi="Arial" w:cs="Arial"/>
                <w:sz w:val="22"/>
                <w:szCs w:val="22"/>
              </w:rPr>
              <w:t>15letých a starších.</w:t>
            </w:r>
          </w:p>
        </w:tc>
      </w:tr>
      <w:tr w:rsidR="00E86883" w:rsidRPr="00E86883" w14:paraId="713E4345"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2B32E9BE"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Jednotka:</w:t>
            </w:r>
          </w:p>
        </w:tc>
        <w:tc>
          <w:tcPr>
            <w:tcW w:w="6486" w:type="dxa"/>
            <w:tcBorders>
              <w:top w:val="single" w:sz="4" w:space="0" w:color="auto"/>
              <w:left w:val="single" w:sz="4" w:space="0" w:color="auto"/>
              <w:bottom w:val="single" w:sz="4" w:space="0" w:color="auto"/>
              <w:right w:val="single" w:sz="4" w:space="0" w:color="auto"/>
            </w:tcBorders>
          </w:tcPr>
          <w:p w14:paraId="5B3DE9C6"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rPr>
              <w:t>Podíl (v %)</w:t>
            </w:r>
          </w:p>
        </w:tc>
      </w:tr>
      <w:tr w:rsidR="00E86883" w:rsidRPr="00E86883" w14:paraId="50AA4BB3"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7CA78EF2"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 xml:space="preserve">Gestor: </w:t>
            </w:r>
          </w:p>
        </w:tc>
        <w:tc>
          <w:tcPr>
            <w:tcW w:w="6486" w:type="dxa"/>
            <w:tcBorders>
              <w:top w:val="single" w:sz="4" w:space="0" w:color="auto"/>
              <w:left w:val="single" w:sz="4" w:space="0" w:color="auto"/>
              <w:bottom w:val="single" w:sz="4" w:space="0" w:color="auto"/>
              <w:right w:val="single" w:sz="4" w:space="0" w:color="auto"/>
            </w:tcBorders>
          </w:tcPr>
          <w:p w14:paraId="4323D4DF"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Český statistický úřad</w:t>
            </w:r>
          </w:p>
        </w:tc>
      </w:tr>
      <w:tr w:rsidR="00E86883" w:rsidRPr="00E86883" w14:paraId="336CDF90"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3026DFF4"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 xml:space="preserve">Význam indikátoru: </w:t>
            </w:r>
          </w:p>
        </w:tc>
        <w:tc>
          <w:tcPr>
            <w:tcW w:w="6486" w:type="dxa"/>
            <w:tcBorders>
              <w:top w:val="single" w:sz="4" w:space="0" w:color="auto"/>
              <w:left w:val="single" w:sz="4" w:space="0" w:color="auto"/>
              <w:bottom w:val="single" w:sz="4" w:space="0" w:color="auto"/>
              <w:right w:val="single" w:sz="4" w:space="0" w:color="auto"/>
            </w:tcBorders>
          </w:tcPr>
          <w:p w14:paraId="5E6A69E2" w14:textId="120BDD7C" w:rsidR="00E86883" w:rsidRPr="00E86883" w:rsidRDefault="00481B16" w:rsidP="00BE1309">
            <w:pPr>
              <w:spacing w:line="276" w:lineRule="auto"/>
              <w:jc w:val="both"/>
              <w:rPr>
                <w:rFonts w:ascii="Arial" w:hAnsi="Arial" w:cs="Arial"/>
                <w:sz w:val="22"/>
                <w:szCs w:val="22"/>
                <w:lang w:eastAsia="en-US"/>
              </w:rPr>
            </w:pPr>
            <w:r w:rsidRPr="00481B16">
              <w:rPr>
                <w:rFonts w:ascii="Arial" w:hAnsi="Arial" w:cs="Arial"/>
                <w:sz w:val="22"/>
                <w:szCs w:val="22"/>
                <w:lang w:eastAsia="en-US"/>
              </w:rPr>
              <w:t xml:space="preserve">Ukazuje míru </w:t>
            </w:r>
            <w:proofErr w:type="spellStart"/>
            <w:r w:rsidRPr="00481B16">
              <w:rPr>
                <w:rFonts w:ascii="Arial" w:hAnsi="Arial" w:cs="Arial"/>
                <w:sz w:val="22"/>
                <w:szCs w:val="22"/>
                <w:lang w:eastAsia="en-US"/>
              </w:rPr>
              <w:t>zápojení</w:t>
            </w:r>
            <w:proofErr w:type="spellEnd"/>
            <w:r w:rsidRPr="00481B16">
              <w:rPr>
                <w:rFonts w:ascii="Arial" w:hAnsi="Arial" w:cs="Arial"/>
                <w:sz w:val="22"/>
                <w:szCs w:val="22"/>
                <w:lang w:eastAsia="en-US"/>
              </w:rPr>
              <w:t xml:space="preserve"> žen do formální ekonomiky v porovnání s</w:t>
            </w:r>
            <w:r>
              <w:rPr>
                <w:rFonts w:ascii="Arial" w:hAnsi="Arial" w:cs="Arial"/>
                <w:sz w:val="22"/>
                <w:szCs w:val="22"/>
                <w:lang w:eastAsia="en-US"/>
              </w:rPr>
              <w:t> </w:t>
            </w:r>
            <w:r w:rsidRPr="00481B16">
              <w:rPr>
                <w:rFonts w:ascii="Arial" w:hAnsi="Arial" w:cs="Arial"/>
                <w:sz w:val="22"/>
                <w:szCs w:val="22"/>
                <w:lang w:eastAsia="en-US"/>
              </w:rPr>
              <w:t>muži</w:t>
            </w:r>
            <w:r>
              <w:rPr>
                <w:rFonts w:ascii="Arial" w:hAnsi="Arial" w:cs="Arial"/>
                <w:sz w:val="22"/>
                <w:szCs w:val="22"/>
                <w:lang w:eastAsia="en-US"/>
              </w:rPr>
              <w:t>.</w:t>
            </w:r>
            <w:r w:rsidRPr="00481B16" w:rsidDel="00AC3D41">
              <w:rPr>
                <w:rFonts w:ascii="Arial" w:hAnsi="Arial" w:cs="Arial"/>
                <w:sz w:val="22"/>
                <w:szCs w:val="22"/>
                <w:lang w:eastAsia="en-US"/>
              </w:rPr>
              <w:t xml:space="preserve"> </w:t>
            </w:r>
          </w:p>
        </w:tc>
      </w:tr>
      <w:tr w:rsidR="00E86883" w:rsidRPr="00E86883" w14:paraId="3DFBCB68"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72C976B2"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 xml:space="preserve">Časová řada: </w:t>
            </w:r>
          </w:p>
        </w:tc>
        <w:tc>
          <w:tcPr>
            <w:tcW w:w="6486" w:type="dxa"/>
            <w:tcBorders>
              <w:top w:val="single" w:sz="4" w:space="0" w:color="auto"/>
              <w:left w:val="single" w:sz="4" w:space="0" w:color="auto"/>
              <w:bottom w:val="single" w:sz="4" w:space="0" w:color="auto"/>
              <w:right w:val="single" w:sz="4" w:space="0" w:color="auto"/>
            </w:tcBorders>
          </w:tcPr>
          <w:p w14:paraId="35DB6D45"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rPr>
              <w:t xml:space="preserve">Od </w:t>
            </w:r>
            <w:r w:rsidR="00875513">
              <w:rPr>
                <w:rFonts w:ascii="Arial" w:hAnsi="Arial" w:cs="Arial"/>
                <w:sz w:val="22"/>
                <w:szCs w:val="22"/>
              </w:rPr>
              <w:t xml:space="preserve">roku </w:t>
            </w:r>
            <w:r w:rsidRPr="00E86883">
              <w:rPr>
                <w:rFonts w:ascii="Arial" w:hAnsi="Arial" w:cs="Arial"/>
                <w:sz w:val="22"/>
                <w:szCs w:val="22"/>
              </w:rPr>
              <w:t>1993</w:t>
            </w:r>
          </w:p>
        </w:tc>
      </w:tr>
      <w:tr w:rsidR="00E86883" w:rsidRPr="00E86883" w14:paraId="4E03B143" w14:textId="77777777" w:rsidTr="008D14FE">
        <w:tc>
          <w:tcPr>
            <w:tcW w:w="2802" w:type="dxa"/>
            <w:tcBorders>
              <w:top w:val="single" w:sz="4" w:space="0" w:color="auto"/>
              <w:left w:val="single" w:sz="4" w:space="0" w:color="auto"/>
              <w:bottom w:val="single" w:sz="4" w:space="0" w:color="auto"/>
              <w:right w:val="single" w:sz="4" w:space="0" w:color="auto"/>
            </w:tcBorders>
            <w:hideMark/>
          </w:tcPr>
          <w:p w14:paraId="7FB7185D"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 xml:space="preserve">Frekvence výstupu: </w:t>
            </w:r>
          </w:p>
        </w:tc>
        <w:tc>
          <w:tcPr>
            <w:tcW w:w="6486" w:type="dxa"/>
            <w:tcBorders>
              <w:top w:val="single" w:sz="4" w:space="0" w:color="auto"/>
              <w:left w:val="single" w:sz="4" w:space="0" w:color="auto"/>
              <w:bottom w:val="single" w:sz="4" w:space="0" w:color="auto"/>
              <w:right w:val="single" w:sz="4" w:space="0" w:color="auto"/>
            </w:tcBorders>
          </w:tcPr>
          <w:p w14:paraId="2E2EA1D8"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rPr>
              <w:t>Čtvrtletně</w:t>
            </w:r>
          </w:p>
        </w:tc>
      </w:tr>
      <w:tr w:rsidR="00E86883" w:rsidRPr="00E86883" w14:paraId="33E99345" w14:textId="77777777" w:rsidTr="008D14FE">
        <w:trPr>
          <w:trHeight w:val="70"/>
        </w:trPr>
        <w:tc>
          <w:tcPr>
            <w:tcW w:w="2802" w:type="dxa"/>
            <w:tcBorders>
              <w:top w:val="single" w:sz="4" w:space="0" w:color="auto"/>
              <w:left w:val="single" w:sz="4" w:space="0" w:color="auto"/>
              <w:bottom w:val="single" w:sz="4" w:space="0" w:color="auto"/>
              <w:right w:val="single" w:sz="4" w:space="0" w:color="auto"/>
            </w:tcBorders>
            <w:hideMark/>
          </w:tcPr>
          <w:p w14:paraId="7EB4305A"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 xml:space="preserve">Členění indikátoru: </w:t>
            </w:r>
          </w:p>
        </w:tc>
        <w:tc>
          <w:tcPr>
            <w:tcW w:w="6486" w:type="dxa"/>
            <w:tcBorders>
              <w:top w:val="single" w:sz="4" w:space="0" w:color="auto"/>
              <w:left w:val="single" w:sz="4" w:space="0" w:color="auto"/>
              <w:bottom w:val="single" w:sz="4" w:space="0" w:color="auto"/>
              <w:right w:val="single" w:sz="4" w:space="0" w:color="auto"/>
            </w:tcBorders>
            <w:hideMark/>
          </w:tcPr>
          <w:p w14:paraId="61AFE4CE" w14:textId="7BABC9E8" w:rsidR="00E86883" w:rsidRPr="00E86883" w:rsidRDefault="00CD5590" w:rsidP="00BE1309">
            <w:pPr>
              <w:spacing w:line="276" w:lineRule="auto"/>
              <w:jc w:val="both"/>
              <w:rPr>
                <w:rFonts w:ascii="Arial" w:hAnsi="Arial" w:cs="Arial"/>
                <w:sz w:val="22"/>
                <w:szCs w:val="22"/>
                <w:lang w:eastAsia="en-US"/>
              </w:rPr>
            </w:pPr>
            <w:r>
              <w:rPr>
                <w:rFonts w:ascii="Arial" w:hAnsi="Arial" w:cs="Arial"/>
                <w:sz w:val="22"/>
                <w:szCs w:val="22"/>
              </w:rPr>
              <w:t>Dle p</w:t>
            </w:r>
            <w:r w:rsidR="004A4A62">
              <w:rPr>
                <w:rFonts w:ascii="Arial" w:hAnsi="Arial" w:cs="Arial"/>
                <w:sz w:val="22"/>
                <w:szCs w:val="22"/>
              </w:rPr>
              <w:t>ohlaví</w:t>
            </w:r>
          </w:p>
        </w:tc>
      </w:tr>
      <w:tr w:rsidR="00E86883" w:rsidRPr="00E86883" w14:paraId="0076B4D4" w14:textId="77777777" w:rsidTr="008D14FE">
        <w:trPr>
          <w:trHeight w:val="70"/>
        </w:trPr>
        <w:tc>
          <w:tcPr>
            <w:tcW w:w="2802" w:type="dxa"/>
            <w:tcBorders>
              <w:top w:val="single" w:sz="4" w:space="0" w:color="auto"/>
              <w:left w:val="single" w:sz="4" w:space="0" w:color="auto"/>
              <w:bottom w:val="single" w:sz="4" w:space="0" w:color="auto"/>
              <w:right w:val="single" w:sz="4" w:space="0" w:color="auto"/>
            </w:tcBorders>
            <w:hideMark/>
          </w:tcPr>
          <w:p w14:paraId="22C38F24" w14:textId="77777777" w:rsidR="00E86883" w:rsidRPr="00E86883" w:rsidRDefault="00E86883" w:rsidP="00BE1309">
            <w:pPr>
              <w:spacing w:line="276" w:lineRule="auto"/>
              <w:jc w:val="both"/>
              <w:rPr>
                <w:rFonts w:ascii="Arial" w:hAnsi="Arial" w:cs="Arial"/>
                <w:sz w:val="22"/>
                <w:szCs w:val="22"/>
                <w:lang w:eastAsia="en-US"/>
              </w:rPr>
            </w:pPr>
            <w:r w:rsidRPr="00E86883">
              <w:rPr>
                <w:rFonts w:ascii="Arial" w:hAnsi="Arial" w:cs="Arial"/>
                <w:sz w:val="22"/>
                <w:szCs w:val="22"/>
                <w:lang w:eastAsia="en-US"/>
              </w:rPr>
              <w:t>Mezinárodní srovnání:</w:t>
            </w:r>
          </w:p>
        </w:tc>
        <w:tc>
          <w:tcPr>
            <w:tcW w:w="6486" w:type="dxa"/>
            <w:tcBorders>
              <w:top w:val="single" w:sz="4" w:space="0" w:color="auto"/>
              <w:left w:val="single" w:sz="4" w:space="0" w:color="auto"/>
              <w:bottom w:val="single" w:sz="4" w:space="0" w:color="auto"/>
              <w:right w:val="single" w:sz="4" w:space="0" w:color="auto"/>
            </w:tcBorders>
          </w:tcPr>
          <w:p w14:paraId="43572016" w14:textId="77777777" w:rsidR="00E86883" w:rsidRPr="00E86883" w:rsidRDefault="00E86883" w:rsidP="00BE1309">
            <w:pPr>
              <w:spacing w:line="276" w:lineRule="auto"/>
              <w:jc w:val="both"/>
              <w:rPr>
                <w:rFonts w:ascii="Arial" w:hAnsi="Arial" w:cs="Arial"/>
                <w:sz w:val="22"/>
                <w:szCs w:val="22"/>
                <w:lang w:eastAsia="en-US"/>
              </w:rPr>
            </w:pPr>
            <w:proofErr w:type="spellStart"/>
            <w:r w:rsidRPr="00E86883">
              <w:rPr>
                <w:rFonts w:ascii="Arial" w:hAnsi="Arial" w:cs="Arial"/>
                <w:sz w:val="22"/>
                <w:szCs w:val="22"/>
              </w:rPr>
              <w:t>Eurostat</w:t>
            </w:r>
            <w:proofErr w:type="spellEnd"/>
            <w:r w:rsidRPr="00E86883">
              <w:rPr>
                <w:rFonts w:ascii="Arial" w:hAnsi="Arial" w:cs="Arial"/>
                <w:sz w:val="22"/>
                <w:szCs w:val="22"/>
              </w:rPr>
              <w:t>, OECD</w:t>
            </w:r>
          </w:p>
        </w:tc>
      </w:tr>
    </w:tbl>
    <w:p w14:paraId="6503CB68" w14:textId="6B0C2ED3" w:rsidR="00E86883" w:rsidRPr="00E86883" w:rsidRDefault="00537BF5" w:rsidP="00ED673D">
      <w:pPr>
        <w:pStyle w:val="r2030podcle"/>
        <w:numPr>
          <w:ilvl w:val="1"/>
          <w:numId w:val="17"/>
        </w:numPr>
        <w:ind w:left="567" w:hanging="425"/>
        <w:jc w:val="both"/>
      </w:pPr>
      <w:r w:rsidRPr="00537BF5">
        <w:t xml:space="preserve">Je zajištěn rovný přístup k osobám ohroženým diskriminací na základě </w:t>
      </w:r>
      <w:r w:rsidR="00691FB5">
        <w:t>pohlaví</w:t>
      </w:r>
      <w:r w:rsidRPr="00537BF5">
        <w:t>, věku, péče o závislé osoby, zdravotního postižení, etnicity, národnosti, sexuální orientace, vyznání nebo světonázoru. Zvláštní důraz je kladen na před</w:t>
      </w:r>
      <w:r w:rsidR="00B75EA2">
        <w:t>cházení vícečetné diskriminaci.</w:t>
      </w:r>
    </w:p>
    <w:tbl>
      <w:tblPr>
        <w:tblStyle w:val="Mkatabulky"/>
        <w:tblW w:w="0" w:type="auto"/>
        <w:tblLook w:val="04A0" w:firstRow="1" w:lastRow="0" w:firstColumn="1" w:lastColumn="0" w:noHBand="0" w:noVBand="1"/>
      </w:tblPr>
      <w:tblGrid>
        <w:gridCol w:w="2802"/>
        <w:gridCol w:w="6486"/>
      </w:tblGrid>
      <w:tr w:rsidR="004B53F4" w14:paraId="091D580C" w14:textId="77777777" w:rsidTr="000E1278">
        <w:tc>
          <w:tcPr>
            <w:tcW w:w="2802" w:type="dxa"/>
            <w:tcBorders>
              <w:top w:val="single" w:sz="4" w:space="0" w:color="auto"/>
              <w:left w:val="single" w:sz="4" w:space="0" w:color="auto"/>
              <w:bottom w:val="single" w:sz="4" w:space="0" w:color="auto"/>
              <w:right w:val="single" w:sz="4" w:space="0" w:color="auto"/>
            </w:tcBorders>
            <w:hideMark/>
          </w:tcPr>
          <w:p w14:paraId="5D9F3CEE" w14:textId="77777777" w:rsidR="004B53F4" w:rsidRPr="00875513" w:rsidRDefault="004B53F4" w:rsidP="000E1278">
            <w:pPr>
              <w:rPr>
                <w:rFonts w:ascii="Arial" w:hAnsi="Arial" w:cs="Arial"/>
                <w:sz w:val="22"/>
                <w:szCs w:val="22"/>
              </w:rPr>
            </w:pPr>
            <w:r w:rsidRPr="00875513">
              <w:rPr>
                <w:rFonts w:ascii="Arial" w:hAnsi="Arial" w:cs="Arial"/>
                <w:sz w:val="22"/>
                <w:szCs w:val="22"/>
              </w:rPr>
              <w:t xml:space="preserve">Název a označení indikátoru: </w:t>
            </w:r>
          </w:p>
        </w:tc>
        <w:tc>
          <w:tcPr>
            <w:tcW w:w="6486" w:type="dxa"/>
            <w:tcBorders>
              <w:top w:val="single" w:sz="4" w:space="0" w:color="auto"/>
              <w:left w:val="single" w:sz="4" w:space="0" w:color="auto"/>
              <w:bottom w:val="single" w:sz="4" w:space="0" w:color="auto"/>
              <w:right w:val="single" w:sz="4" w:space="0" w:color="auto"/>
            </w:tcBorders>
          </w:tcPr>
          <w:p w14:paraId="40F16E32" w14:textId="77777777" w:rsidR="004B53F4" w:rsidRPr="00875513" w:rsidRDefault="00806A30" w:rsidP="000E1278">
            <w:pPr>
              <w:rPr>
                <w:rFonts w:ascii="Arial" w:hAnsi="Arial" w:cs="Arial"/>
                <w:b/>
                <w:sz w:val="22"/>
                <w:szCs w:val="22"/>
              </w:rPr>
            </w:pPr>
            <w:r w:rsidRPr="00875513">
              <w:rPr>
                <w:rFonts w:ascii="Arial" w:hAnsi="Arial" w:cs="Arial"/>
                <w:b/>
                <w:sz w:val="22"/>
                <w:szCs w:val="22"/>
              </w:rPr>
              <w:t xml:space="preserve">3.4.1 </w:t>
            </w:r>
            <w:r w:rsidR="004B53F4" w:rsidRPr="00875513">
              <w:rPr>
                <w:rFonts w:ascii="Arial" w:hAnsi="Arial" w:cs="Arial"/>
                <w:b/>
                <w:sz w:val="22"/>
                <w:szCs w:val="22"/>
              </w:rPr>
              <w:t>Míry zaměstnanosti jednotlivých skupin</w:t>
            </w:r>
          </w:p>
        </w:tc>
      </w:tr>
      <w:tr w:rsidR="004B53F4" w14:paraId="797584CA" w14:textId="77777777" w:rsidTr="000E1278">
        <w:tc>
          <w:tcPr>
            <w:tcW w:w="2802" w:type="dxa"/>
            <w:tcBorders>
              <w:top w:val="single" w:sz="4" w:space="0" w:color="auto"/>
              <w:left w:val="single" w:sz="4" w:space="0" w:color="auto"/>
              <w:bottom w:val="single" w:sz="4" w:space="0" w:color="auto"/>
              <w:right w:val="single" w:sz="4" w:space="0" w:color="auto"/>
            </w:tcBorders>
            <w:hideMark/>
          </w:tcPr>
          <w:p w14:paraId="45C77CB5" w14:textId="77777777" w:rsidR="004B53F4" w:rsidRPr="00875513" w:rsidRDefault="004B53F4" w:rsidP="000E1278">
            <w:pPr>
              <w:rPr>
                <w:rFonts w:ascii="Arial" w:hAnsi="Arial" w:cs="Arial"/>
                <w:sz w:val="22"/>
                <w:szCs w:val="22"/>
              </w:rPr>
            </w:pPr>
            <w:r w:rsidRPr="00875513">
              <w:rPr>
                <w:rFonts w:ascii="Arial" w:hAnsi="Arial" w:cs="Arial"/>
                <w:sz w:val="22"/>
                <w:szCs w:val="22"/>
              </w:rPr>
              <w:t xml:space="preserve">Stručná definice: </w:t>
            </w:r>
          </w:p>
        </w:tc>
        <w:tc>
          <w:tcPr>
            <w:tcW w:w="6486" w:type="dxa"/>
            <w:tcBorders>
              <w:top w:val="single" w:sz="4" w:space="0" w:color="auto"/>
              <w:left w:val="single" w:sz="4" w:space="0" w:color="auto"/>
              <w:bottom w:val="single" w:sz="4" w:space="0" w:color="auto"/>
              <w:right w:val="single" w:sz="4" w:space="0" w:color="auto"/>
            </w:tcBorders>
          </w:tcPr>
          <w:p w14:paraId="1107F603" w14:textId="77777777" w:rsidR="00875513" w:rsidRPr="00875513" w:rsidRDefault="004B53F4" w:rsidP="00BE1309">
            <w:pPr>
              <w:jc w:val="both"/>
              <w:rPr>
                <w:rFonts w:ascii="Arial" w:hAnsi="Arial" w:cs="Arial"/>
                <w:b/>
                <w:sz w:val="22"/>
                <w:szCs w:val="22"/>
              </w:rPr>
            </w:pPr>
            <w:r w:rsidRPr="00875513">
              <w:rPr>
                <w:rFonts w:ascii="Arial" w:hAnsi="Arial" w:cs="Arial"/>
                <w:sz w:val="22"/>
                <w:szCs w:val="22"/>
              </w:rPr>
              <w:t>Míra zaměstnanosti žen, mužů, věkových skupin, osob se zdravotním postižením</w:t>
            </w:r>
            <w:r w:rsidR="00875513" w:rsidRPr="00875513">
              <w:rPr>
                <w:rFonts w:ascii="Arial" w:hAnsi="Arial" w:cs="Arial"/>
                <w:sz w:val="22"/>
                <w:szCs w:val="22"/>
              </w:rPr>
              <w:t xml:space="preserve"> </w:t>
            </w:r>
          </w:p>
        </w:tc>
      </w:tr>
      <w:tr w:rsidR="004B53F4" w14:paraId="1E74EAEA" w14:textId="77777777" w:rsidTr="000E1278">
        <w:tc>
          <w:tcPr>
            <w:tcW w:w="2802" w:type="dxa"/>
            <w:tcBorders>
              <w:top w:val="single" w:sz="4" w:space="0" w:color="auto"/>
              <w:left w:val="single" w:sz="4" w:space="0" w:color="auto"/>
              <w:bottom w:val="single" w:sz="4" w:space="0" w:color="auto"/>
              <w:right w:val="single" w:sz="4" w:space="0" w:color="auto"/>
            </w:tcBorders>
            <w:hideMark/>
          </w:tcPr>
          <w:p w14:paraId="2C741FF6" w14:textId="77777777" w:rsidR="004B53F4" w:rsidRPr="00875513" w:rsidRDefault="004B53F4" w:rsidP="000E1278">
            <w:pPr>
              <w:rPr>
                <w:rFonts w:ascii="Arial" w:hAnsi="Arial" w:cs="Arial"/>
                <w:sz w:val="22"/>
                <w:szCs w:val="22"/>
              </w:rPr>
            </w:pPr>
            <w:r w:rsidRPr="00875513">
              <w:rPr>
                <w:rFonts w:ascii="Arial" w:hAnsi="Arial" w:cs="Arial"/>
                <w:sz w:val="22"/>
                <w:szCs w:val="22"/>
              </w:rPr>
              <w:t>Jednotka:</w:t>
            </w:r>
          </w:p>
        </w:tc>
        <w:tc>
          <w:tcPr>
            <w:tcW w:w="6486" w:type="dxa"/>
            <w:tcBorders>
              <w:top w:val="single" w:sz="4" w:space="0" w:color="auto"/>
              <w:left w:val="single" w:sz="4" w:space="0" w:color="auto"/>
              <w:bottom w:val="single" w:sz="4" w:space="0" w:color="auto"/>
              <w:right w:val="single" w:sz="4" w:space="0" w:color="auto"/>
            </w:tcBorders>
          </w:tcPr>
          <w:p w14:paraId="7DFAED77" w14:textId="77777777" w:rsidR="004B53F4" w:rsidRPr="00875513" w:rsidRDefault="004B53F4" w:rsidP="00BE1309">
            <w:pPr>
              <w:jc w:val="both"/>
              <w:rPr>
                <w:rFonts w:ascii="Arial" w:hAnsi="Arial" w:cs="Arial"/>
                <w:sz w:val="22"/>
                <w:szCs w:val="22"/>
              </w:rPr>
            </w:pPr>
            <w:r w:rsidRPr="00875513">
              <w:rPr>
                <w:rFonts w:ascii="Arial" w:hAnsi="Arial" w:cs="Arial"/>
                <w:sz w:val="22"/>
                <w:szCs w:val="22"/>
              </w:rPr>
              <w:t>Podíl (v %), počet osob</w:t>
            </w:r>
          </w:p>
        </w:tc>
      </w:tr>
      <w:tr w:rsidR="004B53F4" w14:paraId="6736E23C" w14:textId="77777777" w:rsidTr="000E1278">
        <w:tc>
          <w:tcPr>
            <w:tcW w:w="2802" w:type="dxa"/>
            <w:tcBorders>
              <w:top w:val="single" w:sz="4" w:space="0" w:color="auto"/>
              <w:left w:val="single" w:sz="4" w:space="0" w:color="auto"/>
              <w:bottom w:val="single" w:sz="4" w:space="0" w:color="auto"/>
              <w:right w:val="single" w:sz="4" w:space="0" w:color="auto"/>
            </w:tcBorders>
            <w:hideMark/>
          </w:tcPr>
          <w:p w14:paraId="0664D014" w14:textId="77777777" w:rsidR="004B53F4" w:rsidRPr="00875513" w:rsidRDefault="004B53F4" w:rsidP="000E1278">
            <w:pPr>
              <w:rPr>
                <w:rFonts w:ascii="Arial" w:hAnsi="Arial" w:cs="Arial"/>
                <w:sz w:val="22"/>
                <w:szCs w:val="22"/>
              </w:rPr>
            </w:pPr>
            <w:r w:rsidRPr="00875513">
              <w:rPr>
                <w:rFonts w:ascii="Arial" w:hAnsi="Arial" w:cs="Arial"/>
                <w:sz w:val="22"/>
                <w:szCs w:val="22"/>
              </w:rPr>
              <w:lastRenderedPageBreak/>
              <w:t xml:space="preserve">Gestor: </w:t>
            </w:r>
          </w:p>
        </w:tc>
        <w:tc>
          <w:tcPr>
            <w:tcW w:w="6486" w:type="dxa"/>
            <w:tcBorders>
              <w:top w:val="single" w:sz="4" w:space="0" w:color="auto"/>
              <w:left w:val="single" w:sz="4" w:space="0" w:color="auto"/>
              <w:bottom w:val="single" w:sz="4" w:space="0" w:color="auto"/>
              <w:right w:val="single" w:sz="4" w:space="0" w:color="auto"/>
            </w:tcBorders>
          </w:tcPr>
          <w:p w14:paraId="648F442A" w14:textId="77777777" w:rsidR="004B53F4" w:rsidRPr="00875513" w:rsidRDefault="004B53F4" w:rsidP="00BE1309">
            <w:pPr>
              <w:jc w:val="both"/>
              <w:rPr>
                <w:rFonts w:ascii="Arial" w:hAnsi="Arial" w:cs="Arial"/>
                <w:sz w:val="22"/>
                <w:szCs w:val="22"/>
              </w:rPr>
            </w:pPr>
            <w:r w:rsidRPr="00875513">
              <w:rPr>
                <w:rFonts w:ascii="Arial" w:hAnsi="Arial" w:cs="Arial"/>
                <w:sz w:val="22"/>
                <w:szCs w:val="22"/>
                <w:lang w:eastAsia="en-US"/>
              </w:rPr>
              <w:t>Český statistický úřad</w:t>
            </w:r>
          </w:p>
        </w:tc>
      </w:tr>
      <w:tr w:rsidR="004B53F4" w14:paraId="61D439D3" w14:textId="77777777" w:rsidTr="000E1278">
        <w:tc>
          <w:tcPr>
            <w:tcW w:w="2802" w:type="dxa"/>
            <w:tcBorders>
              <w:top w:val="single" w:sz="4" w:space="0" w:color="auto"/>
              <w:left w:val="single" w:sz="4" w:space="0" w:color="auto"/>
              <w:bottom w:val="single" w:sz="4" w:space="0" w:color="auto"/>
              <w:right w:val="single" w:sz="4" w:space="0" w:color="auto"/>
            </w:tcBorders>
            <w:hideMark/>
          </w:tcPr>
          <w:p w14:paraId="3F9215FA" w14:textId="77777777" w:rsidR="004B53F4" w:rsidRPr="00875513" w:rsidRDefault="004B53F4" w:rsidP="000E1278">
            <w:pPr>
              <w:rPr>
                <w:rFonts w:ascii="Arial" w:hAnsi="Arial" w:cs="Arial"/>
                <w:sz w:val="22"/>
                <w:szCs w:val="22"/>
              </w:rPr>
            </w:pPr>
            <w:r w:rsidRPr="00875513">
              <w:rPr>
                <w:rFonts w:ascii="Arial" w:hAnsi="Arial" w:cs="Arial"/>
                <w:sz w:val="22"/>
                <w:szCs w:val="22"/>
              </w:rPr>
              <w:t xml:space="preserve">Význam indikátoru: </w:t>
            </w:r>
          </w:p>
        </w:tc>
        <w:tc>
          <w:tcPr>
            <w:tcW w:w="6486" w:type="dxa"/>
            <w:tcBorders>
              <w:top w:val="single" w:sz="4" w:space="0" w:color="auto"/>
              <w:left w:val="single" w:sz="4" w:space="0" w:color="auto"/>
              <w:bottom w:val="single" w:sz="4" w:space="0" w:color="auto"/>
              <w:right w:val="single" w:sz="4" w:space="0" w:color="auto"/>
            </w:tcBorders>
          </w:tcPr>
          <w:p w14:paraId="6261ED29" w14:textId="086DBBB3" w:rsidR="004B53F4" w:rsidRPr="00875513" w:rsidRDefault="004B53F4" w:rsidP="00BE1309">
            <w:pPr>
              <w:jc w:val="both"/>
              <w:rPr>
                <w:rFonts w:ascii="Arial" w:hAnsi="Arial" w:cs="Arial"/>
                <w:sz w:val="22"/>
                <w:szCs w:val="22"/>
              </w:rPr>
            </w:pPr>
            <w:r w:rsidRPr="00875513">
              <w:rPr>
                <w:rFonts w:ascii="Arial" w:hAnsi="Arial" w:cs="Arial"/>
                <w:sz w:val="22"/>
                <w:szCs w:val="22"/>
              </w:rPr>
              <w:t>Indikátor umožní zjistit odchylky v zaměstnanosti osob z výše uvedených skupin oproti průměrné zaměstnanosti celkové populace</w:t>
            </w:r>
            <w:r w:rsidR="00CD5590">
              <w:rPr>
                <w:rFonts w:ascii="Arial" w:hAnsi="Arial" w:cs="Arial"/>
                <w:sz w:val="22"/>
                <w:szCs w:val="22"/>
              </w:rPr>
              <w:t>.</w:t>
            </w:r>
          </w:p>
        </w:tc>
      </w:tr>
      <w:tr w:rsidR="004B53F4" w14:paraId="2E731E88" w14:textId="77777777" w:rsidTr="000E1278">
        <w:tc>
          <w:tcPr>
            <w:tcW w:w="2802" w:type="dxa"/>
            <w:tcBorders>
              <w:top w:val="single" w:sz="4" w:space="0" w:color="auto"/>
              <w:left w:val="single" w:sz="4" w:space="0" w:color="auto"/>
              <w:bottom w:val="single" w:sz="4" w:space="0" w:color="auto"/>
              <w:right w:val="single" w:sz="4" w:space="0" w:color="auto"/>
            </w:tcBorders>
            <w:hideMark/>
          </w:tcPr>
          <w:p w14:paraId="25BB3E21" w14:textId="77777777" w:rsidR="004B53F4" w:rsidRPr="00875513" w:rsidRDefault="004B53F4" w:rsidP="000E1278">
            <w:pPr>
              <w:rPr>
                <w:rFonts w:ascii="Arial" w:hAnsi="Arial" w:cs="Arial"/>
                <w:sz w:val="22"/>
                <w:szCs w:val="22"/>
              </w:rPr>
            </w:pPr>
            <w:r w:rsidRPr="00875513">
              <w:rPr>
                <w:rFonts w:ascii="Arial" w:hAnsi="Arial" w:cs="Arial"/>
                <w:sz w:val="22"/>
                <w:szCs w:val="22"/>
              </w:rPr>
              <w:t xml:space="preserve">Časová řada: </w:t>
            </w:r>
          </w:p>
        </w:tc>
        <w:tc>
          <w:tcPr>
            <w:tcW w:w="6486" w:type="dxa"/>
            <w:tcBorders>
              <w:top w:val="single" w:sz="4" w:space="0" w:color="auto"/>
              <w:left w:val="single" w:sz="4" w:space="0" w:color="auto"/>
              <w:bottom w:val="single" w:sz="4" w:space="0" w:color="auto"/>
              <w:right w:val="single" w:sz="4" w:space="0" w:color="auto"/>
            </w:tcBorders>
          </w:tcPr>
          <w:p w14:paraId="1B4B2FBD" w14:textId="45C6921E" w:rsidR="004B53F4" w:rsidRPr="00875513" w:rsidRDefault="00AC3D41" w:rsidP="00BE1309">
            <w:pPr>
              <w:jc w:val="both"/>
              <w:rPr>
                <w:rFonts w:ascii="Arial" w:hAnsi="Arial" w:cs="Arial"/>
                <w:sz w:val="22"/>
                <w:szCs w:val="22"/>
              </w:rPr>
            </w:pPr>
            <w:r>
              <w:rPr>
                <w:rFonts w:ascii="Arial" w:hAnsi="Arial" w:cs="Arial"/>
                <w:sz w:val="22"/>
                <w:szCs w:val="22"/>
              </w:rPr>
              <w:t>O</w:t>
            </w:r>
            <w:r w:rsidRPr="00AC3D41">
              <w:rPr>
                <w:rFonts w:ascii="Arial" w:hAnsi="Arial" w:cs="Arial"/>
                <w:sz w:val="22"/>
                <w:szCs w:val="22"/>
              </w:rPr>
              <w:t xml:space="preserve">d </w:t>
            </w:r>
            <w:r w:rsidR="006B0DDA">
              <w:rPr>
                <w:rFonts w:ascii="Arial" w:hAnsi="Arial" w:cs="Arial"/>
                <w:sz w:val="22"/>
                <w:szCs w:val="22"/>
              </w:rPr>
              <w:t xml:space="preserve">roku </w:t>
            </w:r>
            <w:r w:rsidRPr="00AC3D41">
              <w:rPr>
                <w:rFonts w:ascii="Arial" w:hAnsi="Arial" w:cs="Arial"/>
                <w:sz w:val="22"/>
                <w:szCs w:val="22"/>
              </w:rPr>
              <w:t>1993</w:t>
            </w:r>
          </w:p>
        </w:tc>
      </w:tr>
      <w:tr w:rsidR="004B53F4" w14:paraId="735F9FE1" w14:textId="77777777" w:rsidTr="000E1278">
        <w:tc>
          <w:tcPr>
            <w:tcW w:w="2802" w:type="dxa"/>
            <w:tcBorders>
              <w:top w:val="single" w:sz="4" w:space="0" w:color="auto"/>
              <w:left w:val="single" w:sz="4" w:space="0" w:color="auto"/>
              <w:bottom w:val="single" w:sz="4" w:space="0" w:color="auto"/>
              <w:right w:val="single" w:sz="4" w:space="0" w:color="auto"/>
            </w:tcBorders>
            <w:hideMark/>
          </w:tcPr>
          <w:p w14:paraId="11671C14" w14:textId="77777777" w:rsidR="004B53F4" w:rsidRPr="00875513" w:rsidRDefault="004B53F4" w:rsidP="000E1278">
            <w:pPr>
              <w:rPr>
                <w:rFonts w:ascii="Arial" w:hAnsi="Arial" w:cs="Arial"/>
                <w:sz w:val="22"/>
                <w:szCs w:val="22"/>
              </w:rPr>
            </w:pPr>
            <w:r w:rsidRPr="00875513">
              <w:rPr>
                <w:rFonts w:ascii="Arial" w:hAnsi="Arial" w:cs="Arial"/>
                <w:sz w:val="22"/>
                <w:szCs w:val="22"/>
              </w:rPr>
              <w:t xml:space="preserve">Frekvence výstupu: </w:t>
            </w:r>
          </w:p>
        </w:tc>
        <w:tc>
          <w:tcPr>
            <w:tcW w:w="6486" w:type="dxa"/>
            <w:tcBorders>
              <w:top w:val="single" w:sz="4" w:space="0" w:color="auto"/>
              <w:left w:val="single" w:sz="4" w:space="0" w:color="auto"/>
              <w:bottom w:val="single" w:sz="4" w:space="0" w:color="auto"/>
              <w:right w:val="single" w:sz="4" w:space="0" w:color="auto"/>
            </w:tcBorders>
          </w:tcPr>
          <w:p w14:paraId="3BACE87C" w14:textId="77777777" w:rsidR="004B53F4" w:rsidRPr="00875513" w:rsidRDefault="004B53F4" w:rsidP="00BE1309">
            <w:pPr>
              <w:jc w:val="both"/>
              <w:rPr>
                <w:rFonts w:ascii="Arial" w:hAnsi="Arial" w:cs="Arial"/>
                <w:sz w:val="22"/>
                <w:szCs w:val="22"/>
              </w:rPr>
            </w:pPr>
            <w:r w:rsidRPr="00875513">
              <w:rPr>
                <w:rFonts w:ascii="Arial" w:hAnsi="Arial" w:cs="Arial"/>
                <w:sz w:val="22"/>
                <w:szCs w:val="22"/>
              </w:rPr>
              <w:t>Ročně</w:t>
            </w:r>
          </w:p>
        </w:tc>
      </w:tr>
      <w:tr w:rsidR="004B53F4" w14:paraId="4A84D7A8" w14:textId="77777777" w:rsidTr="000E1278">
        <w:trPr>
          <w:trHeight w:val="70"/>
        </w:trPr>
        <w:tc>
          <w:tcPr>
            <w:tcW w:w="2802" w:type="dxa"/>
            <w:tcBorders>
              <w:top w:val="single" w:sz="4" w:space="0" w:color="auto"/>
              <w:left w:val="single" w:sz="4" w:space="0" w:color="auto"/>
              <w:bottom w:val="single" w:sz="4" w:space="0" w:color="auto"/>
              <w:right w:val="single" w:sz="4" w:space="0" w:color="auto"/>
            </w:tcBorders>
            <w:hideMark/>
          </w:tcPr>
          <w:p w14:paraId="36857BD7" w14:textId="77777777" w:rsidR="004B53F4" w:rsidRPr="00875513" w:rsidRDefault="004B53F4" w:rsidP="000E1278">
            <w:pPr>
              <w:rPr>
                <w:rFonts w:ascii="Arial" w:hAnsi="Arial" w:cs="Arial"/>
                <w:sz w:val="22"/>
                <w:szCs w:val="22"/>
              </w:rPr>
            </w:pPr>
            <w:r w:rsidRPr="00875513">
              <w:rPr>
                <w:rFonts w:ascii="Arial" w:hAnsi="Arial" w:cs="Arial"/>
                <w:sz w:val="22"/>
                <w:szCs w:val="22"/>
              </w:rPr>
              <w:t xml:space="preserve">Členění indikátoru: </w:t>
            </w:r>
          </w:p>
        </w:tc>
        <w:tc>
          <w:tcPr>
            <w:tcW w:w="6486" w:type="dxa"/>
            <w:tcBorders>
              <w:top w:val="single" w:sz="4" w:space="0" w:color="auto"/>
              <w:left w:val="single" w:sz="4" w:space="0" w:color="auto"/>
              <w:bottom w:val="single" w:sz="4" w:space="0" w:color="auto"/>
              <w:right w:val="single" w:sz="4" w:space="0" w:color="auto"/>
            </w:tcBorders>
          </w:tcPr>
          <w:p w14:paraId="39ECBFBF" w14:textId="77777777" w:rsidR="004B53F4" w:rsidRPr="00875513" w:rsidRDefault="004B53F4" w:rsidP="00BE1309">
            <w:pPr>
              <w:jc w:val="both"/>
              <w:rPr>
                <w:rFonts w:ascii="Arial" w:hAnsi="Arial" w:cs="Arial"/>
                <w:sz w:val="22"/>
                <w:szCs w:val="22"/>
              </w:rPr>
            </w:pPr>
            <w:r w:rsidRPr="00875513">
              <w:rPr>
                <w:rFonts w:ascii="Arial" w:hAnsi="Arial" w:cs="Arial"/>
                <w:sz w:val="22"/>
                <w:szCs w:val="22"/>
              </w:rPr>
              <w:t>Míra zaměstnanosti žen; míra zaměstnanosti mužů; míra zaměstnanosti osob se zdravotním postižením; míra zaměstnanosti podle věku</w:t>
            </w:r>
          </w:p>
        </w:tc>
      </w:tr>
      <w:tr w:rsidR="004B53F4" w14:paraId="0971BC5E" w14:textId="77777777" w:rsidTr="000E1278">
        <w:trPr>
          <w:trHeight w:val="70"/>
        </w:trPr>
        <w:tc>
          <w:tcPr>
            <w:tcW w:w="2802" w:type="dxa"/>
            <w:tcBorders>
              <w:top w:val="single" w:sz="4" w:space="0" w:color="auto"/>
              <w:left w:val="single" w:sz="4" w:space="0" w:color="auto"/>
              <w:bottom w:val="single" w:sz="4" w:space="0" w:color="auto"/>
              <w:right w:val="single" w:sz="4" w:space="0" w:color="auto"/>
            </w:tcBorders>
            <w:hideMark/>
          </w:tcPr>
          <w:p w14:paraId="655216A1" w14:textId="77777777" w:rsidR="004B53F4" w:rsidRPr="00875513" w:rsidRDefault="004B53F4" w:rsidP="00875513">
            <w:pPr>
              <w:rPr>
                <w:rFonts w:ascii="Arial" w:hAnsi="Arial" w:cs="Arial"/>
                <w:sz w:val="22"/>
                <w:szCs w:val="22"/>
              </w:rPr>
            </w:pPr>
            <w:r w:rsidRPr="00875513">
              <w:rPr>
                <w:rFonts w:ascii="Arial" w:hAnsi="Arial" w:cs="Arial"/>
                <w:sz w:val="22"/>
                <w:szCs w:val="22"/>
              </w:rPr>
              <w:t>Mezinárodní srovnání:</w:t>
            </w:r>
          </w:p>
        </w:tc>
        <w:tc>
          <w:tcPr>
            <w:tcW w:w="6486" w:type="dxa"/>
            <w:tcBorders>
              <w:top w:val="single" w:sz="4" w:space="0" w:color="auto"/>
              <w:left w:val="single" w:sz="4" w:space="0" w:color="auto"/>
              <w:bottom w:val="single" w:sz="4" w:space="0" w:color="auto"/>
              <w:right w:val="single" w:sz="4" w:space="0" w:color="auto"/>
            </w:tcBorders>
          </w:tcPr>
          <w:p w14:paraId="193B0D16" w14:textId="77777777" w:rsidR="004B53F4" w:rsidRPr="00875513" w:rsidRDefault="004B53F4" w:rsidP="00BE1309">
            <w:pPr>
              <w:jc w:val="both"/>
              <w:rPr>
                <w:rFonts w:ascii="Arial" w:hAnsi="Arial" w:cs="Arial"/>
                <w:sz w:val="22"/>
                <w:szCs w:val="22"/>
              </w:rPr>
            </w:pPr>
            <w:proofErr w:type="spellStart"/>
            <w:r w:rsidRPr="00875513">
              <w:rPr>
                <w:rFonts w:ascii="Arial" w:hAnsi="Arial" w:cs="Arial"/>
                <w:sz w:val="22"/>
                <w:szCs w:val="22"/>
              </w:rPr>
              <w:t>Eurostat</w:t>
            </w:r>
            <w:proofErr w:type="spellEnd"/>
          </w:p>
        </w:tc>
      </w:tr>
    </w:tbl>
    <w:p w14:paraId="0100F36E" w14:textId="77777777" w:rsidR="006B0DDA" w:rsidRDefault="006B0DDA" w:rsidP="006B0DDA">
      <w:pPr>
        <w:autoSpaceDE w:val="0"/>
        <w:autoSpaceDN w:val="0"/>
        <w:adjustRightInd w:val="0"/>
        <w:rPr>
          <w:rFonts w:ascii="Tms Rmn" w:eastAsiaTheme="minorHAnsi" w:hAnsi="Tms Rmn" w:cstheme="minorBidi"/>
          <w:lang w:eastAsia="en-US"/>
        </w:rPr>
      </w:pPr>
    </w:p>
    <w:tbl>
      <w:tblPr>
        <w:tblW w:w="0" w:type="auto"/>
        <w:tblLayout w:type="fixed"/>
        <w:tblLook w:val="00A0" w:firstRow="1" w:lastRow="0" w:firstColumn="1" w:lastColumn="0" w:noHBand="0" w:noVBand="0"/>
      </w:tblPr>
      <w:tblGrid>
        <w:gridCol w:w="2802"/>
        <w:gridCol w:w="6486"/>
      </w:tblGrid>
      <w:tr w:rsidR="006B0DDA" w14:paraId="38EE2376" w14:textId="77777777">
        <w:tc>
          <w:tcPr>
            <w:tcW w:w="2802" w:type="dxa"/>
            <w:tcBorders>
              <w:top w:val="single" w:sz="6" w:space="0" w:color="000000"/>
              <w:left w:val="single" w:sz="6" w:space="0" w:color="000000"/>
              <w:bottom w:val="single" w:sz="6" w:space="0" w:color="000000"/>
              <w:right w:val="single" w:sz="6" w:space="0" w:color="000000"/>
            </w:tcBorders>
          </w:tcPr>
          <w:p w14:paraId="1C876535" w14:textId="77777777" w:rsidR="006B0DDA" w:rsidRDefault="006B0DDA">
            <w:pPr>
              <w:autoSpaceDE w:val="0"/>
              <w:autoSpaceDN w:val="0"/>
              <w:adjustRightInd w:val="0"/>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Název a označení indikátoru: </w:t>
            </w:r>
          </w:p>
        </w:tc>
        <w:tc>
          <w:tcPr>
            <w:tcW w:w="6486" w:type="dxa"/>
            <w:tcBorders>
              <w:top w:val="single" w:sz="6" w:space="0" w:color="000000"/>
              <w:left w:val="single" w:sz="6" w:space="0" w:color="000000"/>
              <w:bottom w:val="single" w:sz="6" w:space="0" w:color="000000"/>
              <w:right w:val="single" w:sz="6" w:space="0" w:color="000000"/>
            </w:tcBorders>
          </w:tcPr>
          <w:p w14:paraId="1142561C" w14:textId="77777777" w:rsidR="006B0DDA" w:rsidRDefault="006B0DDA">
            <w:pPr>
              <w:autoSpaceDE w:val="0"/>
              <w:autoSpaceDN w:val="0"/>
              <w:adjustRightInd w:val="0"/>
              <w:rPr>
                <w:rFonts w:ascii="Arial" w:eastAsiaTheme="minorHAnsi" w:hAnsi="Arial" w:cs="Arial"/>
                <w:b/>
                <w:bCs/>
                <w:color w:val="000000"/>
                <w:sz w:val="22"/>
                <w:szCs w:val="22"/>
                <w:lang w:eastAsia="en-US"/>
              </w:rPr>
            </w:pPr>
            <w:r>
              <w:rPr>
                <w:rFonts w:ascii="Arial" w:eastAsiaTheme="minorHAnsi" w:hAnsi="Arial" w:cs="Arial"/>
                <w:b/>
                <w:bCs/>
                <w:color w:val="000000"/>
                <w:sz w:val="22"/>
                <w:szCs w:val="22"/>
                <w:lang w:eastAsia="en-US"/>
              </w:rPr>
              <w:t>3.4.2 Pocit diskriminace</w:t>
            </w:r>
          </w:p>
        </w:tc>
      </w:tr>
      <w:tr w:rsidR="006B0DDA" w14:paraId="603F6566" w14:textId="77777777">
        <w:tc>
          <w:tcPr>
            <w:tcW w:w="2802" w:type="dxa"/>
            <w:tcBorders>
              <w:top w:val="single" w:sz="6" w:space="0" w:color="000000"/>
              <w:left w:val="single" w:sz="6" w:space="0" w:color="000000"/>
              <w:bottom w:val="single" w:sz="6" w:space="0" w:color="000000"/>
              <w:right w:val="single" w:sz="6" w:space="0" w:color="000000"/>
            </w:tcBorders>
          </w:tcPr>
          <w:p w14:paraId="22D3394D" w14:textId="77777777" w:rsidR="006B0DDA" w:rsidRDefault="006B0DDA">
            <w:pPr>
              <w:autoSpaceDE w:val="0"/>
              <w:autoSpaceDN w:val="0"/>
              <w:adjustRightInd w:val="0"/>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Stručná definice: </w:t>
            </w:r>
          </w:p>
        </w:tc>
        <w:tc>
          <w:tcPr>
            <w:tcW w:w="6486" w:type="dxa"/>
            <w:tcBorders>
              <w:top w:val="single" w:sz="6" w:space="0" w:color="000000"/>
              <w:left w:val="single" w:sz="6" w:space="0" w:color="000000"/>
              <w:bottom w:val="single" w:sz="6" w:space="0" w:color="000000"/>
              <w:right w:val="single" w:sz="6" w:space="0" w:color="000000"/>
            </w:tcBorders>
          </w:tcPr>
          <w:p w14:paraId="1C4A0F73" w14:textId="77777777" w:rsidR="006B0DDA" w:rsidRDefault="006B0DDA" w:rsidP="0099602A">
            <w:pPr>
              <w:autoSpaceDE w:val="0"/>
              <w:autoSpaceDN w:val="0"/>
              <w:adjustRightInd w:val="0"/>
              <w:jc w:val="both"/>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Subjektivní pocit příslušnosti k diskriminované skupině</w:t>
            </w:r>
          </w:p>
        </w:tc>
      </w:tr>
      <w:tr w:rsidR="006B0DDA" w14:paraId="4E451776" w14:textId="77777777">
        <w:tc>
          <w:tcPr>
            <w:tcW w:w="2802" w:type="dxa"/>
            <w:tcBorders>
              <w:top w:val="single" w:sz="6" w:space="0" w:color="000000"/>
              <w:left w:val="single" w:sz="6" w:space="0" w:color="000000"/>
              <w:bottom w:val="single" w:sz="6" w:space="0" w:color="000000"/>
              <w:right w:val="single" w:sz="6" w:space="0" w:color="000000"/>
            </w:tcBorders>
          </w:tcPr>
          <w:p w14:paraId="7B21E3DA" w14:textId="77777777" w:rsidR="006B0DDA" w:rsidRDefault="006B0DDA">
            <w:pPr>
              <w:autoSpaceDE w:val="0"/>
              <w:autoSpaceDN w:val="0"/>
              <w:adjustRightInd w:val="0"/>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Jednotka:</w:t>
            </w:r>
          </w:p>
        </w:tc>
        <w:tc>
          <w:tcPr>
            <w:tcW w:w="6486" w:type="dxa"/>
            <w:tcBorders>
              <w:top w:val="single" w:sz="6" w:space="0" w:color="000000"/>
              <w:left w:val="single" w:sz="6" w:space="0" w:color="000000"/>
              <w:bottom w:val="single" w:sz="6" w:space="0" w:color="000000"/>
              <w:right w:val="single" w:sz="6" w:space="0" w:color="000000"/>
            </w:tcBorders>
          </w:tcPr>
          <w:p w14:paraId="5E2F0E51" w14:textId="77777777" w:rsidR="006B0DDA" w:rsidRDefault="006B0DDA" w:rsidP="0099602A">
            <w:pPr>
              <w:autoSpaceDE w:val="0"/>
              <w:autoSpaceDN w:val="0"/>
              <w:adjustRightInd w:val="0"/>
              <w:jc w:val="both"/>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Podíl (v %) </w:t>
            </w:r>
          </w:p>
        </w:tc>
      </w:tr>
      <w:tr w:rsidR="006B0DDA" w14:paraId="1E514749" w14:textId="77777777">
        <w:tc>
          <w:tcPr>
            <w:tcW w:w="2802" w:type="dxa"/>
            <w:tcBorders>
              <w:top w:val="single" w:sz="6" w:space="0" w:color="000000"/>
              <w:left w:val="single" w:sz="6" w:space="0" w:color="000000"/>
              <w:bottom w:val="single" w:sz="6" w:space="0" w:color="000000"/>
              <w:right w:val="single" w:sz="6" w:space="0" w:color="000000"/>
            </w:tcBorders>
          </w:tcPr>
          <w:p w14:paraId="4BA1E222" w14:textId="77777777" w:rsidR="006B0DDA" w:rsidRDefault="006B0DDA">
            <w:pPr>
              <w:autoSpaceDE w:val="0"/>
              <w:autoSpaceDN w:val="0"/>
              <w:adjustRightInd w:val="0"/>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Gestor: </w:t>
            </w:r>
          </w:p>
        </w:tc>
        <w:tc>
          <w:tcPr>
            <w:tcW w:w="6486" w:type="dxa"/>
            <w:tcBorders>
              <w:top w:val="single" w:sz="6" w:space="0" w:color="000000"/>
              <w:left w:val="single" w:sz="6" w:space="0" w:color="000000"/>
              <w:bottom w:val="single" w:sz="6" w:space="0" w:color="000000"/>
              <w:right w:val="single" w:sz="6" w:space="0" w:color="000000"/>
            </w:tcBorders>
          </w:tcPr>
          <w:p w14:paraId="1C6D0B25" w14:textId="77777777" w:rsidR="006B0DDA" w:rsidRDefault="006B0DDA" w:rsidP="0099602A">
            <w:pPr>
              <w:keepNext/>
              <w:keepLines/>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Sociologický ústav AV ČR, v. v. i.</w:t>
            </w:r>
          </w:p>
        </w:tc>
      </w:tr>
      <w:tr w:rsidR="006B0DDA" w14:paraId="0F17328A" w14:textId="77777777">
        <w:tc>
          <w:tcPr>
            <w:tcW w:w="2802" w:type="dxa"/>
            <w:tcBorders>
              <w:top w:val="single" w:sz="6" w:space="0" w:color="000000"/>
              <w:left w:val="single" w:sz="6" w:space="0" w:color="000000"/>
              <w:bottom w:val="single" w:sz="6" w:space="0" w:color="000000"/>
              <w:right w:val="single" w:sz="6" w:space="0" w:color="000000"/>
            </w:tcBorders>
          </w:tcPr>
          <w:p w14:paraId="2F2881E1" w14:textId="77777777" w:rsidR="006B0DDA" w:rsidRDefault="006B0DDA">
            <w:pPr>
              <w:autoSpaceDE w:val="0"/>
              <w:autoSpaceDN w:val="0"/>
              <w:adjustRightInd w:val="0"/>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Význam indikátoru: </w:t>
            </w:r>
          </w:p>
        </w:tc>
        <w:tc>
          <w:tcPr>
            <w:tcW w:w="6486" w:type="dxa"/>
            <w:tcBorders>
              <w:top w:val="single" w:sz="6" w:space="0" w:color="000000"/>
              <w:left w:val="single" w:sz="6" w:space="0" w:color="000000"/>
              <w:bottom w:val="single" w:sz="6" w:space="0" w:color="000000"/>
              <w:right w:val="single" w:sz="6" w:space="0" w:color="000000"/>
            </w:tcBorders>
          </w:tcPr>
          <w:p w14:paraId="400B5DB8" w14:textId="2D9F9F42" w:rsidR="006B0DDA" w:rsidRDefault="004A4A62" w:rsidP="0099602A">
            <w:pPr>
              <w:autoSpaceDE w:val="0"/>
              <w:autoSpaceDN w:val="0"/>
              <w:adjustRightInd w:val="0"/>
              <w:jc w:val="both"/>
              <w:rPr>
                <w:rFonts w:ascii="Arial" w:eastAsiaTheme="minorHAnsi" w:hAnsi="Arial" w:cs="Arial"/>
                <w:color w:val="000000"/>
                <w:sz w:val="22"/>
                <w:szCs w:val="22"/>
                <w:lang w:eastAsia="en-US"/>
              </w:rPr>
            </w:pPr>
            <w:r w:rsidRPr="00291FFC">
              <w:rPr>
                <w:rFonts w:ascii="Arial" w:eastAsiaTheme="minorHAnsi" w:hAnsi="Arial" w:cs="Arial"/>
                <w:color w:val="000000"/>
                <w:sz w:val="22"/>
                <w:szCs w:val="22"/>
                <w:lang w:eastAsia="en-US"/>
              </w:rPr>
              <w:t>Indikátor zachycuje podíl osob, které mají subjektivní pocit diskriminace na základě barvy pleti nebo rasy, národnosti, náboženství, jazyka, etnické skupiny, věku, pohlaví, sexuální orientace, zdravotnímu postižení a jiného důvodu</w:t>
            </w:r>
          </w:p>
        </w:tc>
      </w:tr>
      <w:tr w:rsidR="006B0DDA" w14:paraId="2C49D781" w14:textId="77777777">
        <w:tc>
          <w:tcPr>
            <w:tcW w:w="2802" w:type="dxa"/>
            <w:tcBorders>
              <w:top w:val="single" w:sz="6" w:space="0" w:color="000000"/>
              <w:left w:val="single" w:sz="6" w:space="0" w:color="000000"/>
              <w:bottom w:val="single" w:sz="6" w:space="0" w:color="000000"/>
              <w:right w:val="single" w:sz="6" w:space="0" w:color="000000"/>
            </w:tcBorders>
          </w:tcPr>
          <w:p w14:paraId="07FA91AE" w14:textId="77777777" w:rsidR="006B0DDA" w:rsidRDefault="006B0DDA">
            <w:pPr>
              <w:autoSpaceDE w:val="0"/>
              <w:autoSpaceDN w:val="0"/>
              <w:adjustRightInd w:val="0"/>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Časová řada: </w:t>
            </w:r>
          </w:p>
        </w:tc>
        <w:tc>
          <w:tcPr>
            <w:tcW w:w="6486" w:type="dxa"/>
            <w:tcBorders>
              <w:top w:val="single" w:sz="6" w:space="0" w:color="000000"/>
              <w:left w:val="single" w:sz="6" w:space="0" w:color="000000"/>
              <w:bottom w:val="single" w:sz="6" w:space="0" w:color="000000"/>
              <w:right w:val="single" w:sz="6" w:space="0" w:color="000000"/>
            </w:tcBorders>
          </w:tcPr>
          <w:p w14:paraId="32B386DF" w14:textId="77777777" w:rsidR="006B0DDA" w:rsidRDefault="006B0DDA" w:rsidP="0099602A">
            <w:pPr>
              <w:autoSpaceDE w:val="0"/>
              <w:autoSpaceDN w:val="0"/>
              <w:adjustRightInd w:val="0"/>
              <w:jc w:val="both"/>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Od roku 2002</w:t>
            </w:r>
          </w:p>
        </w:tc>
      </w:tr>
      <w:tr w:rsidR="006B0DDA" w14:paraId="2738EFDA" w14:textId="77777777">
        <w:tc>
          <w:tcPr>
            <w:tcW w:w="2802" w:type="dxa"/>
            <w:tcBorders>
              <w:top w:val="single" w:sz="6" w:space="0" w:color="000000"/>
              <w:left w:val="single" w:sz="6" w:space="0" w:color="000000"/>
              <w:bottom w:val="single" w:sz="6" w:space="0" w:color="000000"/>
              <w:right w:val="single" w:sz="6" w:space="0" w:color="000000"/>
            </w:tcBorders>
          </w:tcPr>
          <w:p w14:paraId="27DD3613" w14:textId="77777777" w:rsidR="006B0DDA" w:rsidRDefault="006B0DDA">
            <w:pPr>
              <w:autoSpaceDE w:val="0"/>
              <w:autoSpaceDN w:val="0"/>
              <w:adjustRightInd w:val="0"/>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Frekvence výstupu: </w:t>
            </w:r>
          </w:p>
        </w:tc>
        <w:tc>
          <w:tcPr>
            <w:tcW w:w="6486" w:type="dxa"/>
            <w:tcBorders>
              <w:top w:val="single" w:sz="6" w:space="0" w:color="000000"/>
              <w:left w:val="single" w:sz="6" w:space="0" w:color="000000"/>
              <w:bottom w:val="single" w:sz="6" w:space="0" w:color="000000"/>
              <w:right w:val="single" w:sz="6" w:space="0" w:color="000000"/>
            </w:tcBorders>
          </w:tcPr>
          <w:p w14:paraId="6C7031F2" w14:textId="77777777" w:rsidR="006B0DDA" w:rsidRDefault="006B0DDA" w:rsidP="0099602A">
            <w:pPr>
              <w:autoSpaceDE w:val="0"/>
              <w:autoSpaceDN w:val="0"/>
              <w:adjustRightInd w:val="0"/>
              <w:jc w:val="both"/>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Jednou za dva roky</w:t>
            </w:r>
          </w:p>
        </w:tc>
      </w:tr>
      <w:tr w:rsidR="006B0DDA" w14:paraId="694F510C" w14:textId="77777777">
        <w:tc>
          <w:tcPr>
            <w:tcW w:w="2802" w:type="dxa"/>
            <w:tcBorders>
              <w:top w:val="single" w:sz="6" w:space="0" w:color="000000"/>
              <w:left w:val="single" w:sz="6" w:space="0" w:color="000000"/>
              <w:bottom w:val="single" w:sz="6" w:space="0" w:color="000000"/>
              <w:right w:val="single" w:sz="6" w:space="0" w:color="000000"/>
            </w:tcBorders>
          </w:tcPr>
          <w:p w14:paraId="4E563711" w14:textId="77777777" w:rsidR="006B0DDA" w:rsidRDefault="006B0DDA">
            <w:pPr>
              <w:autoSpaceDE w:val="0"/>
              <w:autoSpaceDN w:val="0"/>
              <w:adjustRightInd w:val="0"/>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Členění indikátoru: </w:t>
            </w:r>
          </w:p>
        </w:tc>
        <w:tc>
          <w:tcPr>
            <w:tcW w:w="6486" w:type="dxa"/>
            <w:tcBorders>
              <w:top w:val="single" w:sz="6" w:space="0" w:color="000000"/>
              <w:left w:val="single" w:sz="6" w:space="0" w:color="000000"/>
              <w:bottom w:val="single" w:sz="6" w:space="0" w:color="000000"/>
              <w:right w:val="single" w:sz="6" w:space="0" w:color="000000"/>
            </w:tcBorders>
          </w:tcPr>
          <w:p w14:paraId="5C8B5BD8" w14:textId="1A0653B6" w:rsidR="006B0DDA" w:rsidRDefault="004A4A62" w:rsidP="0099602A">
            <w:pPr>
              <w:autoSpaceDE w:val="0"/>
              <w:autoSpaceDN w:val="0"/>
              <w:adjustRightInd w:val="0"/>
              <w:jc w:val="both"/>
              <w:rPr>
                <w:rFonts w:ascii="Arial" w:eastAsiaTheme="minorHAnsi" w:hAnsi="Arial" w:cs="Arial"/>
                <w:color w:val="000000"/>
                <w:sz w:val="22"/>
                <w:szCs w:val="22"/>
                <w:lang w:eastAsia="en-US"/>
              </w:rPr>
            </w:pPr>
            <w:r w:rsidRPr="00291FFC">
              <w:rPr>
                <w:rFonts w:ascii="Arial" w:eastAsiaTheme="minorHAnsi" w:hAnsi="Arial" w:cs="Arial"/>
                <w:color w:val="000000"/>
                <w:sz w:val="22"/>
                <w:szCs w:val="22"/>
                <w:lang w:eastAsia="en-US"/>
              </w:rPr>
              <w:t>Dle barvy pleti nebo rasy, národnosti, náboženství, jazyka, etnické skupiny, věku, pohlaví, sexuální orientace, zdravotnímu postižení a jiného důvodu.</w:t>
            </w:r>
          </w:p>
        </w:tc>
      </w:tr>
      <w:tr w:rsidR="006B0DDA" w14:paraId="7B4D1280" w14:textId="77777777">
        <w:tc>
          <w:tcPr>
            <w:tcW w:w="2802" w:type="dxa"/>
            <w:tcBorders>
              <w:top w:val="single" w:sz="6" w:space="0" w:color="000000"/>
              <w:left w:val="single" w:sz="6" w:space="0" w:color="000000"/>
              <w:bottom w:val="single" w:sz="6" w:space="0" w:color="000000"/>
              <w:right w:val="single" w:sz="6" w:space="0" w:color="000000"/>
            </w:tcBorders>
          </w:tcPr>
          <w:p w14:paraId="22E52290" w14:textId="77777777" w:rsidR="006B0DDA" w:rsidRDefault="006B0DDA">
            <w:pPr>
              <w:autoSpaceDE w:val="0"/>
              <w:autoSpaceDN w:val="0"/>
              <w:adjustRightInd w:val="0"/>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Mezinárodní srovnání:</w:t>
            </w:r>
          </w:p>
        </w:tc>
        <w:tc>
          <w:tcPr>
            <w:tcW w:w="6486" w:type="dxa"/>
            <w:tcBorders>
              <w:top w:val="single" w:sz="6" w:space="0" w:color="000000"/>
              <w:left w:val="single" w:sz="6" w:space="0" w:color="000000"/>
              <w:bottom w:val="single" w:sz="6" w:space="0" w:color="000000"/>
              <w:right w:val="single" w:sz="6" w:space="0" w:color="000000"/>
            </w:tcBorders>
          </w:tcPr>
          <w:p w14:paraId="4B6BA2B0" w14:textId="77777777" w:rsidR="006B0DDA" w:rsidRDefault="006B0DDA" w:rsidP="0099602A">
            <w:pPr>
              <w:autoSpaceDE w:val="0"/>
              <w:autoSpaceDN w:val="0"/>
              <w:adjustRightInd w:val="0"/>
              <w:jc w:val="both"/>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V rámci šetření </w:t>
            </w:r>
            <w:proofErr w:type="spellStart"/>
            <w:r>
              <w:rPr>
                <w:rFonts w:ascii="Arial" w:eastAsiaTheme="minorHAnsi" w:hAnsi="Arial" w:cs="Arial"/>
                <w:color w:val="000000"/>
                <w:sz w:val="22"/>
                <w:szCs w:val="22"/>
                <w:lang w:eastAsia="en-US"/>
              </w:rPr>
              <w:t>European</w:t>
            </w:r>
            <w:proofErr w:type="spellEnd"/>
            <w:r>
              <w:rPr>
                <w:rFonts w:ascii="Arial" w:eastAsiaTheme="minorHAnsi" w:hAnsi="Arial" w:cs="Arial"/>
                <w:color w:val="000000"/>
                <w:sz w:val="22"/>
                <w:szCs w:val="22"/>
                <w:lang w:eastAsia="en-US"/>
              </w:rPr>
              <w:t xml:space="preserve"> </w:t>
            </w:r>
            <w:proofErr w:type="spellStart"/>
            <w:r>
              <w:rPr>
                <w:rFonts w:ascii="Arial" w:eastAsiaTheme="minorHAnsi" w:hAnsi="Arial" w:cs="Arial"/>
                <w:color w:val="000000"/>
                <w:sz w:val="22"/>
                <w:szCs w:val="22"/>
                <w:lang w:eastAsia="en-US"/>
              </w:rPr>
              <w:t>Social</w:t>
            </w:r>
            <w:proofErr w:type="spellEnd"/>
            <w:r>
              <w:rPr>
                <w:rFonts w:ascii="Arial" w:eastAsiaTheme="minorHAnsi" w:hAnsi="Arial" w:cs="Arial"/>
                <w:color w:val="000000"/>
                <w:sz w:val="22"/>
                <w:szCs w:val="22"/>
                <w:lang w:eastAsia="en-US"/>
              </w:rPr>
              <w:t xml:space="preserve"> </w:t>
            </w:r>
            <w:proofErr w:type="spellStart"/>
            <w:r>
              <w:rPr>
                <w:rFonts w:ascii="Arial" w:eastAsiaTheme="minorHAnsi" w:hAnsi="Arial" w:cs="Arial"/>
                <w:color w:val="000000"/>
                <w:sz w:val="22"/>
                <w:szCs w:val="22"/>
                <w:lang w:eastAsia="en-US"/>
              </w:rPr>
              <w:t>Survey</w:t>
            </w:r>
            <w:proofErr w:type="spellEnd"/>
          </w:p>
        </w:tc>
      </w:tr>
    </w:tbl>
    <w:p w14:paraId="29BD50A4" w14:textId="77777777" w:rsidR="00E86883" w:rsidRDefault="003D4671" w:rsidP="00ED673D">
      <w:pPr>
        <w:pStyle w:val="r2030cle"/>
        <w:numPr>
          <w:ilvl w:val="0"/>
          <w:numId w:val="17"/>
        </w:numPr>
        <w:ind w:left="567" w:hanging="425"/>
        <w:jc w:val="both"/>
      </w:pPr>
      <w:r w:rsidRPr="003D4671">
        <w:t xml:space="preserve">Vzdělávání rozvíjí individuální potenciál jedinců a jejich schopnost zvládat a ovlivňovat změny a podporuje soudržnou společnost orientovanou na udržitelný rozvoj. </w:t>
      </w:r>
    </w:p>
    <w:p w14:paraId="5ECB5D92" w14:textId="43E993A0" w:rsidR="00E86883" w:rsidRPr="00E86883" w:rsidRDefault="003D4671" w:rsidP="00ED673D">
      <w:pPr>
        <w:pStyle w:val="r2030podcle"/>
        <w:numPr>
          <w:ilvl w:val="1"/>
          <w:numId w:val="17"/>
        </w:numPr>
        <w:ind w:left="567" w:hanging="425"/>
        <w:jc w:val="both"/>
        <w:rPr>
          <w:rFonts w:eastAsiaTheme="minorHAnsi"/>
          <w:lang w:eastAsia="en-US"/>
        </w:rPr>
      </w:pPr>
      <w:r w:rsidRPr="00D13386">
        <w:t xml:space="preserve">Vzdělávací systém je inkluzivní a vzájemně prostupný, neselektuje žáky </w:t>
      </w:r>
      <w:r w:rsidR="00DF31F8">
        <w:t xml:space="preserve">a žákyně </w:t>
      </w:r>
      <w:r w:rsidRPr="00D13386">
        <w:t xml:space="preserve">v útlém věku na talentované a netalentované a omezuje </w:t>
      </w:r>
      <w:r w:rsidR="00DF31F8" w:rsidRPr="00DF31F8">
        <w:t>závislost vzdělávacích drah a výsledků na jej</w:t>
      </w:r>
      <w:r w:rsidR="00DF31F8">
        <w:t>ich socioekonomickém zázemí</w:t>
      </w:r>
      <w:r w:rsidRPr="00D13386">
        <w:t>.</w:t>
      </w:r>
      <w:r w:rsidRPr="003D4671">
        <w:t xml:space="preserve"> </w:t>
      </w:r>
    </w:p>
    <w:tbl>
      <w:tblPr>
        <w:tblStyle w:val="Mkatabulky"/>
        <w:tblW w:w="0" w:type="auto"/>
        <w:tblLook w:val="04A0" w:firstRow="1" w:lastRow="0" w:firstColumn="1" w:lastColumn="0" w:noHBand="0" w:noVBand="1"/>
      </w:tblPr>
      <w:tblGrid>
        <w:gridCol w:w="2802"/>
        <w:gridCol w:w="6486"/>
      </w:tblGrid>
      <w:tr w:rsidR="00E86883" w:rsidRPr="00E86883" w14:paraId="13A22084" w14:textId="77777777" w:rsidTr="008D14FE">
        <w:tc>
          <w:tcPr>
            <w:tcW w:w="2802" w:type="dxa"/>
          </w:tcPr>
          <w:p w14:paraId="3AD19A82"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Název a označení indikátoru: </w:t>
            </w:r>
          </w:p>
        </w:tc>
        <w:tc>
          <w:tcPr>
            <w:tcW w:w="6486" w:type="dxa"/>
          </w:tcPr>
          <w:p w14:paraId="1621395B" w14:textId="77777777" w:rsidR="00E86883" w:rsidRPr="00E86883" w:rsidRDefault="00E86883" w:rsidP="00C51B65">
            <w:pPr>
              <w:spacing w:line="276" w:lineRule="auto"/>
              <w:contextualSpacing/>
              <w:rPr>
                <w:rFonts w:ascii="Arial" w:hAnsi="Arial" w:cs="Arial"/>
                <w:b/>
                <w:sz w:val="22"/>
                <w:szCs w:val="22"/>
              </w:rPr>
            </w:pPr>
            <w:r w:rsidRPr="00E86883">
              <w:rPr>
                <w:rFonts w:ascii="Arial" w:eastAsia="Calibri" w:hAnsi="Arial" w:cs="Arial"/>
                <w:b/>
                <w:sz w:val="22"/>
                <w:szCs w:val="22"/>
              </w:rPr>
              <w:t>4.1.1 Podíly studentů dle jednotlivých vzdělávacích drah</w:t>
            </w:r>
          </w:p>
        </w:tc>
      </w:tr>
      <w:tr w:rsidR="00E86883" w:rsidRPr="00E86883" w14:paraId="5ABD360D" w14:textId="77777777" w:rsidTr="008D14FE">
        <w:tc>
          <w:tcPr>
            <w:tcW w:w="2802" w:type="dxa"/>
          </w:tcPr>
          <w:p w14:paraId="4DC6343B"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Stručná definice: </w:t>
            </w:r>
          </w:p>
        </w:tc>
        <w:tc>
          <w:tcPr>
            <w:tcW w:w="6486" w:type="dxa"/>
          </w:tcPr>
          <w:p w14:paraId="47CE91D3" w14:textId="77777777" w:rsidR="00E86883" w:rsidRPr="00E86883" w:rsidRDefault="00E86883" w:rsidP="0099602A">
            <w:pPr>
              <w:spacing w:line="276" w:lineRule="auto"/>
              <w:jc w:val="both"/>
              <w:rPr>
                <w:rFonts w:ascii="Arial" w:hAnsi="Arial" w:cs="Arial"/>
                <w:sz w:val="22"/>
                <w:szCs w:val="22"/>
              </w:rPr>
            </w:pPr>
            <w:r w:rsidRPr="00E86883">
              <w:rPr>
                <w:rFonts w:ascii="Arial" w:hAnsi="Arial" w:cs="Arial"/>
                <w:sz w:val="22"/>
                <w:szCs w:val="22"/>
              </w:rPr>
              <w:t>Podíl žáků v jednotlivých vzdělávacích drahách na celkovém počtu žáků na dané vzdělávací úrovni.</w:t>
            </w:r>
          </w:p>
        </w:tc>
      </w:tr>
      <w:tr w:rsidR="00E86883" w:rsidRPr="00E86883" w14:paraId="08E4A3E0" w14:textId="77777777" w:rsidTr="008D14FE">
        <w:tc>
          <w:tcPr>
            <w:tcW w:w="2802" w:type="dxa"/>
          </w:tcPr>
          <w:p w14:paraId="27CF67DE"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Jednotka:</w:t>
            </w:r>
          </w:p>
        </w:tc>
        <w:tc>
          <w:tcPr>
            <w:tcW w:w="6486" w:type="dxa"/>
          </w:tcPr>
          <w:p w14:paraId="5AD06CA4" w14:textId="77777777" w:rsidR="00E86883" w:rsidRPr="00E86883" w:rsidRDefault="00E86883" w:rsidP="0099602A">
            <w:pPr>
              <w:spacing w:line="276" w:lineRule="auto"/>
              <w:jc w:val="both"/>
              <w:rPr>
                <w:rFonts w:ascii="Arial" w:hAnsi="Arial" w:cs="Arial"/>
                <w:sz w:val="22"/>
                <w:szCs w:val="22"/>
              </w:rPr>
            </w:pPr>
            <w:r w:rsidRPr="00E86883">
              <w:rPr>
                <w:rFonts w:ascii="Arial" w:hAnsi="Arial" w:cs="Arial"/>
                <w:sz w:val="22"/>
                <w:szCs w:val="22"/>
              </w:rPr>
              <w:t>Podíl (v %)</w:t>
            </w:r>
          </w:p>
        </w:tc>
      </w:tr>
      <w:tr w:rsidR="00E86883" w:rsidRPr="00E86883" w14:paraId="5A21F3AF" w14:textId="77777777" w:rsidTr="008D14FE">
        <w:tc>
          <w:tcPr>
            <w:tcW w:w="2802" w:type="dxa"/>
          </w:tcPr>
          <w:p w14:paraId="466F891D"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Gestor: </w:t>
            </w:r>
          </w:p>
        </w:tc>
        <w:tc>
          <w:tcPr>
            <w:tcW w:w="6486" w:type="dxa"/>
          </w:tcPr>
          <w:p w14:paraId="3FEBF4FA" w14:textId="77777777" w:rsidR="00E86883" w:rsidRPr="00E86883" w:rsidRDefault="00E86883" w:rsidP="0099602A">
            <w:pPr>
              <w:spacing w:line="276" w:lineRule="auto"/>
              <w:jc w:val="both"/>
              <w:rPr>
                <w:rFonts w:ascii="Arial" w:hAnsi="Arial" w:cs="Arial"/>
                <w:sz w:val="22"/>
                <w:szCs w:val="22"/>
              </w:rPr>
            </w:pPr>
            <w:r w:rsidRPr="00E86883">
              <w:rPr>
                <w:rFonts w:ascii="Arial" w:hAnsi="Arial" w:cs="Arial"/>
                <w:sz w:val="22"/>
                <w:szCs w:val="22"/>
              </w:rPr>
              <w:t>Ministerstvo školství, mládeže a tělovýchovy</w:t>
            </w:r>
          </w:p>
        </w:tc>
      </w:tr>
      <w:tr w:rsidR="00E86883" w:rsidRPr="00E86883" w14:paraId="0865F845" w14:textId="77777777" w:rsidTr="008D14FE">
        <w:tc>
          <w:tcPr>
            <w:tcW w:w="2802" w:type="dxa"/>
            <w:shd w:val="clear" w:color="auto" w:fill="auto"/>
          </w:tcPr>
          <w:p w14:paraId="638E6ABF"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Význam indikátoru: </w:t>
            </w:r>
          </w:p>
        </w:tc>
        <w:tc>
          <w:tcPr>
            <w:tcW w:w="6486" w:type="dxa"/>
          </w:tcPr>
          <w:p w14:paraId="69A209FC" w14:textId="77777777" w:rsidR="00E86883" w:rsidRPr="00E86883" w:rsidRDefault="00E86883" w:rsidP="0099602A">
            <w:pPr>
              <w:spacing w:line="276" w:lineRule="auto"/>
              <w:jc w:val="both"/>
              <w:rPr>
                <w:rFonts w:ascii="Arial" w:hAnsi="Arial" w:cs="Arial"/>
                <w:sz w:val="22"/>
                <w:szCs w:val="22"/>
              </w:rPr>
            </w:pPr>
            <w:r w:rsidRPr="00E86883">
              <w:rPr>
                <w:rFonts w:ascii="Arial" w:hAnsi="Arial" w:cs="Arial"/>
                <w:sz w:val="22"/>
                <w:szCs w:val="22"/>
              </w:rPr>
              <w:t>Indikátor mapuje rozložení studentů podle druhu vzdělávací dráhy na jednotlivých vzdělávacích úrovních (úroveň povinné školní docházky, včetně odpovídajících ročníků víceletých gymnázií a konzervatoří; středoškolská úroveň, včetně odpovídajících ročníků víceletých gymnázií a konzervatoří). Příliš brzká selekce žáků může mít negativní dopady na jejich vzdělávací výsledky.</w:t>
            </w:r>
          </w:p>
        </w:tc>
      </w:tr>
      <w:tr w:rsidR="00E86883" w:rsidRPr="00E86883" w14:paraId="17AC7ABF" w14:textId="77777777" w:rsidTr="008D14FE">
        <w:tc>
          <w:tcPr>
            <w:tcW w:w="2802" w:type="dxa"/>
          </w:tcPr>
          <w:p w14:paraId="4AF21BE0"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lastRenderedPageBreak/>
              <w:t xml:space="preserve">Časová řada: </w:t>
            </w:r>
          </w:p>
        </w:tc>
        <w:tc>
          <w:tcPr>
            <w:tcW w:w="6486" w:type="dxa"/>
          </w:tcPr>
          <w:p w14:paraId="45242BAE" w14:textId="77777777" w:rsidR="00E86883" w:rsidRPr="00E86883" w:rsidRDefault="00E86883" w:rsidP="0099602A">
            <w:pPr>
              <w:spacing w:line="276" w:lineRule="auto"/>
              <w:jc w:val="both"/>
              <w:rPr>
                <w:rFonts w:ascii="Arial" w:hAnsi="Arial" w:cs="Arial"/>
                <w:sz w:val="22"/>
                <w:szCs w:val="22"/>
              </w:rPr>
            </w:pPr>
            <w:r w:rsidRPr="00E86883">
              <w:rPr>
                <w:rFonts w:ascii="Arial" w:hAnsi="Arial" w:cs="Arial"/>
                <w:sz w:val="22"/>
                <w:szCs w:val="22"/>
              </w:rPr>
              <w:t>2005</w:t>
            </w:r>
            <w:r w:rsidR="00BA0402">
              <w:rPr>
                <w:rFonts w:ascii="Arial" w:hAnsi="Arial" w:cs="Arial"/>
                <w:sz w:val="22"/>
                <w:szCs w:val="22"/>
              </w:rPr>
              <w:t xml:space="preserve"> </w:t>
            </w:r>
            <w:r w:rsidRPr="00E86883">
              <w:rPr>
                <w:rFonts w:ascii="Arial" w:hAnsi="Arial" w:cs="Arial"/>
                <w:sz w:val="22"/>
                <w:szCs w:val="22"/>
              </w:rPr>
              <w:t>–</w:t>
            </w:r>
            <w:r w:rsidR="00BA0402">
              <w:rPr>
                <w:rFonts w:ascii="Arial" w:hAnsi="Arial" w:cs="Arial"/>
                <w:sz w:val="22"/>
                <w:szCs w:val="22"/>
              </w:rPr>
              <w:t xml:space="preserve"> </w:t>
            </w:r>
            <w:r w:rsidRPr="00E86883">
              <w:rPr>
                <w:rFonts w:ascii="Arial" w:hAnsi="Arial" w:cs="Arial"/>
                <w:sz w:val="22"/>
                <w:szCs w:val="22"/>
              </w:rPr>
              <w:t>2015</w:t>
            </w:r>
          </w:p>
        </w:tc>
      </w:tr>
      <w:tr w:rsidR="00E86883" w:rsidRPr="00E86883" w14:paraId="2AD0C104" w14:textId="77777777" w:rsidTr="008D14FE">
        <w:tc>
          <w:tcPr>
            <w:tcW w:w="2802" w:type="dxa"/>
          </w:tcPr>
          <w:p w14:paraId="4EED9E45"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Frekvence výstupu: </w:t>
            </w:r>
          </w:p>
        </w:tc>
        <w:tc>
          <w:tcPr>
            <w:tcW w:w="6486" w:type="dxa"/>
          </w:tcPr>
          <w:p w14:paraId="0CDD8F57" w14:textId="77777777" w:rsidR="00E86883" w:rsidRPr="00E86883" w:rsidRDefault="00E86883" w:rsidP="0099602A">
            <w:pPr>
              <w:spacing w:line="276" w:lineRule="auto"/>
              <w:jc w:val="both"/>
              <w:rPr>
                <w:rFonts w:ascii="Arial" w:hAnsi="Arial" w:cs="Arial"/>
                <w:sz w:val="22"/>
                <w:szCs w:val="22"/>
              </w:rPr>
            </w:pPr>
            <w:r w:rsidRPr="00E86883">
              <w:rPr>
                <w:rFonts w:ascii="Arial" w:hAnsi="Arial" w:cs="Arial"/>
                <w:sz w:val="22"/>
                <w:szCs w:val="22"/>
              </w:rPr>
              <w:t>Ročně</w:t>
            </w:r>
          </w:p>
        </w:tc>
      </w:tr>
      <w:tr w:rsidR="00E86883" w:rsidRPr="00E86883" w14:paraId="3C7EE1D6" w14:textId="77777777" w:rsidTr="008D14FE">
        <w:trPr>
          <w:trHeight w:val="70"/>
        </w:trPr>
        <w:tc>
          <w:tcPr>
            <w:tcW w:w="2802" w:type="dxa"/>
          </w:tcPr>
          <w:p w14:paraId="25898A13"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Členění indikátoru: </w:t>
            </w:r>
          </w:p>
        </w:tc>
        <w:tc>
          <w:tcPr>
            <w:tcW w:w="6486" w:type="dxa"/>
          </w:tcPr>
          <w:p w14:paraId="2882C9A7" w14:textId="4C14705F" w:rsidR="00E86883" w:rsidRPr="00E86883" w:rsidRDefault="00CD5590" w:rsidP="0099602A">
            <w:pPr>
              <w:spacing w:line="276" w:lineRule="auto"/>
              <w:jc w:val="both"/>
              <w:rPr>
                <w:rFonts w:ascii="Arial" w:hAnsi="Arial" w:cs="Arial"/>
                <w:sz w:val="22"/>
                <w:szCs w:val="22"/>
              </w:rPr>
            </w:pPr>
            <w:r>
              <w:rPr>
                <w:rFonts w:ascii="Arial" w:hAnsi="Arial" w:cs="Arial"/>
                <w:sz w:val="22"/>
                <w:szCs w:val="22"/>
              </w:rPr>
              <w:t>Dle krajů</w:t>
            </w:r>
            <w:r w:rsidR="00E86883" w:rsidRPr="00E86883">
              <w:rPr>
                <w:rFonts w:ascii="Arial" w:hAnsi="Arial" w:cs="Arial"/>
                <w:sz w:val="22"/>
                <w:szCs w:val="22"/>
              </w:rPr>
              <w:t>, pohlaví</w:t>
            </w:r>
          </w:p>
        </w:tc>
      </w:tr>
      <w:tr w:rsidR="00E86883" w:rsidRPr="00E86883" w14:paraId="487FED34" w14:textId="77777777" w:rsidTr="008D14FE">
        <w:trPr>
          <w:trHeight w:val="70"/>
        </w:trPr>
        <w:tc>
          <w:tcPr>
            <w:tcW w:w="2802" w:type="dxa"/>
          </w:tcPr>
          <w:p w14:paraId="6AAAA43C" w14:textId="77777777" w:rsidR="00E86883" w:rsidRPr="00DC29DF" w:rsidRDefault="00E86883" w:rsidP="00C51B65">
            <w:pPr>
              <w:spacing w:line="276" w:lineRule="auto"/>
              <w:rPr>
                <w:rFonts w:ascii="Arial" w:hAnsi="Arial" w:cs="Arial"/>
                <w:sz w:val="22"/>
                <w:szCs w:val="22"/>
              </w:rPr>
            </w:pPr>
            <w:r w:rsidRPr="00DC29DF">
              <w:rPr>
                <w:rFonts w:ascii="Arial" w:hAnsi="Arial" w:cs="Arial"/>
                <w:sz w:val="22"/>
                <w:szCs w:val="22"/>
              </w:rPr>
              <w:t>Mezinárodní srovnání:</w:t>
            </w:r>
          </w:p>
        </w:tc>
        <w:tc>
          <w:tcPr>
            <w:tcW w:w="6486" w:type="dxa"/>
          </w:tcPr>
          <w:p w14:paraId="2F6B754E" w14:textId="77777777" w:rsidR="00E86883" w:rsidRPr="00DC29DF" w:rsidRDefault="0024059F" w:rsidP="0099602A">
            <w:pPr>
              <w:spacing w:line="276" w:lineRule="auto"/>
              <w:jc w:val="both"/>
              <w:rPr>
                <w:rFonts w:ascii="Arial" w:hAnsi="Arial" w:cs="Arial"/>
                <w:sz w:val="22"/>
                <w:szCs w:val="22"/>
              </w:rPr>
            </w:pPr>
            <w:r>
              <w:rPr>
                <w:rFonts w:ascii="Arial" w:hAnsi="Arial" w:cs="Arial"/>
                <w:sz w:val="22"/>
                <w:szCs w:val="22"/>
              </w:rPr>
              <w:t>-</w:t>
            </w:r>
          </w:p>
        </w:tc>
      </w:tr>
    </w:tbl>
    <w:p w14:paraId="6EBBC2BF" w14:textId="77777777" w:rsidR="00E86883" w:rsidRPr="00E86883" w:rsidRDefault="00E86883" w:rsidP="00C51B65">
      <w:pPr>
        <w:spacing w:line="276" w:lineRule="auto"/>
        <w:contextualSpacing/>
        <w:rPr>
          <w:rFonts w:ascii="Arial" w:eastAsiaTheme="minorHAnsi" w:hAnsi="Arial" w:cs="Arial"/>
          <w:sz w:val="22"/>
          <w:szCs w:val="22"/>
          <w:lang w:eastAsia="en-US"/>
        </w:rPr>
      </w:pPr>
    </w:p>
    <w:tbl>
      <w:tblPr>
        <w:tblStyle w:val="Mkatabulky"/>
        <w:tblW w:w="0" w:type="auto"/>
        <w:shd w:val="pct15" w:color="auto" w:fill="auto"/>
        <w:tblLook w:val="04A0" w:firstRow="1" w:lastRow="0" w:firstColumn="1" w:lastColumn="0" w:noHBand="0" w:noVBand="1"/>
      </w:tblPr>
      <w:tblGrid>
        <w:gridCol w:w="2802"/>
        <w:gridCol w:w="6486"/>
      </w:tblGrid>
      <w:tr w:rsidR="00E86883" w:rsidRPr="00E86883" w14:paraId="2E2EE5B6" w14:textId="77777777" w:rsidTr="00477E8D">
        <w:tc>
          <w:tcPr>
            <w:tcW w:w="2802" w:type="dxa"/>
            <w:shd w:val="pct15" w:color="auto" w:fill="auto"/>
          </w:tcPr>
          <w:p w14:paraId="342B17F1" w14:textId="77777777" w:rsidR="00E86883" w:rsidRPr="00477E8D" w:rsidRDefault="00E86883" w:rsidP="00C51B65">
            <w:pPr>
              <w:spacing w:line="276" w:lineRule="auto"/>
              <w:rPr>
                <w:rFonts w:ascii="Arial" w:hAnsi="Arial" w:cs="Arial"/>
                <w:sz w:val="22"/>
                <w:szCs w:val="22"/>
              </w:rPr>
            </w:pPr>
            <w:r w:rsidRPr="00477E8D">
              <w:rPr>
                <w:rFonts w:ascii="Arial" w:hAnsi="Arial" w:cs="Arial"/>
                <w:sz w:val="22"/>
                <w:szCs w:val="22"/>
              </w:rPr>
              <w:t xml:space="preserve">Název a označení indikátoru: </w:t>
            </w:r>
          </w:p>
        </w:tc>
        <w:tc>
          <w:tcPr>
            <w:tcW w:w="6486" w:type="dxa"/>
            <w:shd w:val="pct15" w:color="auto" w:fill="auto"/>
          </w:tcPr>
          <w:p w14:paraId="74424A72" w14:textId="099687E0" w:rsidR="00E86883" w:rsidRPr="00477E8D" w:rsidRDefault="00CD5590" w:rsidP="00C51B65">
            <w:pPr>
              <w:spacing w:line="276" w:lineRule="auto"/>
              <w:contextualSpacing/>
              <w:rPr>
                <w:rFonts w:ascii="Arial" w:hAnsi="Arial" w:cs="Arial"/>
                <w:b/>
                <w:sz w:val="22"/>
                <w:szCs w:val="22"/>
              </w:rPr>
            </w:pPr>
            <w:r>
              <w:rPr>
                <w:rFonts w:ascii="Arial" w:eastAsia="Calibri" w:hAnsi="Arial" w:cs="Arial"/>
                <w:b/>
                <w:sz w:val="22"/>
                <w:szCs w:val="22"/>
              </w:rPr>
              <w:t>4.1.2 Studenti vysokých škol</w:t>
            </w:r>
            <w:r w:rsidR="00E86883" w:rsidRPr="00477E8D">
              <w:rPr>
                <w:rFonts w:ascii="Arial" w:eastAsia="Calibri" w:hAnsi="Arial" w:cs="Arial"/>
                <w:b/>
                <w:sz w:val="22"/>
                <w:szCs w:val="22"/>
              </w:rPr>
              <w:t xml:space="preserve"> dle socioekonomického zázemí</w:t>
            </w:r>
          </w:p>
        </w:tc>
      </w:tr>
      <w:tr w:rsidR="00E86883" w:rsidRPr="00E86883" w14:paraId="5986A139" w14:textId="77777777" w:rsidTr="00477E8D">
        <w:tc>
          <w:tcPr>
            <w:tcW w:w="2802" w:type="dxa"/>
            <w:shd w:val="pct15" w:color="auto" w:fill="auto"/>
          </w:tcPr>
          <w:p w14:paraId="582F38FA" w14:textId="77777777" w:rsidR="00E86883" w:rsidRPr="00477E8D" w:rsidRDefault="00E86883" w:rsidP="00C51B65">
            <w:pPr>
              <w:spacing w:line="276" w:lineRule="auto"/>
              <w:rPr>
                <w:rFonts w:ascii="Arial" w:hAnsi="Arial" w:cs="Arial"/>
                <w:sz w:val="22"/>
                <w:szCs w:val="22"/>
              </w:rPr>
            </w:pPr>
            <w:r w:rsidRPr="00477E8D">
              <w:rPr>
                <w:rFonts w:ascii="Arial" w:hAnsi="Arial" w:cs="Arial"/>
                <w:sz w:val="22"/>
                <w:szCs w:val="22"/>
              </w:rPr>
              <w:t xml:space="preserve">Stručná definice: </w:t>
            </w:r>
          </w:p>
        </w:tc>
        <w:tc>
          <w:tcPr>
            <w:tcW w:w="6486" w:type="dxa"/>
            <w:shd w:val="pct15" w:color="auto" w:fill="auto"/>
          </w:tcPr>
          <w:p w14:paraId="26A9C210" w14:textId="42A642E0" w:rsidR="00E86883" w:rsidRPr="00477E8D" w:rsidRDefault="00CD5590" w:rsidP="002B6876">
            <w:pPr>
              <w:spacing w:line="276" w:lineRule="auto"/>
              <w:jc w:val="both"/>
              <w:rPr>
                <w:rFonts w:ascii="Arial" w:hAnsi="Arial" w:cs="Arial"/>
                <w:sz w:val="22"/>
                <w:szCs w:val="22"/>
              </w:rPr>
            </w:pPr>
            <w:r>
              <w:rPr>
                <w:rFonts w:ascii="Arial" w:hAnsi="Arial" w:cs="Arial"/>
                <w:sz w:val="22"/>
                <w:szCs w:val="22"/>
              </w:rPr>
              <w:t>Podíl studentů vysokých škol</w:t>
            </w:r>
            <w:r w:rsidR="00E86883" w:rsidRPr="00477E8D">
              <w:rPr>
                <w:rFonts w:ascii="Arial" w:hAnsi="Arial" w:cs="Arial"/>
                <w:sz w:val="22"/>
                <w:szCs w:val="22"/>
              </w:rPr>
              <w:t xml:space="preserve"> podle jednotlivých úrovní socioekonomického zázemí (příjmu rodičů a jejich dosaženého stupně vzdělání) na celkovém počtu studentů</w:t>
            </w:r>
          </w:p>
        </w:tc>
      </w:tr>
      <w:tr w:rsidR="00E86883" w:rsidRPr="00E86883" w14:paraId="7C5031C2" w14:textId="77777777" w:rsidTr="00477E8D">
        <w:tc>
          <w:tcPr>
            <w:tcW w:w="2802" w:type="dxa"/>
            <w:shd w:val="pct15" w:color="auto" w:fill="auto"/>
          </w:tcPr>
          <w:p w14:paraId="1CE3F781" w14:textId="77777777" w:rsidR="00E86883" w:rsidRPr="00477E8D" w:rsidRDefault="00E86883" w:rsidP="00C51B65">
            <w:pPr>
              <w:spacing w:line="276" w:lineRule="auto"/>
              <w:rPr>
                <w:rFonts w:ascii="Arial" w:hAnsi="Arial" w:cs="Arial"/>
                <w:sz w:val="22"/>
                <w:szCs w:val="22"/>
              </w:rPr>
            </w:pPr>
            <w:r w:rsidRPr="00477E8D">
              <w:rPr>
                <w:rFonts w:ascii="Arial" w:hAnsi="Arial" w:cs="Arial"/>
                <w:sz w:val="22"/>
                <w:szCs w:val="22"/>
              </w:rPr>
              <w:t>Jednotka:</w:t>
            </w:r>
          </w:p>
        </w:tc>
        <w:tc>
          <w:tcPr>
            <w:tcW w:w="6486" w:type="dxa"/>
            <w:shd w:val="pct15" w:color="auto" w:fill="auto"/>
          </w:tcPr>
          <w:p w14:paraId="709AC3A3" w14:textId="77777777" w:rsidR="00E86883" w:rsidRPr="00477E8D" w:rsidRDefault="00E86883" w:rsidP="002B6876">
            <w:pPr>
              <w:spacing w:line="276" w:lineRule="auto"/>
              <w:jc w:val="both"/>
              <w:rPr>
                <w:rFonts w:ascii="Arial" w:hAnsi="Arial" w:cs="Arial"/>
                <w:sz w:val="22"/>
                <w:szCs w:val="22"/>
              </w:rPr>
            </w:pPr>
            <w:r w:rsidRPr="00477E8D">
              <w:rPr>
                <w:rFonts w:ascii="Arial" w:hAnsi="Arial" w:cs="Arial"/>
                <w:sz w:val="22"/>
                <w:szCs w:val="22"/>
              </w:rPr>
              <w:t>Podíl (v %)</w:t>
            </w:r>
          </w:p>
        </w:tc>
      </w:tr>
      <w:tr w:rsidR="00E86883" w:rsidRPr="00E86883" w14:paraId="08B8DADB" w14:textId="77777777" w:rsidTr="00477E8D">
        <w:tc>
          <w:tcPr>
            <w:tcW w:w="2802" w:type="dxa"/>
            <w:shd w:val="pct15" w:color="auto" w:fill="auto"/>
          </w:tcPr>
          <w:p w14:paraId="2B91CEE6" w14:textId="77777777" w:rsidR="00E86883" w:rsidRPr="00477E8D" w:rsidRDefault="00E86883" w:rsidP="00C51B65">
            <w:pPr>
              <w:spacing w:line="276" w:lineRule="auto"/>
              <w:rPr>
                <w:rFonts w:ascii="Arial" w:hAnsi="Arial" w:cs="Arial"/>
                <w:sz w:val="22"/>
                <w:szCs w:val="22"/>
              </w:rPr>
            </w:pPr>
            <w:r w:rsidRPr="00477E8D">
              <w:rPr>
                <w:rFonts w:ascii="Arial" w:hAnsi="Arial" w:cs="Arial"/>
                <w:sz w:val="22"/>
                <w:szCs w:val="22"/>
              </w:rPr>
              <w:t xml:space="preserve">Gestor: </w:t>
            </w:r>
          </w:p>
        </w:tc>
        <w:tc>
          <w:tcPr>
            <w:tcW w:w="6486" w:type="dxa"/>
            <w:shd w:val="pct15" w:color="auto" w:fill="auto"/>
          </w:tcPr>
          <w:p w14:paraId="13BB04EE" w14:textId="77777777" w:rsidR="00E86883" w:rsidRPr="00477E8D" w:rsidRDefault="00E86883" w:rsidP="002B6876">
            <w:pPr>
              <w:spacing w:line="276" w:lineRule="auto"/>
              <w:jc w:val="both"/>
              <w:rPr>
                <w:rFonts w:ascii="Arial" w:hAnsi="Arial" w:cs="Arial"/>
                <w:sz w:val="22"/>
                <w:szCs w:val="22"/>
              </w:rPr>
            </w:pPr>
            <w:r w:rsidRPr="00477E8D">
              <w:rPr>
                <w:rFonts w:ascii="Arial" w:hAnsi="Arial" w:cs="Arial"/>
                <w:sz w:val="22"/>
                <w:szCs w:val="22"/>
              </w:rPr>
              <w:t>Ministerstvo školství, mládeže a tělovýchovy</w:t>
            </w:r>
          </w:p>
        </w:tc>
      </w:tr>
      <w:tr w:rsidR="00E86883" w:rsidRPr="00E86883" w14:paraId="37161D6B" w14:textId="77777777" w:rsidTr="00477E8D">
        <w:tc>
          <w:tcPr>
            <w:tcW w:w="2802" w:type="dxa"/>
            <w:shd w:val="pct15" w:color="auto" w:fill="auto"/>
          </w:tcPr>
          <w:p w14:paraId="36B0C678" w14:textId="77777777" w:rsidR="00E86883" w:rsidRPr="00477E8D" w:rsidRDefault="00E86883" w:rsidP="00C51B65">
            <w:pPr>
              <w:spacing w:line="276" w:lineRule="auto"/>
              <w:rPr>
                <w:rFonts w:ascii="Arial" w:hAnsi="Arial" w:cs="Arial"/>
                <w:sz w:val="22"/>
                <w:szCs w:val="22"/>
              </w:rPr>
            </w:pPr>
            <w:r w:rsidRPr="00477E8D">
              <w:rPr>
                <w:rFonts w:ascii="Arial" w:hAnsi="Arial" w:cs="Arial"/>
                <w:sz w:val="22"/>
                <w:szCs w:val="22"/>
              </w:rPr>
              <w:t xml:space="preserve">Význam indikátoru: </w:t>
            </w:r>
          </w:p>
        </w:tc>
        <w:tc>
          <w:tcPr>
            <w:tcW w:w="6486" w:type="dxa"/>
            <w:shd w:val="pct15" w:color="auto" w:fill="auto"/>
          </w:tcPr>
          <w:p w14:paraId="36BACB4D" w14:textId="77777777" w:rsidR="00E86883" w:rsidRPr="00477E8D" w:rsidRDefault="00E86883" w:rsidP="002B6876">
            <w:pPr>
              <w:spacing w:line="276" w:lineRule="auto"/>
              <w:jc w:val="both"/>
              <w:rPr>
                <w:rFonts w:ascii="Arial" w:hAnsi="Arial" w:cs="Arial"/>
                <w:sz w:val="22"/>
                <w:szCs w:val="22"/>
              </w:rPr>
            </w:pPr>
            <w:r w:rsidRPr="00477E8D">
              <w:rPr>
                <w:rFonts w:ascii="Arial" w:hAnsi="Arial" w:cs="Arial"/>
                <w:sz w:val="22"/>
                <w:szCs w:val="22"/>
              </w:rPr>
              <w:t xml:space="preserve">Znázorňuje vliv </w:t>
            </w:r>
            <w:proofErr w:type="spellStart"/>
            <w:r w:rsidRPr="00477E8D">
              <w:rPr>
                <w:rFonts w:ascii="Arial" w:hAnsi="Arial" w:cs="Arial"/>
                <w:sz w:val="22"/>
                <w:szCs w:val="22"/>
              </w:rPr>
              <w:t>socio</w:t>
            </w:r>
            <w:proofErr w:type="spellEnd"/>
            <w:r w:rsidRPr="00477E8D">
              <w:rPr>
                <w:rFonts w:ascii="Arial" w:hAnsi="Arial" w:cs="Arial"/>
                <w:sz w:val="22"/>
                <w:szCs w:val="22"/>
              </w:rPr>
              <w:t>-ekonomického původu studentů na jimi dosažené vzdělání.</w:t>
            </w:r>
          </w:p>
        </w:tc>
      </w:tr>
      <w:tr w:rsidR="00E86883" w:rsidRPr="00E86883" w14:paraId="38C7DB10" w14:textId="77777777" w:rsidTr="00477E8D">
        <w:tc>
          <w:tcPr>
            <w:tcW w:w="2802" w:type="dxa"/>
            <w:shd w:val="pct15" w:color="auto" w:fill="auto"/>
          </w:tcPr>
          <w:p w14:paraId="6673608B" w14:textId="77777777" w:rsidR="00E86883" w:rsidRPr="00477E8D" w:rsidRDefault="00E86883" w:rsidP="00C51B65">
            <w:pPr>
              <w:spacing w:line="276" w:lineRule="auto"/>
              <w:rPr>
                <w:rFonts w:ascii="Arial" w:hAnsi="Arial" w:cs="Arial"/>
                <w:sz w:val="22"/>
                <w:szCs w:val="22"/>
              </w:rPr>
            </w:pPr>
            <w:r w:rsidRPr="00477E8D">
              <w:rPr>
                <w:rFonts w:ascii="Arial" w:hAnsi="Arial" w:cs="Arial"/>
                <w:sz w:val="22"/>
                <w:szCs w:val="22"/>
              </w:rPr>
              <w:t xml:space="preserve">Časová řada: </w:t>
            </w:r>
          </w:p>
        </w:tc>
        <w:tc>
          <w:tcPr>
            <w:tcW w:w="6486" w:type="dxa"/>
            <w:shd w:val="pct15" w:color="auto" w:fill="auto"/>
          </w:tcPr>
          <w:p w14:paraId="734BAA0E" w14:textId="77777777" w:rsidR="00E86883" w:rsidRPr="00477E8D" w:rsidRDefault="00E86883" w:rsidP="002B6876">
            <w:pPr>
              <w:spacing w:line="276" w:lineRule="auto"/>
              <w:jc w:val="both"/>
              <w:rPr>
                <w:rFonts w:ascii="Arial" w:hAnsi="Arial" w:cs="Arial"/>
                <w:sz w:val="22"/>
                <w:szCs w:val="22"/>
              </w:rPr>
            </w:pPr>
            <w:r w:rsidRPr="00477E8D">
              <w:rPr>
                <w:rFonts w:ascii="Arial" w:hAnsi="Arial" w:cs="Arial"/>
                <w:sz w:val="22"/>
                <w:szCs w:val="22"/>
              </w:rPr>
              <w:t xml:space="preserve">Od </w:t>
            </w:r>
            <w:r w:rsidR="0024059F">
              <w:rPr>
                <w:rFonts w:ascii="Arial" w:hAnsi="Arial" w:cs="Arial"/>
                <w:sz w:val="22"/>
                <w:szCs w:val="22"/>
              </w:rPr>
              <w:t xml:space="preserve">roku </w:t>
            </w:r>
            <w:r w:rsidRPr="00477E8D">
              <w:rPr>
                <w:rFonts w:ascii="Arial" w:hAnsi="Arial" w:cs="Arial"/>
                <w:sz w:val="22"/>
                <w:szCs w:val="22"/>
              </w:rPr>
              <w:t>2009</w:t>
            </w:r>
          </w:p>
        </w:tc>
      </w:tr>
      <w:tr w:rsidR="00E86883" w:rsidRPr="00E86883" w14:paraId="417F6370" w14:textId="77777777" w:rsidTr="00477E8D">
        <w:tc>
          <w:tcPr>
            <w:tcW w:w="2802" w:type="dxa"/>
            <w:shd w:val="pct15" w:color="auto" w:fill="auto"/>
          </w:tcPr>
          <w:p w14:paraId="662BD7F1" w14:textId="77777777" w:rsidR="00E86883" w:rsidRPr="00477E8D" w:rsidRDefault="00E86883" w:rsidP="00C51B65">
            <w:pPr>
              <w:spacing w:line="276" w:lineRule="auto"/>
              <w:rPr>
                <w:rFonts w:ascii="Arial" w:hAnsi="Arial" w:cs="Arial"/>
                <w:sz w:val="22"/>
                <w:szCs w:val="22"/>
              </w:rPr>
            </w:pPr>
            <w:r w:rsidRPr="00477E8D">
              <w:rPr>
                <w:rFonts w:ascii="Arial" w:hAnsi="Arial" w:cs="Arial"/>
                <w:sz w:val="22"/>
                <w:szCs w:val="22"/>
              </w:rPr>
              <w:t xml:space="preserve">Frekvence výstupu: </w:t>
            </w:r>
          </w:p>
        </w:tc>
        <w:tc>
          <w:tcPr>
            <w:tcW w:w="6486" w:type="dxa"/>
            <w:shd w:val="pct15" w:color="auto" w:fill="auto"/>
          </w:tcPr>
          <w:p w14:paraId="3B081E4E" w14:textId="77777777" w:rsidR="00E86883" w:rsidRPr="00477E8D" w:rsidRDefault="00E86883" w:rsidP="002B6876">
            <w:pPr>
              <w:spacing w:line="276" w:lineRule="auto"/>
              <w:jc w:val="both"/>
              <w:rPr>
                <w:rFonts w:ascii="Arial" w:hAnsi="Arial" w:cs="Arial"/>
                <w:sz w:val="22"/>
                <w:szCs w:val="22"/>
              </w:rPr>
            </w:pPr>
            <w:proofErr w:type="spellStart"/>
            <w:r w:rsidRPr="00477E8D">
              <w:rPr>
                <w:rFonts w:ascii="Arial" w:hAnsi="Arial" w:cs="Arial"/>
                <w:sz w:val="22"/>
                <w:szCs w:val="22"/>
              </w:rPr>
              <w:t>Eurostudent</w:t>
            </w:r>
            <w:proofErr w:type="spellEnd"/>
            <w:r w:rsidRPr="00477E8D">
              <w:rPr>
                <w:rFonts w:ascii="Arial" w:hAnsi="Arial" w:cs="Arial"/>
                <w:sz w:val="22"/>
                <w:szCs w:val="22"/>
              </w:rPr>
              <w:t xml:space="preserve"> jednou za tři roky</w:t>
            </w:r>
          </w:p>
        </w:tc>
      </w:tr>
      <w:tr w:rsidR="00E86883" w:rsidRPr="00E86883" w14:paraId="0DB75203" w14:textId="77777777" w:rsidTr="00477E8D">
        <w:trPr>
          <w:trHeight w:val="70"/>
        </w:trPr>
        <w:tc>
          <w:tcPr>
            <w:tcW w:w="2802" w:type="dxa"/>
            <w:shd w:val="pct15" w:color="auto" w:fill="auto"/>
          </w:tcPr>
          <w:p w14:paraId="4F169601" w14:textId="77777777" w:rsidR="00E86883" w:rsidRPr="00477E8D" w:rsidRDefault="00E86883" w:rsidP="00C51B65">
            <w:pPr>
              <w:spacing w:line="276" w:lineRule="auto"/>
              <w:rPr>
                <w:rFonts w:ascii="Arial" w:hAnsi="Arial" w:cs="Arial"/>
                <w:sz w:val="22"/>
                <w:szCs w:val="22"/>
              </w:rPr>
            </w:pPr>
            <w:r w:rsidRPr="00477E8D">
              <w:rPr>
                <w:rFonts w:ascii="Arial" w:hAnsi="Arial" w:cs="Arial"/>
                <w:sz w:val="22"/>
                <w:szCs w:val="22"/>
              </w:rPr>
              <w:t xml:space="preserve">Členění indikátoru: </w:t>
            </w:r>
          </w:p>
        </w:tc>
        <w:tc>
          <w:tcPr>
            <w:tcW w:w="6486" w:type="dxa"/>
            <w:shd w:val="pct15" w:color="auto" w:fill="auto"/>
          </w:tcPr>
          <w:p w14:paraId="308587CB" w14:textId="30769C63" w:rsidR="00E86883" w:rsidRPr="00477E8D" w:rsidRDefault="00CD5590" w:rsidP="002B6876">
            <w:pPr>
              <w:spacing w:line="276" w:lineRule="auto"/>
              <w:jc w:val="both"/>
              <w:rPr>
                <w:rFonts w:ascii="Arial" w:hAnsi="Arial" w:cs="Arial"/>
                <w:sz w:val="22"/>
                <w:szCs w:val="22"/>
              </w:rPr>
            </w:pPr>
            <w:r>
              <w:rPr>
                <w:rFonts w:ascii="Arial" w:hAnsi="Arial" w:cs="Arial"/>
                <w:sz w:val="22"/>
                <w:szCs w:val="22"/>
              </w:rPr>
              <w:t>Dle p</w:t>
            </w:r>
            <w:r w:rsidR="00E86883" w:rsidRPr="00477E8D">
              <w:rPr>
                <w:rFonts w:ascii="Arial" w:hAnsi="Arial" w:cs="Arial"/>
                <w:sz w:val="22"/>
                <w:szCs w:val="22"/>
              </w:rPr>
              <w:t>ohlaví, věkové skupiny</w:t>
            </w:r>
          </w:p>
        </w:tc>
      </w:tr>
      <w:tr w:rsidR="00E86883" w:rsidRPr="00E86883" w14:paraId="0402F263" w14:textId="77777777" w:rsidTr="00477E8D">
        <w:trPr>
          <w:trHeight w:val="70"/>
        </w:trPr>
        <w:tc>
          <w:tcPr>
            <w:tcW w:w="2802" w:type="dxa"/>
            <w:shd w:val="pct15" w:color="auto" w:fill="auto"/>
          </w:tcPr>
          <w:p w14:paraId="4CD1F9B5" w14:textId="77777777" w:rsidR="00E86883" w:rsidRPr="00477E8D" w:rsidRDefault="00E86883" w:rsidP="00C51B65">
            <w:pPr>
              <w:spacing w:line="276" w:lineRule="auto"/>
              <w:rPr>
                <w:rFonts w:ascii="Arial" w:hAnsi="Arial" w:cs="Arial"/>
                <w:sz w:val="22"/>
                <w:szCs w:val="22"/>
              </w:rPr>
            </w:pPr>
            <w:r w:rsidRPr="00477E8D">
              <w:rPr>
                <w:rFonts w:ascii="Arial" w:hAnsi="Arial" w:cs="Arial"/>
                <w:sz w:val="22"/>
                <w:szCs w:val="22"/>
              </w:rPr>
              <w:t>Mezinárodní srovnání:</w:t>
            </w:r>
          </w:p>
        </w:tc>
        <w:tc>
          <w:tcPr>
            <w:tcW w:w="6486" w:type="dxa"/>
            <w:shd w:val="pct15" w:color="auto" w:fill="auto"/>
          </w:tcPr>
          <w:p w14:paraId="2E656C92" w14:textId="77777777" w:rsidR="00E86883" w:rsidRPr="00477E8D" w:rsidRDefault="00E86883" w:rsidP="002B6876">
            <w:pPr>
              <w:spacing w:line="276" w:lineRule="auto"/>
              <w:jc w:val="both"/>
              <w:rPr>
                <w:rFonts w:ascii="Arial" w:hAnsi="Arial" w:cs="Arial"/>
                <w:sz w:val="22"/>
                <w:szCs w:val="22"/>
              </w:rPr>
            </w:pPr>
            <w:r w:rsidRPr="00477E8D">
              <w:rPr>
                <w:rFonts w:ascii="Arial" w:hAnsi="Arial" w:cs="Arial"/>
                <w:sz w:val="22"/>
                <w:szCs w:val="22"/>
              </w:rPr>
              <w:t xml:space="preserve">V rámci šetření </w:t>
            </w:r>
            <w:proofErr w:type="spellStart"/>
            <w:r w:rsidRPr="00477E8D">
              <w:rPr>
                <w:rFonts w:ascii="Arial" w:hAnsi="Arial" w:cs="Arial"/>
                <w:sz w:val="22"/>
                <w:szCs w:val="22"/>
              </w:rPr>
              <w:t>Eurostudent</w:t>
            </w:r>
            <w:proofErr w:type="spellEnd"/>
          </w:p>
        </w:tc>
      </w:tr>
    </w:tbl>
    <w:p w14:paraId="00196F2D" w14:textId="27E1B231" w:rsidR="00E86883" w:rsidRPr="00E86883" w:rsidRDefault="0024059F" w:rsidP="00ED673D">
      <w:pPr>
        <w:pStyle w:val="r2030podcle"/>
        <w:numPr>
          <w:ilvl w:val="1"/>
          <w:numId w:val="17"/>
        </w:numPr>
        <w:ind w:left="567" w:hanging="425"/>
        <w:jc w:val="both"/>
        <w:rPr>
          <w:rFonts w:eastAsiaTheme="minorHAnsi"/>
        </w:rPr>
      </w:pPr>
      <w:r w:rsidRPr="0024059F">
        <w:t>Systém vzdělávání podporuje učitele</w:t>
      </w:r>
      <w:r w:rsidR="001E6F8C">
        <w:t>, učitelky</w:t>
      </w:r>
      <w:r w:rsidRPr="0024059F">
        <w:t xml:space="preserve"> a další vzdělavatele, aby ve vzdělávání dokázali přinášet potřebné změny a převzít roli průvodců účastníků vzdělávání v měnícím se světě. Je otevřený intenzivnímu kontaktu s reálným světem a zapojuje všechny aktéry ve vzdělávání.</w:t>
      </w:r>
    </w:p>
    <w:tbl>
      <w:tblPr>
        <w:tblStyle w:val="Mkatabulky"/>
        <w:tblW w:w="0" w:type="auto"/>
        <w:tblLook w:val="04A0" w:firstRow="1" w:lastRow="0" w:firstColumn="1" w:lastColumn="0" w:noHBand="0" w:noVBand="1"/>
      </w:tblPr>
      <w:tblGrid>
        <w:gridCol w:w="2802"/>
        <w:gridCol w:w="6486"/>
      </w:tblGrid>
      <w:tr w:rsidR="00F4372F" w:rsidRPr="006D044F" w14:paraId="6F01F709" w14:textId="77777777" w:rsidTr="008D14FE">
        <w:tc>
          <w:tcPr>
            <w:tcW w:w="2802" w:type="dxa"/>
          </w:tcPr>
          <w:p w14:paraId="6ACAAF18" w14:textId="77777777" w:rsidR="00E86883" w:rsidRPr="006D044F" w:rsidRDefault="00E86883" w:rsidP="00C51B65">
            <w:pPr>
              <w:spacing w:line="276" w:lineRule="auto"/>
              <w:rPr>
                <w:rFonts w:ascii="Arial" w:hAnsi="Arial" w:cs="Arial"/>
                <w:color w:val="000000" w:themeColor="text1"/>
                <w:sz w:val="22"/>
                <w:szCs w:val="22"/>
              </w:rPr>
            </w:pPr>
            <w:r w:rsidRPr="006D044F">
              <w:rPr>
                <w:rFonts w:ascii="Arial" w:hAnsi="Arial" w:cs="Arial"/>
                <w:color w:val="000000" w:themeColor="text1"/>
                <w:sz w:val="22"/>
                <w:szCs w:val="22"/>
              </w:rPr>
              <w:t xml:space="preserve">Název a označení indikátoru: </w:t>
            </w:r>
          </w:p>
        </w:tc>
        <w:tc>
          <w:tcPr>
            <w:tcW w:w="6486" w:type="dxa"/>
          </w:tcPr>
          <w:p w14:paraId="7CAC09D4" w14:textId="77777777" w:rsidR="00E86883" w:rsidRPr="006D044F" w:rsidRDefault="00E86883" w:rsidP="0024059F">
            <w:pPr>
              <w:spacing w:line="276" w:lineRule="auto"/>
              <w:contextualSpacing/>
              <w:rPr>
                <w:rFonts w:ascii="Arial" w:hAnsi="Arial" w:cs="Arial"/>
                <w:b/>
                <w:color w:val="000000" w:themeColor="text1"/>
                <w:sz w:val="22"/>
                <w:szCs w:val="22"/>
              </w:rPr>
            </w:pPr>
            <w:r w:rsidRPr="006D044F">
              <w:rPr>
                <w:rFonts w:ascii="Arial" w:eastAsia="Calibri" w:hAnsi="Arial" w:cs="Arial"/>
                <w:b/>
                <w:color w:val="000000" w:themeColor="text1"/>
                <w:sz w:val="22"/>
                <w:szCs w:val="22"/>
              </w:rPr>
              <w:t xml:space="preserve">4.2.1 Existence systému </w:t>
            </w:r>
            <w:r w:rsidR="0024059F" w:rsidRPr="0024059F">
              <w:rPr>
                <w:rFonts w:ascii="Arial" w:eastAsia="Calibri" w:hAnsi="Arial" w:cs="Arial"/>
                <w:b/>
                <w:color w:val="000000" w:themeColor="text1"/>
                <w:sz w:val="22"/>
                <w:szCs w:val="22"/>
              </w:rPr>
              <w:t>kariérního</w:t>
            </w:r>
            <w:r w:rsidR="0024059F" w:rsidRPr="006D044F">
              <w:rPr>
                <w:rFonts w:ascii="Arial" w:eastAsia="Calibri" w:hAnsi="Arial" w:cs="Arial"/>
                <w:b/>
                <w:color w:val="000000" w:themeColor="text1"/>
                <w:sz w:val="22"/>
                <w:szCs w:val="22"/>
              </w:rPr>
              <w:t xml:space="preserve"> </w:t>
            </w:r>
            <w:r w:rsidRPr="006D044F">
              <w:rPr>
                <w:rFonts w:ascii="Arial" w:eastAsia="Calibri" w:hAnsi="Arial" w:cs="Arial"/>
                <w:b/>
                <w:color w:val="000000" w:themeColor="text1"/>
                <w:sz w:val="22"/>
                <w:szCs w:val="22"/>
              </w:rPr>
              <w:t>rozvoje učitelů</w:t>
            </w:r>
          </w:p>
        </w:tc>
      </w:tr>
      <w:tr w:rsidR="00F4372F" w:rsidRPr="006D044F" w14:paraId="4754448C" w14:textId="77777777" w:rsidTr="008D14FE">
        <w:tc>
          <w:tcPr>
            <w:tcW w:w="2802" w:type="dxa"/>
          </w:tcPr>
          <w:p w14:paraId="396EF933" w14:textId="77777777" w:rsidR="00E86883" w:rsidRPr="006D044F" w:rsidRDefault="00E86883" w:rsidP="00C51B65">
            <w:pPr>
              <w:spacing w:line="276" w:lineRule="auto"/>
              <w:rPr>
                <w:rFonts w:ascii="Arial" w:hAnsi="Arial" w:cs="Arial"/>
                <w:color w:val="000000" w:themeColor="text1"/>
                <w:sz w:val="22"/>
                <w:szCs w:val="22"/>
              </w:rPr>
            </w:pPr>
            <w:r w:rsidRPr="006D044F">
              <w:rPr>
                <w:rFonts w:ascii="Arial" w:hAnsi="Arial" w:cs="Arial"/>
                <w:color w:val="000000" w:themeColor="text1"/>
                <w:sz w:val="22"/>
                <w:szCs w:val="22"/>
              </w:rPr>
              <w:t xml:space="preserve">Stručná definice: </w:t>
            </w:r>
          </w:p>
        </w:tc>
        <w:tc>
          <w:tcPr>
            <w:tcW w:w="6486" w:type="dxa"/>
          </w:tcPr>
          <w:p w14:paraId="715AE6C7" w14:textId="77777777" w:rsidR="00E86883" w:rsidRPr="006D044F" w:rsidRDefault="00E86883" w:rsidP="0099602A">
            <w:pPr>
              <w:spacing w:line="276" w:lineRule="auto"/>
              <w:jc w:val="both"/>
              <w:rPr>
                <w:rFonts w:ascii="Arial" w:hAnsi="Arial" w:cs="Arial"/>
                <w:color w:val="000000" w:themeColor="text1"/>
                <w:sz w:val="22"/>
                <w:szCs w:val="22"/>
              </w:rPr>
            </w:pPr>
            <w:r w:rsidRPr="006D044F">
              <w:rPr>
                <w:rFonts w:ascii="Arial" w:hAnsi="Arial" w:cs="Arial"/>
                <w:color w:val="000000" w:themeColor="text1"/>
                <w:sz w:val="22"/>
                <w:szCs w:val="22"/>
              </w:rPr>
              <w:t xml:space="preserve">Existence </w:t>
            </w:r>
            <w:r w:rsidR="0015417B" w:rsidRPr="006D044F">
              <w:rPr>
                <w:rFonts w:ascii="Arial" w:hAnsi="Arial" w:cs="Arial"/>
                <w:color w:val="000000" w:themeColor="text1"/>
                <w:sz w:val="22"/>
                <w:szCs w:val="22"/>
              </w:rPr>
              <w:t xml:space="preserve">systému </w:t>
            </w:r>
            <w:r w:rsidRPr="006D044F">
              <w:rPr>
                <w:rFonts w:ascii="Arial" w:hAnsi="Arial" w:cs="Arial"/>
                <w:color w:val="000000" w:themeColor="text1"/>
                <w:sz w:val="22"/>
                <w:szCs w:val="22"/>
              </w:rPr>
              <w:t xml:space="preserve">kariérního rozvoje </w:t>
            </w:r>
            <w:r w:rsidR="002E47D0">
              <w:rPr>
                <w:rFonts w:ascii="Arial" w:hAnsi="Arial" w:cs="Arial"/>
                <w:color w:val="000000" w:themeColor="text1"/>
                <w:sz w:val="22"/>
                <w:szCs w:val="22"/>
              </w:rPr>
              <w:t>pedagogických pracovníků v oficiálním vzdělávacím systému</w:t>
            </w:r>
            <w:r w:rsidRPr="006D044F">
              <w:rPr>
                <w:rFonts w:ascii="Arial" w:hAnsi="Arial" w:cs="Arial"/>
                <w:color w:val="000000" w:themeColor="text1"/>
                <w:sz w:val="22"/>
                <w:szCs w:val="22"/>
              </w:rPr>
              <w:t>, který bude oceňovat kvalitu práce vzdělavatelů, jejich účast na dalším vzdělávání a profesní rozvoj.</w:t>
            </w:r>
          </w:p>
        </w:tc>
      </w:tr>
      <w:tr w:rsidR="00F4372F" w:rsidRPr="006D044F" w14:paraId="313F4E3B" w14:textId="77777777" w:rsidTr="008D14FE">
        <w:tc>
          <w:tcPr>
            <w:tcW w:w="2802" w:type="dxa"/>
          </w:tcPr>
          <w:p w14:paraId="06D68A33" w14:textId="77777777" w:rsidR="00E86883" w:rsidRPr="006D044F" w:rsidRDefault="00E86883" w:rsidP="00C51B65">
            <w:pPr>
              <w:spacing w:line="276" w:lineRule="auto"/>
              <w:rPr>
                <w:rFonts w:ascii="Arial" w:hAnsi="Arial" w:cs="Arial"/>
                <w:color w:val="000000" w:themeColor="text1"/>
                <w:sz w:val="22"/>
                <w:szCs w:val="22"/>
              </w:rPr>
            </w:pPr>
            <w:r w:rsidRPr="006D044F">
              <w:rPr>
                <w:rFonts w:ascii="Arial" w:hAnsi="Arial" w:cs="Arial"/>
                <w:color w:val="000000" w:themeColor="text1"/>
                <w:sz w:val="22"/>
                <w:szCs w:val="22"/>
              </w:rPr>
              <w:t>Jednotka:</w:t>
            </w:r>
          </w:p>
        </w:tc>
        <w:tc>
          <w:tcPr>
            <w:tcW w:w="6486" w:type="dxa"/>
          </w:tcPr>
          <w:p w14:paraId="6F808A1C" w14:textId="77777777" w:rsidR="00E86883" w:rsidRPr="006D044F" w:rsidRDefault="00E86883" w:rsidP="0099602A">
            <w:pPr>
              <w:spacing w:line="276" w:lineRule="auto"/>
              <w:jc w:val="both"/>
              <w:rPr>
                <w:rFonts w:ascii="Arial" w:hAnsi="Arial" w:cs="Arial"/>
                <w:color w:val="000000" w:themeColor="text1"/>
                <w:sz w:val="22"/>
                <w:szCs w:val="22"/>
              </w:rPr>
            </w:pPr>
            <w:r w:rsidRPr="006D044F">
              <w:rPr>
                <w:rFonts w:ascii="Arial" w:hAnsi="Arial" w:cs="Arial"/>
                <w:color w:val="000000" w:themeColor="text1"/>
                <w:sz w:val="22"/>
                <w:szCs w:val="22"/>
              </w:rPr>
              <w:t>ANO</w:t>
            </w:r>
            <w:r w:rsidR="00C369CB">
              <w:rPr>
                <w:rFonts w:ascii="Arial" w:hAnsi="Arial" w:cs="Arial"/>
                <w:color w:val="000000" w:themeColor="text1"/>
                <w:sz w:val="22"/>
                <w:szCs w:val="22"/>
              </w:rPr>
              <w:t xml:space="preserve"> </w:t>
            </w:r>
            <w:r w:rsidRPr="006D044F">
              <w:rPr>
                <w:rFonts w:ascii="Arial" w:hAnsi="Arial" w:cs="Arial"/>
                <w:color w:val="000000" w:themeColor="text1"/>
                <w:sz w:val="22"/>
                <w:szCs w:val="22"/>
              </w:rPr>
              <w:t>/</w:t>
            </w:r>
            <w:r w:rsidR="00C369CB">
              <w:rPr>
                <w:rFonts w:ascii="Arial" w:hAnsi="Arial" w:cs="Arial"/>
                <w:color w:val="000000" w:themeColor="text1"/>
                <w:sz w:val="22"/>
                <w:szCs w:val="22"/>
              </w:rPr>
              <w:t xml:space="preserve"> </w:t>
            </w:r>
            <w:r w:rsidRPr="006D044F">
              <w:rPr>
                <w:rFonts w:ascii="Arial" w:hAnsi="Arial" w:cs="Arial"/>
                <w:color w:val="000000" w:themeColor="text1"/>
                <w:sz w:val="22"/>
                <w:szCs w:val="22"/>
              </w:rPr>
              <w:t>NE</w:t>
            </w:r>
            <w:r w:rsidR="00C369CB">
              <w:rPr>
                <w:rFonts w:ascii="Arial" w:hAnsi="Arial" w:cs="Arial"/>
                <w:color w:val="000000" w:themeColor="text1"/>
                <w:sz w:val="22"/>
                <w:szCs w:val="22"/>
              </w:rPr>
              <w:t>, výstupový indikátor</w:t>
            </w:r>
          </w:p>
        </w:tc>
      </w:tr>
      <w:tr w:rsidR="00F4372F" w:rsidRPr="006D044F" w14:paraId="31499ABD" w14:textId="77777777" w:rsidTr="008D14FE">
        <w:tc>
          <w:tcPr>
            <w:tcW w:w="2802" w:type="dxa"/>
          </w:tcPr>
          <w:p w14:paraId="64A90339" w14:textId="77777777" w:rsidR="00E86883" w:rsidRPr="006D044F" w:rsidRDefault="00E86883" w:rsidP="00C51B65">
            <w:pPr>
              <w:spacing w:line="276" w:lineRule="auto"/>
              <w:rPr>
                <w:rFonts w:ascii="Arial" w:hAnsi="Arial" w:cs="Arial"/>
                <w:color w:val="000000" w:themeColor="text1"/>
                <w:sz w:val="22"/>
                <w:szCs w:val="22"/>
              </w:rPr>
            </w:pPr>
            <w:r w:rsidRPr="006D044F">
              <w:rPr>
                <w:rFonts w:ascii="Arial" w:hAnsi="Arial" w:cs="Arial"/>
                <w:color w:val="000000" w:themeColor="text1"/>
                <w:sz w:val="22"/>
                <w:szCs w:val="22"/>
              </w:rPr>
              <w:t xml:space="preserve">Gestor: </w:t>
            </w:r>
          </w:p>
        </w:tc>
        <w:tc>
          <w:tcPr>
            <w:tcW w:w="6486" w:type="dxa"/>
          </w:tcPr>
          <w:p w14:paraId="42EDA116" w14:textId="77777777" w:rsidR="00E86883" w:rsidRPr="006D044F" w:rsidRDefault="00E86883" w:rsidP="0099602A">
            <w:pPr>
              <w:spacing w:line="276" w:lineRule="auto"/>
              <w:jc w:val="both"/>
              <w:rPr>
                <w:rFonts w:ascii="Arial" w:hAnsi="Arial" w:cs="Arial"/>
                <w:color w:val="000000" w:themeColor="text1"/>
                <w:sz w:val="22"/>
                <w:szCs w:val="22"/>
              </w:rPr>
            </w:pPr>
            <w:r w:rsidRPr="006D044F">
              <w:rPr>
                <w:rFonts w:ascii="Arial" w:hAnsi="Arial" w:cs="Arial"/>
                <w:color w:val="000000" w:themeColor="text1"/>
                <w:sz w:val="22"/>
                <w:szCs w:val="22"/>
              </w:rPr>
              <w:t>Ministerstvo školství, mládeže a tělovýchovy</w:t>
            </w:r>
          </w:p>
        </w:tc>
      </w:tr>
      <w:tr w:rsidR="00F4372F" w:rsidRPr="006D044F" w14:paraId="2130FBF0" w14:textId="77777777" w:rsidTr="00BA0402">
        <w:trPr>
          <w:trHeight w:val="803"/>
        </w:trPr>
        <w:tc>
          <w:tcPr>
            <w:tcW w:w="2802" w:type="dxa"/>
          </w:tcPr>
          <w:p w14:paraId="6FC22504" w14:textId="77777777" w:rsidR="00E86883" w:rsidRPr="006D044F" w:rsidRDefault="00E86883" w:rsidP="00C51B65">
            <w:pPr>
              <w:spacing w:line="276" w:lineRule="auto"/>
              <w:rPr>
                <w:rFonts w:ascii="Arial" w:hAnsi="Arial" w:cs="Arial"/>
                <w:color w:val="000000" w:themeColor="text1"/>
                <w:sz w:val="22"/>
                <w:szCs w:val="22"/>
              </w:rPr>
            </w:pPr>
            <w:r w:rsidRPr="006D044F">
              <w:rPr>
                <w:rFonts w:ascii="Arial" w:hAnsi="Arial" w:cs="Arial"/>
                <w:color w:val="000000" w:themeColor="text1"/>
                <w:sz w:val="22"/>
                <w:szCs w:val="22"/>
              </w:rPr>
              <w:t xml:space="preserve">Význam indikátoru: </w:t>
            </w:r>
          </w:p>
        </w:tc>
        <w:tc>
          <w:tcPr>
            <w:tcW w:w="6486" w:type="dxa"/>
          </w:tcPr>
          <w:p w14:paraId="0612FAED" w14:textId="77777777" w:rsidR="00E86883" w:rsidRPr="006D044F" w:rsidRDefault="00E86883" w:rsidP="0099602A">
            <w:pPr>
              <w:spacing w:line="276" w:lineRule="auto"/>
              <w:jc w:val="both"/>
              <w:rPr>
                <w:rFonts w:ascii="Arial" w:hAnsi="Arial" w:cs="Arial"/>
                <w:color w:val="000000" w:themeColor="text1"/>
                <w:sz w:val="22"/>
                <w:szCs w:val="22"/>
              </w:rPr>
            </w:pPr>
            <w:r w:rsidRPr="006D044F">
              <w:rPr>
                <w:rFonts w:ascii="Arial" w:hAnsi="Arial" w:cs="Arial"/>
                <w:color w:val="000000" w:themeColor="text1"/>
                <w:sz w:val="22"/>
                <w:szCs w:val="22"/>
              </w:rPr>
              <w:t>Jasně definované směry kariérního rozvoje učitelů vázané na jejich profesní rozvoj a kvalitu práce – podporuje profesi jako takovou a dává jí jednoznačná pravidla.</w:t>
            </w:r>
          </w:p>
        </w:tc>
      </w:tr>
      <w:tr w:rsidR="00F4372F" w:rsidRPr="006D044F" w14:paraId="3B853EA5" w14:textId="77777777" w:rsidTr="008D14FE">
        <w:trPr>
          <w:trHeight w:val="222"/>
        </w:trPr>
        <w:tc>
          <w:tcPr>
            <w:tcW w:w="2802" w:type="dxa"/>
          </w:tcPr>
          <w:p w14:paraId="6F3DF59C" w14:textId="77777777" w:rsidR="00E86883" w:rsidRPr="006D044F" w:rsidRDefault="00E86883" w:rsidP="00C51B65">
            <w:pPr>
              <w:spacing w:line="276" w:lineRule="auto"/>
              <w:rPr>
                <w:rFonts w:ascii="Arial" w:hAnsi="Arial" w:cs="Arial"/>
                <w:color w:val="000000" w:themeColor="text1"/>
                <w:sz w:val="22"/>
                <w:szCs w:val="22"/>
              </w:rPr>
            </w:pPr>
            <w:r w:rsidRPr="006D044F">
              <w:rPr>
                <w:rFonts w:ascii="Arial" w:hAnsi="Arial" w:cs="Arial"/>
                <w:color w:val="000000" w:themeColor="text1"/>
                <w:sz w:val="22"/>
                <w:szCs w:val="22"/>
              </w:rPr>
              <w:t xml:space="preserve">Časová řada: </w:t>
            </w:r>
          </w:p>
        </w:tc>
        <w:tc>
          <w:tcPr>
            <w:tcW w:w="6486" w:type="dxa"/>
          </w:tcPr>
          <w:p w14:paraId="37045031" w14:textId="77777777" w:rsidR="00E86883" w:rsidRPr="006D044F" w:rsidRDefault="00BA0402" w:rsidP="0099602A">
            <w:pPr>
              <w:spacing w:line="276" w:lineRule="auto"/>
              <w:jc w:val="both"/>
              <w:rPr>
                <w:rFonts w:ascii="Arial" w:hAnsi="Arial" w:cs="Arial"/>
                <w:color w:val="000000" w:themeColor="text1"/>
                <w:sz w:val="22"/>
                <w:szCs w:val="22"/>
              </w:rPr>
            </w:pPr>
            <w:r>
              <w:rPr>
                <w:rFonts w:ascii="Arial" w:hAnsi="Arial" w:cs="Arial"/>
                <w:color w:val="000000" w:themeColor="text1"/>
                <w:sz w:val="22"/>
                <w:szCs w:val="22"/>
              </w:rPr>
              <w:t>-</w:t>
            </w:r>
          </w:p>
        </w:tc>
      </w:tr>
      <w:tr w:rsidR="00F4372F" w:rsidRPr="006D044F" w14:paraId="614F1BB1" w14:textId="77777777" w:rsidTr="008D14FE">
        <w:tc>
          <w:tcPr>
            <w:tcW w:w="2802" w:type="dxa"/>
          </w:tcPr>
          <w:p w14:paraId="01C1076D" w14:textId="77777777" w:rsidR="00E86883" w:rsidRPr="006D044F" w:rsidRDefault="00E86883" w:rsidP="00C51B65">
            <w:pPr>
              <w:spacing w:line="276" w:lineRule="auto"/>
              <w:rPr>
                <w:rFonts w:ascii="Arial" w:hAnsi="Arial" w:cs="Arial"/>
                <w:color w:val="000000" w:themeColor="text1"/>
                <w:sz w:val="22"/>
                <w:szCs w:val="22"/>
              </w:rPr>
            </w:pPr>
            <w:r w:rsidRPr="006D044F">
              <w:rPr>
                <w:rFonts w:ascii="Arial" w:hAnsi="Arial" w:cs="Arial"/>
                <w:color w:val="000000" w:themeColor="text1"/>
                <w:sz w:val="22"/>
                <w:szCs w:val="22"/>
              </w:rPr>
              <w:t xml:space="preserve">Frekvence výstupu: </w:t>
            </w:r>
          </w:p>
        </w:tc>
        <w:tc>
          <w:tcPr>
            <w:tcW w:w="6486" w:type="dxa"/>
          </w:tcPr>
          <w:p w14:paraId="65469F03" w14:textId="77777777" w:rsidR="00E86883" w:rsidRPr="006D044F" w:rsidRDefault="00BD6089" w:rsidP="0099602A">
            <w:pPr>
              <w:spacing w:line="276" w:lineRule="auto"/>
              <w:jc w:val="both"/>
              <w:rPr>
                <w:rFonts w:ascii="Arial" w:hAnsi="Arial" w:cs="Arial"/>
                <w:color w:val="000000" w:themeColor="text1"/>
                <w:sz w:val="22"/>
                <w:szCs w:val="22"/>
              </w:rPr>
            </w:pPr>
            <w:r>
              <w:rPr>
                <w:rFonts w:ascii="Arial" w:hAnsi="Arial" w:cs="Arial"/>
                <w:color w:val="000000" w:themeColor="text1"/>
                <w:sz w:val="22"/>
                <w:szCs w:val="22"/>
              </w:rPr>
              <w:t>Výstupový</w:t>
            </w:r>
            <w:r w:rsidR="00E86883" w:rsidRPr="006D044F">
              <w:rPr>
                <w:rFonts w:ascii="Arial" w:hAnsi="Arial" w:cs="Arial"/>
                <w:color w:val="000000" w:themeColor="text1"/>
                <w:sz w:val="22"/>
                <w:szCs w:val="22"/>
              </w:rPr>
              <w:t xml:space="preserve"> indikátor</w:t>
            </w:r>
          </w:p>
        </w:tc>
      </w:tr>
      <w:tr w:rsidR="00F4372F" w:rsidRPr="006D044F" w14:paraId="0E92A785" w14:textId="77777777" w:rsidTr="008D14FE">
        <w:trPr>
          <w:trHeight w:val="214"/>
        </w:trPr>
        <w:tc>
          <w:tcPr>
            <w:tcW w:w="2802" w:type="dxa"/>
          </w:tcPr>
          <w:p w14:paraId="32E651D5" w14:textId="77777777" w:rsidR="00E86883" w:rsidRPr="006D044F" w:rsidRDefault="00E86883" w:rsidP="00C51B65">
            <w:pPr>
              <w:spacing w:line="276" w:lineRule="auto"/>
              <w:rPr>
                <w:rFonts w:ascii="Arial" w:hAnsi="Arial" w:cs="Arial"/>
                <w:color w:val="000000" w:themeColor="text1"/>
                <w:sz w:val="22"/>
                <w:szCs w:val="22"/>
              </w:rPr>
            </w:pPr>
            <w:r w:rsidRPr="006D044F">
              <w:rPr>
                <w:rFonts w:ascii="Arial" w:hAnsi="Arial" w:cs="Arial"/>
                <w:color w:val="000000" w:themeColor="text1"/>
                <w:sz w:val="22"/>
                <w:szCs w:val="22"/>
              </w:rPr>
              <w:t xml:space="preserve">Členění indikátoru: </w:t>
            </w:r>
          </w:p>
        </w:tc>
        <w:tc>
          <w:tcPr>
            <w:tcW w:w="6486" w:type="dxa"/>
          </w:tcPr>
          <w:p w14:paraId="48DE2DDF" w14:textId="77777777" w:rsidR="00E86883" w:rsidRPr="006D044F" w:rsidRDefault="006246C1" w:rsidP="0099602A">
            <w:pPr>
              <w:spacing w:line="276" w:lineRule="auto"/>
              <w:jc w:val="both"/>
              <w:rPr>
                <w:rFonts w:ascii="Arial" w:hAnsi="Arial" w:cs="Arial"/>
                <w:color w:val="000000" w:themeColor="text1"/>
                <w:sz w:val="22"/>
                <w:szCs w:val="22"/>
              </w:rPr>
            </w:pPr>
            <w:r>
              <w:rPr>
                <w:rFonts w:ascii="Arial" w:hAnsi="Arial" w:cs="Arial"/>
                <w:color w:val="000000" w:themeColor="text1"/>
                <w:sz w:val="22"/>
                <w:szCs w:val="22"/>
              </w:rPr>
              <w:t>-</w:t>
            </w:r>
          </w:p>
        </w:tc>
      </w:tr>
      <w:tr w:rsidR="00F4372F" w:rsidRPr="006D044F" w14:paraId="267F0B04" w14:textId="77777777" w:rsidTr="008D14FE">
        <w:trPr>
          <w:trHeight w:val="70"/>
        </w:trPr>
        <w:tc>
          <w:tcPr>
            <w:tcW w:w="2802" w:type="dxa"/>
          </w:tcPr>
          <w:p w14:paraId="2B315530" w14:textId="77777777" w:rsidR="00E86883" w:rsidRPr="006D044F" w:rsidRDefault="00E86883" w:rsidP="00C51B65">
            <w:pPr>
              <w:spacing w:line="276" w:lineRule="auto"/>
              <w:rPr>
                <w:rFonts w:ascii="Arial" w:hAnsi="Arial" w:cs="Arial"/>
                <w:color w:val="000000" w:themeColor="text1"/>
                <w:sz w:val="22"/>
                <w:szCs w:val="22"/>
              </w:rPr>
            </w:pPr>
            <w:r w:rsidRPr="006D044F">
              <w:rPr>
                <w:rFonts w:ascii="Arial" w:hAnsi="Arial" w:cs="Arial"/>
                <w:color w:val="000000" w:themeColor="text1"/>
                <w:sz w:val="22"/>
                <w:szCs w:val="22"/>
              </w:rPr>
              <w:t>Mezinárodní srovnání:</w:t>
            </w:r>
          </w:p>
        </w:tc>
        <w:tc>
          <w:tcPr>
            <w:tcW w:w="6486" w:type="dxa"/>
          </w:tcPr>
          <w:p w14:paraId="1E9DCAF0" w14:textId="77777777" w:rsidR="00E86883" w:rsidRPr="006D044F" w:rsidRDefault="006246C1" w:rsidP="0099602A">
            <w:pPr>
              <w:spacing w:line="276" w:lineRule="auto"/>
              <w:jc w:val="both"/>
              <w:rPr>
                <w:rFonts w:ascii="Arial" w:hAnsi="Arial" w:cs="Arial"/>
                <w:color w:val="000000" w:themeColor="text1"/>
                <w:sz w:val="22"/>
                <w:szCs w:val="22"/>
              </w:rPr>
            </w:pPr>
            <w:r>
              <w:rPr>
                <w:rFonts w:ascii="Arial" w:hAnsi="Arial" w:cs="Arial"/>
                <w:color w:val="000000" w:themeColor="text1"/>
                <w:sz w:val="22"/>
                <w:szCs w:val="22"/>
              </w:rPr>
              <w:t>-</w:t>
            </w:r>
          </w:p>
        </w:tc>
      </w:tr>
    </w:tbl>
    <w:p w14:paraId="72D66A46" w14:textId="77777777" w:rsidR="00E86883" w:rsidRPr="00E86883" w:rsidRDefault="00E86883" w:rsidP="00C51B65">
      <w:pPr>
        <w:spacing w:line="276" w:lineRule="auto"/>
        <w:contextualSpacing/>
        <w:rPr>
          <w:rFonts w:ascii="Arial" w:eastAsiaTheme="minorHAnsi" w:hAnsi="Arial" w:cs="Arial"/>
          <w:sz w:val="22"/>
          <w:szCs w:val="22"/>
          <w:lang w:eastAsia="en-US"/>
        </w:rPr>
      </w:pPr>
    </w:p>
    <w:tbl>
      <w:tblPr>
        <w:tblStyle w:val="Mkatabulky"/>
        <w:tblW w:w="0" w:type="auto"/>
        <w:tblLook w:val="04A0" w:firstRow="1" w:lastRow="0" w:firstColumn="1" w:lastColumn="0" w:noHBand="0" w:noVBand="1"/>
      </w:tblPr>
      <w:tblGrid>
        <w:gridCol w:w="2802"/>
        <w:gridCol w:w="6486"/>
      </w:tblGrid>
      <w:tr w:rsidR="00E86883" w:rsidRPr="00E86883" w14:paraId="7496693D" w14:textId="77777777" w:rsidTr="008D14FE">
        <w:tc>
          <w:tcPr>
            <w:tcW w:w="2802" w:type="dxa"/>
          </w:tcPr>
          <w:p w14:paraId="26B7E6C2"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Název a označení indikátoru: </w:t>
            </w:r>
          </w:p>
        </w:tc>
        <w:tc>
          <w:tcPr>
            <w:tcW w:w="6486" w:type="dxa"/>
          </w:tcPr>
          <w:p w14:paraId="781C6688" w14:textId="77777777" w:rsidR="00E86883" w:rsidRPr="00E86883" w:rsidRDefault="00E86883" w:rsidP="00C51B65">
            <w:pPr>
              <w:spacing w:line="276" w:lineRule="auto"/>
              <w:contextualSpacing/>
              <w:rPr>
                <w:rFonts w:ascii="Arial" w:hAnsi="Arial" w:cs="Arial"/>
                <w:b/>
                <w:sz w:val="22"/>
                <w:szCs w:val="22"/>
              </w:rPr>
            </w:pPr>
            <w:r w:rsidRPr="00E86883">
              <w:rPr>
                <w:rFonts w:ascii="Arial" w:eastAsia="Calibri" w:hAnsi="Arial" w:cs="Arial"/>
                <w:b/>
                <w:sz w:val="22"/>
                <w:szCs w:val="22"/>
              </w:rPr>
              <w:t>4.2.2 Platové ohodnocení učitelů</w:t>
            </w:r>
          </w:p>
        </w:tc>
      </w:tr>
      <w:tr w:rsidR="00E86883" w:rsidRPr="00E86883" w14:paraId="361C5C11" w14:textId="77777777" w:rsidTr="008D14FE">
        <w:tc>
          <w:tcPr>
            <w:tcW w:w="2802" w:type="dxa"/>
          </w:tcPr>
          <w:p w14:paraId="4950307C"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Stručná definice: </w:t>
            </w:r>
          </w:p>
        </w:tc>
        <w:tc>
          <w:tcPr>
            <w:tcW w:w="6486" w:type="dxa"/>
          </w:tcPr>
          <w:p w14:paraId="2460F178" w14:textId="77777777" w:rsidR="00E86883" w:rsidRPr="00E86883" w:rsidRDefault="00E86883" w:rsidP="0099602A">
            <w:pPr>
              <w:spacing w:line="276" w:lineRule="auto"/>
              <w:jc w:val="both"/>
              <w:rPr>
                <w:rFonts w:ascii="Arial" w:hAnsi="Arial" w:cs="Arial"/>
                <w:sz w:val="22"/>
                <w:szCs w:val="22"/>
              </w:rPr>
            </w:pPr>
            <w:r w:rsidRPr="00E86883">
              <w:rPr>
                <w:rFonts w:ascii="Arial" w:hAnsi="Arial" w:cs="Arial"/>
                <w:sz w:val="22"/>
                <w:szCs w:val="22"/>
              </w:rPr>
              <w:t xml:space="preserve">Podíl průměrného </w:t>
            </w:r>
            <w:r w:rsidRPr="00E86883">
              <w:rPr>
                <w:rFonts w:ascii="Arial" w:eastAsia="Calibri" w:hAnsi="Arial" w:cs="Arial"/>
                <w:sz w:val="22"/>
                <w:szCs w:val="22"/>
              </w:rPr>
              <w:t>platového ohodnocení</w:t>
            </w:r>
            <w:r w:rsidRPr="00E86883">
              <w:rPr>
                <w:rFonts w:ascii="Arial" w:hAnsi="Arial" w:cs="Arial"/>
                <w:sz w:val="22"/>
                <w:szCs w:val="22"/>
              </w:rPr>
              <w:t xml:space="preserve"> </w:t>
            </w:r>
            <w:r w:rsidRPr="00E86883">
              <w:rPr>
                <w:rFonts w:ascii="Arial" w:eastAsia="Calibri" w:hAnsi="Arial" w:cs="Arial"/>
                <w:sz w:val="22"/>
                <w:szCs w:val="22"/>
              </w:rPr>
              <w:t>učitelů k průměrnému platovému ohodnocení osoby s vysokoškolským vzděláním</w:t>
            </w:r>
          </w:p>
        </w:tc>
      </w:tr>
      <w:tr w:rsidR="00E86883" w:rsidRPr="00E86883" w14:paraId="4EC83E88" w14:textId="77777777" w:rsidTr="008D14FE">
        <w:tc>
          <w:tcPr>
            <w:tcW w:w="2802" w:type="dxa"/>
          </w:tcPr>
          <w:p w14:paraId="7904B8FC" w14:textId="77777777" w:rsidR="00E86883" w:rsidRPr="00E86883" w:rsidRDefault="00E86883" w:rsidP="00C51B65">
            <w:pPr>
              <w:spacing w:line="276" w:lineRule="auto"/>
              <w:rPr>
                <w:rFonts w:ascii="Arial" w:hAnsi="Arial" w:cs="Arial"/>
                <w:sz w:val="22"/>
                <w:szCs w:val="22"/>
                <w:highlight w:val="yellow"/>
              </w:rPr>
            </w:pPr>
            <w:r w:rsidRPr="00E86883">
              <w:rPr>
                <w:rFonts w:ascii="Arial" w:hAnsi="Arial" w:cs="Arial"/>
                <w:sz w:val="22"/>
                <w:szCs w:val="22"/>
              </w:rPr>
              <w:t>Jednotka:</w:t>
            </w:r>
          </w:p>
        </w:tc>
        <w:tc>
          <w:tcPr>
            <w:tcW w:w="6486" w:type="dxa"/>
          </w:tcPr>
          <w:p w14:paraId="4539A052" w14:textId="77777777" w:rsidR="00E86883" w:rsidRPr="00E86883" w:rsidRDefault="00E86883" w:rsidP="0099602A">
            <w:pPr>
              <w:spacing w:line="276" w:lineRule="auto"/>
              <w:jc w:val="both"/>
              <w:rPr>
                <w:rFonts w:ascii="Arial" w:hAnsi="Arial" w:cs="Arial"/>
                <w:sz w:val="22"/>
                <w:szCs w:val="22"/>
              </w:rPr>
            </w:pPr>
            <w:r w:rsidRPr="00E86883">
              <w:rPr>
                <w:rFonts w:ascii="Arial" w:hAnsi="Arial" w:cs="Arial"/>
                <w:sz w:val="22"/>
                <w:szCs w:val="22"/>
              </w:rPr>
              <w:t>Podíl (v %)</w:t>
            </w:r>
          </w:p>
        </w:tc>
      </w:tr>
      <w:tr w:rsidR="00E86883" w:rsidRPr="00E86883" w14:paraId="3E5A0808" w14:textId="77777777" w:rsidTr="008D14FE">
        <w:tc>
          <w:tcPr>
            <w:tcW w:w="2802" w:type="dxa"/>
          </w:tcPr>
          <w:p w14:paraId="7313D1F4" w14:textId="77777777" w:rsidR="00E86883" w:rsidRPr="00E86883" w:rsidRDefault="00E86883" w:rsidP="00C51B65">
            <w:pPr>
              <w:spacing w:line="276" w:lineRule="auto"/>
              <w:rPr>
                <w:rFonts w:ascii="Arial" w:hAnsi="Arial" w:cs="Arial"/>
                <w:sz w:val="22"/>
                <w:szCs w:val="22"/>
                <w:highlight w:val="yellow"/>
              </w:rPr>
            </w:pPr>
            <w:r w:rsidRPr="00E86883">
              <w:rPr>
                <w:rFonts w:ascii="Arial" w:hAnsi="Arial" w:cs="Arial"/>
                <w:sz w:val="22"/>
                <w:szCs w:val="22"/>
              </w:rPr>
              <w:lastRenderedPageBreak/>
              <w:t xml:space="preserve">Gestor: </w:t>
            </w:r>
          </w:p>
        </w:tc>
        <w:tc>
          <w:tcPr>
            <w:tcW w:w="6486" w:type="dxa"/>
          </w:tcPr>
          <w:p w14:paraId="5A6A62B8" w14:textId="2ECAFD0A" w:rsidR="00E86883" w:rsidRPr="00E86883" w:rsidRDefault="00E86883" w:rsidP="0099602A">
            <w:pPr>
              <w:spacing w:line="276" w:lineRule="auto"/>
              <w:jc w:val="both"/>
              <w:rPr>
                <w:rFonts w:ascii="Arial" w:hAnsi="Arial" w:cs="Arial"/>
                <w:sz w:val="22"/>
                <w:szCs w:val="22"/>
              </w:rPr>
            </w:pPr>
            <w:r w:rsidRPr="00E86883">
              <w:rPr>
                <w:rFonts w:ascii="Arial" w:hAnsi="Arial" w:cs="Arial"/>
                <w:sz w:val="22"/>
                <w:szCs w:val="22"/>
              </w:rPr>
              <w:t xml:space="preserve">Platy učitelů – Ministerstvo </w:t>
            </w:r>
            <w:r w:rsidR="00CD5590">
              <w:rPr>
                <w:rFonts w:ascii="Arial" w:hAnsi="Arial" w:cs="Arial"/>
                <w:sz w:val="22"/>
                <w:szCs w:val="22"/>
              </w:rPr>
              <w:t xml:space="preserve">školství, mládeže a tělovýchovy; </w:t>
            </w:r>
            <w:r w:rsidR="00C34D82" w:rsidRPr="00C34D82">
              <w:rPr>
                <w:rFonts w:ascii="Arial" w:hAnsi="Arial" w:cs="Arial"/>
                <w:sz w:val="22"/>
                <w:szCs w:val="22"/>
              </w:rPr>
              <w:t>průměrná mzda</w:t>
            </w:r>
            <w:r w:rsidR="00C34D82" w:rsidRPr="00C34D82" w:rsidDel="00C34D82">
              <w:rPr>
                <w:rFonts w:ascii="Arial" w:hAnsi="Arial" w:cs="Arial"/>
                <w:sz w:val="22"/>
                <w:szCs w:val="22"/>
              </w:rPr>
              <w:t xml:space="preserve"> </w:t>
            </w:r>
            <w:r w:rsidRPr="00E86883">
              <w:rPr>
                <w:rFonts w:ascii="Arial" w:hAnsi="Arial" w:cs="Arial"/>
                <w:sz w:val="22"/>
                <w:szCs w:val="22"/>
              </w:rPr>
              <w:t xml:space="preserve">vysokoškoláka – </w:t>
            </w:r>
            <w:r w:rsidRPr="00E86883">
              <w:rPr>
                <w:rFonts w:ascii="Arial" w:hAnsi="Arial" w:cs="Arial"/>
                <w:sz w:val="22"/>
                <w:szCs w:val="22"/>
                <w:lang w:eastAsia="en-US"/>
              </w:rPr>
              <w:t>Český statistický úřad</w:t>
            </w:r>
          </w:p>
        </w:tc>
      </w:tr>
      <w:tr w:rsidR="00E86883" w:rsidRPr="00E86883" w14:paraId="54C2B8AB" w14:textId="77777777" w:rsidTr="008D14FE">
        <w:tc>
          <w:tcPr>
            <w:tcW w:w="2802" w:type="dxa"/>
          </w:tcPr>
          <w:p w14:paraId="1EF2F6EC" w14:textId="77777777" w:rsidR="00E86883" w:rsidRPr="00E86883" w:rsidRDefault="00E86883" w:rsidP="00C51B65">
            <w:pPr>
              <w:spacing w:line="276" w:lineRule="auto"/>
              <w:rPr>
                <w:rFonts w:ascii="Arial" w:hAnsi="Arial" w:cs="Arial"/>
                <w:sz w:val="22"/>
                <w:szCs w:val="22"/>
                <w:highlight w:val="yellow"/>
              </w:rPr>
            </w:pPr>
            <w:r w:rsidRPr="00E86883">
              <w:rPr>
                <w:rFonts w:ascii="Arial" w:hAnsi="Arial" w:cs="Arial"/>
                <w:sz w:val="22"/>
                <w:szCs w:val="22"/>
              </w:rPr>
              <w:t xml:space="preserve">Význam indikátoru: </w:t>
            </w:r>
          </w:p>
        </w:tc>
        <w:tc>
          <w:tcPr>
            <w:tcW w:w="6486" w:type="dxa"/>
          </w:tcPr>
          <w:p w14:paraId="69F7714E" w14:textId="2AE64245" w:rsidR="00E86883" w:rsidRPr="00E86883" w:rsidRDefault="00E86883" w:rsidP="0099602A">
            <w:pPr>
              <w:spacing w:line="276" w:lineRule="auto"/>
              <w:jc w:val="both"/>
              <w:rPr>
                <w:rFonts w:ascii="Arial" w:hAnsi="Arial" w:cs="Arial"/>
                <w:sz w:val="22"/>
                <w:szCs w:val="22"/>
              </w:rPr>
            </w:pPr>
            <w:r w:rsidRPr="00E86883">
              <w:rPr>
                <w:rFonts w:ascii="Arial" w:hAnsi="Arial" w:cs="Arial"/>
                <w:sz w:val="22"/>
                <w:szCs w:val="22"/>
              </w:rPr>
              <w:t>Porovnává platy učitelů, kteří ze zá</w:t>
            </w:r>
            <w:r w:rsidR="00CD5590">
              <w:rPr>
                <w:rFonts w:ascii="Arial" w:hAnsi="Arial" w:cs="Arial"/>
                <w:sz w:val="22"/>
                <w:szCs w:val="22"/>
              </w:rPr>
              <w:t>kona mají mít bakalářské (pro mateřské školy</w:t>
            </w:r>
            <w:r w:rsidRPr="00E86883">
              <w:rPr>
                <w:rFonts w:ascii="Arial" w:hAnsi="Arial" w:cs="Arial"/>
                <w:sz w:val="22"/>
                <w:szCs w:val="22"/>
              </w:rPr>
              <w:t>), nebo magisterské (pro vyšší vzdělávací úrovně) vzdělání s průměrným platem osob se stejnou úrovní vzdělání. Pokud je podíl nízký, je to jeden z důvodů, proč povolání učitele není atraktivní.</w:t>
            </w:r>
          </w:p>
        </w:tc>
      </w:tr>
      <w:tr w:rsidR="00E86883" w:rsidRPr="00E86883" w14:paraId="7C6C621D" w14:textId="77777777" w:rsidTr="0024059F">
        <w:tc>
          <w:tcPr>
            <w:tcW w:w="2802" w:type="dxa"/>
          </w:tcPr>
          <w:p w14:paraId="4D335136" w14:textId="77777777" w:rsidR="00E86883" w:rsidRPr="002E47D0" w:rsidRDefault="00E86883" w:rsidP="00C51B65">
            <w:pPr>
              <w:spacing w:line="276" w:lineRule="auto"/>
              <w:rPr>
                <w:rFonts w:ascii="Arial" w:hAnsi="Arial" w:cs="Arial"/>
                <w:sz w:val="22"/>
                <w:szCs w:val="22"/>
              </w:rPr>
            </w:pPr>
            <w:r w:rsidRPr="002E47D0">
              <w:rPr>
                <w:rFonts w:ascii="Arial" w:hAnsi="Arial" w:cs="Arial"/>
                <w:sz w:val="22"/>
                <w:szCs w:val="22"/>
              </w:rPr>
              <w:t xml:space="preserve">Časová řada: </w:t>
            </w:r>
          </w:p>
        </w:tc>
        <w:tc>
          <w:tcPr>
            <w:tcW w:w="6486" w:type="dxa"/>
            <w:shd w:val="clear" w:color="auto" w:fill="auto"/>
          </w:tcPr>
          <w:p w14:paraId="44BF5D55" w14:textId="77777777" w:rsidR="00E86883" w:rsidRPr="00E86883" w:rsidRDefault="0024059F" w:rsidP="0099602A">
            <w:pPr>
              <w:spacing w:line="276" w:lineRule="auto"/>
              <w:jc w:val="both"/>
              <w:rPr>
                <w:rFonts w:ascii="Arial" w:hAnsi="Arial" w:cs="Arial"/>
                <w:sz w:val="22"/>
                <w:szCs w:val="22"/>
                <w:highlight w:val="yellow"/>
              </w:rPr>
            </w:pPr>
            <w:r w:rsidRPr="0024059F">
              <w:rPr>
                <w:rFonts w:ascii="Arial" w:hAnsi="Arial" w:cs="Arial"/>
                <w:sz w:val="22"/>
                <w:szCs w:val="22"/>
              </w:rPr>
              <w:t>-</w:t>
            </w:r>
          </w:p>
        </w:tc>
      </w:tr>
      <w:tr w:rsidR="00E86883" w:rsidRPr="00E86883" w14:paraId="5D4AA06C" w14:textId="77777777" w:rsidTr="008D14FE">
        <w:tc>
          <w:tcPr>
            <w:tcW w:w="2802" w:type="dxa"/>
          </w:tcPr>
          <w:p w14:paraId="64FCE360"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Frekvence výstupu: </w:t>
            </w:r>
          </w:p>
        </w:tc>
        <w:tc>
          <w:tcPr>
            <w:tcW w:w="6486" w:type="dxa"/>
          </w:tcPr>
          <w:p w14:paraId="54ABC8FE" w14:textId="77777777" w:rsidR="00E86883" w:rsidRPr="00E86883" w:rsidRDefault="00E86883" w:rsidP="0099602A">
            <w:pPr>
              <w:spacing w:line="276" w:lineRule="auto"/>
              <w:jc w:val="both"/>
              <w:rPr>
                <w:rFonts w:ascii="Arial" w:hAnsi="Arial" w:cs="Arial"/>
                <w:sz w:val="22"/>
                <w:szCs w:val="22"/>
              </w:rPr>
            </w:pPr>
            <w:r w:rsidRPr="00E86883">
              <w:rPr>
                <w:rFonts w:ascii="Arial" w:hAnsi="Arial" w:cs="Arial"/>
                <w:sz w:val="22"/>
                <w:szCs w:val="22"/>
              </w:rPr>
              <w:t>Ročně</w:t>
            </w:r>
          </w:p>
        </w:tc>
      </w:tr>
      <w:tr w:rsidR="00E86883" w:rsidRPr="00E86883" w14:paraId="2A9F94E6" w14:textId="77777777" w:rsidTr="008D14FE">
        <w:trPr>
          <w:trHeight w:val="70"/>
        </w:trPr>
        <w:tc>
          <w:tcPr>
            <w:tcW w:w="2802" w:type="dxa"/>
          </w:tcPr>
          <w:p w14:paraId="12F93B82" w14:textId="77777777" w:rsidR="00E86883" w:rsidRPr="00E86883" w:rsidRDefault="00E86883" w:rsidP="00C51B65">
            <w:pPr>
              <w:spacing w:line="276" w:lineRule="auto"/>
              <w:rPr>
                <w:rFonts w:ascii="Arial" w:hAnsi="Arial" w:cs="Arial"/>
                <w:sz w:val="22"/>
                <w:szCs w:val="22"/>
                <w:highlight w:val="yellow"/>
              </w:rPr>
            </w:pPr>
            <w:r w:rsidRPr="00E86883">
              <w:rPr>
                <w:rFonts w:ascii="Arial" w:hAnsi="Arial" w:cs="Arial"/>
                <w:sz w:val="22"/>
                <w:szCs w:val="22"/>
              </w:rPr>
              <w:t xml:space="preserve">Členění indikátoru: </w:t>
            </w:r>
          </w:p>
        </w:tc>
        <w:tc>
          <w:tcPr>
            <w:tcW w:w="6486" w:type="dxa"/>
          </w:tcPr>
          <w:p w14:paraId="7E6CAFC2" w14:textId="3B26105C" w:rsidR="00E86883" w:rsidRPr="00E86883" w:rsidRDefault="00CD5590" w:rsidP="0099602A">
            <w:pPr>
              <w:spacing w:line="276" w:lineRule="auto"/>
              <w:jc w:val="both"/>
              <w:rPr>
                <w:rFonts w:ascii="Arial" w:hAnsi="Arial" w:cs="Arial"/>
                <w:sz w:val="22"/>
                <w:szCs w:val="22"/>
              </w:rPr>
            </w:pPr>
            <w:r>
              <w:rPr>
                <w:rFonts w:ascii="Arial" w:hAnsi="Arial" w:cs="Arial"/>
                <w:sz w:val="22"/>
                <w:szCs w:val="22"/>
              </w:rPr>
              <w:t>Dle krajů</w:t>
            </w:r>
            <w:r w:rsidR="00E86883" w:rsidRPr="00E86883">
              <w:rPr>
                <w:rFonts w:ascii="Arial" w:hAnsi="Arial" w:cs="Arial"/>
                <w:sz w:val="22"/>
                <w:szCs w:val="22"/>
              </w:rPr>
              <w:t>, úroveň vzdělávání podle ISCED</w:t>
            </w:r>
          </w:p>
        </w:tc>
      </w:tr>
      <w:tr w:rsidR="00E86883" w:rsidRPr="00E86883" w14:paraId="26A5A479" w14:textId="77777777" w:rsidTr="008D14FE">
        <w:trPr>
          <w:trHeight w:val="70"/>
        </w:trPr>
        <w:tc>
          <w:tcPr>
            <w:tcW w:w="2802" w:type="dxa"/>
          </w:tcPr>
          <w:p w14:paraId="471FF2ED" w14:textId="77777777" w:rsidR="00E86883" w:rsidRPr="00E86883" w:rsidRDefault="00E86883" w:rsidP="00C51B65">
            <w:pPr>
              <w:spacing w:line="276" w:lineRule="auto"/>
              <w:rPr>
                <w:rFonts w:ascii="Arial" w:hAnsi="Arial" w:cs="Arial"/>
                <w:sz w:val="22"/>
                <w:szCs w:val="22"/>
                <w:highlight w:val="yellow"/>
              </w:rPr>
            </w:pPr>
            <w:r w:rsidRPr="00E86883">
              <w:rPr>
                <w:rFonts w:ascii="Arial" w:hAnsi="Arial" w:cs="Arial"/>
                <w:sz w:val="22"/>
                <w:szCs w:val="22"/>
              </w:rPr>
              <w:t>Mezinárodní srovnání:</w:t>
            </w:r>
          </w:p>
        </w:tc>
        <w:tc>
          <w:tcPr>
            <w:tcW w:w="6486" w:type="dxa"/>
          </w:tcPr>
          <w:p w14:paraId="2FB750DB" w14:textId="77777777" w:rsidR="00E86883" w:rsidRPr="00E86883" w:rsidRDefault="00E86883" w:rsidP="0099602A">
            <w:pPr>
              <w:spacing w:line="276" w:lineRule="auto"/>
              <w:jc w:val="both"/>
              <w:rPr>
                <w:rFonts w:ascii="Arial" w:hAnsi="Arial" w:cs="Arial"/>
                <w:sz w:val="22"/>
                <w:szCs w:val="22"/>
              </w:rPr>
            </w:pPr>
            <w:r w:rsidRPr="00E86883">
              <w:rPr>
                <w:rFonts w:ascii="Arial" w:hAnsi="Arial" w:cs="Arial"/>
                <w:sz w:val="22"/>
                <w:szCs w:val="22"/>
              </w:rPr>
              <w:t>OECD</w:t>
            </w:r>
          </w:p>
        </w:tc>
      </w:tr>
    </w:tbl>
    <w:p w14:paraId="3BA3714D" w14:textId="77777777" w:rsidR="00E86883" w:rsidRPr="00E86883" w:rsidRDefault="0024059F" w:rsidP="00ED673D">
      <w:pPr>
        <w:pStyle w:val="r2030podcle"/>
        <w:numPr>
          <w:ilvl w:val="1"/>
          <w:numId w:val="17"/>
        </w:numPr>
        <w:ind w:left="567" w:hanging="425"/>
        <w:jc w:val="both"/>
      </w:pPr>
      <w:r w:rsidRPr="0024059F">
        <w:t>Vzdělávání zajišťuje každému přístup k rozvoji přenositelných kompetencí, potřebných pro aktivní občanský, profesní i osobní život. Systém zahrnuje přiměřený všeobecný základ nezbytný pro další vzdělávání, zapojení do společnosti i pro porozumění vzájemné provázanosti současného světa.</w:t>
      </w:r>
    </w:p>
    <w:tbl>
      <w:tblPr>
        <w:tblStyle w:val="Mkatabulky"/>
        <w:tblW w:w="9322" w:type="dxa"/>
        <w:tblLook w:val="04A0" w:firstRow="1" w:lastRow="0" w:firstColumn="1" w:lastColumn="0" w:noHBand="0" w:noVBand="1"/>
      </w:tblPr>
      <w:tblGrid>
        <w:gridCol w:w="2802"/>
        <w:gridCol w:w="6520"/>
      </w:tblGrid>
      <w:tr w:rsidR="00E86883" w:rsidRPr="00E86883" w14:paraId="1F86E810" w14:textId="77777777" w:rsidTr="0099602A">
        <w:tc>
          <w:tcPr>
            <w:tcW w:w="2802" w:type="dxa"/>
          </w:tcPr>
          <w:p w14:paraId="083E6B6C"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Název a označení indikátoru: </w:t>
            </w:r>
          </w:p>
        </w:tc>
        <w:tc>
          <w:tcPr>
            <w:tcW w:w="6520" w:type="dxa"/>
          </w:tcPr>
          <w:p w14:paraId="5DABB68B" w14:textId="77777777" w:rsidR="00E86883" w:rsidRPr="00E86883" w:rsidRDefault="00E86883" w:rsidP="00C51B65">
            <w:pPr>
              <w:spacing w:line="276" w:lineRule="auto"/>
              <w:contextualSpacing/>
              <w:rPr>
                <w:rFonts w:ascii="Arial" w:hAnsi="Arial" w:cs="Arial"/>
                <w:b/>
                <w:sz w:val="22"/>
                <w:szCs w:val="22"/>
              </w:rPr>
            </w:pPr>
            <w:r w:rsidRPr="00E86883">
              <w:rPr>
                <w:rFonts w:ascii="Arial" w:hAnsi="Arial" w:cs="Arial"/>
                <w:b/>
                <w:sz w:val="22"/>
                <w:szCs w:val="22"/>
              </w:rPr>
              <w:t>4.3.1 Úroveň dovedností žáků v mezinárodním srovnání – čtenářská gramotnost</w:t>
            </w:r>
          </w:p>
        </w:tc>
      </w:tr>
      <w:tr w:rsidR="00E86883" w:rsidRPr="00E86883" w14:paraId="7AA0544D" w14:textId="77777777" w:rsidTr="0099602A">
        <w:tc>
          <w:tcPr>
            <w:tcW w:w="2802" w:type="dxa"/>
          </w:tcPr>
          <w:p w14:paraId="15816111"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Stručná definice: </w:t>
            </w:r>
          </w:p>
        </w:tc>
        <w:tc>
          <w:tcPr>
            <w:tcW w:w="6520" w:type="dxa"/>
          </w:tcPr>
          <w:p w14:paraId="1F7585F2" w14:textId="77777777" w:rsidR="00E86883" w:rsidRPr="00E86883" w:rsidRDefault="00E86883" w:rsidP="0099602A">
            <w:pPr>
              <w:spacing w:line="276" w:lineRule="auto"/>
              <w:jc w:val="both"/>
              <w:rPr>
                <w:rFonts w:ascii="Arial" w:hAnsi="Arial" w:cs="Arial"/>
                <w:sz w:val="22"/>
                <w:szCs w:val="22"/>
              </w:rPr>
            </w:pPr>
            <w:r w:rsidRPr="00E86883">
              <w:rPr>
                <w:rFonts w:ascii="Arial" w:hAnsi="Arial" w:cs="Arial"/>
                <w:sz w:val="22"/>
                <w:szCs w:val="22"/>
              </w:rPr>
              <w:t>Podíl žáků podle úrovní čtenářské gramotnosti v testu PISA na celkovém počtu žáků</w:t>
            </w:r>
          </w:p>
        </w:tc>
      </w:tr>
      <w:tr w:rsidR="00E86883" w:rsidRPr="00E86883" w14:paraId="5AB175BD" w14:textId="77777777" w:rsidTr="0099602A">
        <w:tc>
          <w:tcPr>
            <w:tcW w:w="2802" w:type="dxa"/>
          </w:tcPr>
          <w:p w14:paraId="73CF016F"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Jednotka:</w:t>
            </w:r>
          </w:p>
        </w:tc>
        <w:tc>
          <w:tcPr>
            <w:tcW w:w="6520" w:type="dxa"/>
          </w:tcPr>
          <w:p w14:paraId="6776FC14" w14:textId="77777777" w:rsidR="00E86883" w:rsidRPr="00E86883" w:rsidRDefault="00E86883" w:rsidP="0099602A">
            <w:pPr>
              <w:spacing w:line="276" w:lineRule="auto"/>
              <w:jc w:val="both"/>
              <w:rPr>
                <w:rFonts w:ascii="Arial" w:hAnsi="Arial" w:cs="Arial"/>
                <w:sz w:val="22"/>
                <w:szCs w:val="22"/>
              </w:rPr>
            </w:pPr>
            <w:r w:rsidRPr="00E86883">
              <w:rPr>
                <w:rFonts w:ascii="Arial" w:hAnsi="Arial" w:cs="Arial"/>
                <w:sz w:val="22"/>
                <w:szCs w:val="22"/>
              </w:rPr>
              <w:t>Podíl (v %)</w:t>
            </w:r>
          </w:p>
        </w:tc>
      </w:tr>
      <w:tr w:rsidR="00E86883" w:rsidRPr="00E86883" w14:paraId="280FDA25" w14:textId="77777777" w:rsidTr="0099602A">
        <w:tc>
          <w:tcPr>
            <w:tcW w:w="2802" w:type="dxa"/>
          </w:tcPr>
          <w:p w14:paraId="64FEB1C5"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Gestor: </w:t>
            </w:r>
          </w:p>
        </w:tc>
        <w:tc>
          <w:tcPr>
            <w:tcW w:w="6520" w:type="dxa"/>
          </w:tcPr>
          <w:p w14:paraId="19F6B1CE" w14:textId="77777777" w:rsidR="00E86883" w:rsidRPr="00E86883" w:rsidRDefault="00E86883" w:rsidP="0099602A">
            <w:pPr>
              <w:spacing w:line="276" w:lineRule="auto"/>
              <w:jc w:val="both"/>
              <w:rPr>
                <w:rFonts w:ascii="Arial" w:hAnsi="Arial" w:cs="Arial"/>
                <w:sz w:val="22"/>
                <w:szCs w:val="22"/>
              </w:rPr>
            </w:pPr>
            <w:r w:rsidRPr="00E86883">
              <w:rPr>
                <w:rFonts w:ascii="Arial" w:hAnsi="Arial" w:cs="Arial"/>
                <w:sz w:val="22"/>
                <w:szCs w:val="22"/>
              </w:rPr>
              <w:t>Ministerstvo školství, mládeže a tělovýchovy</w:t>
            </w:r>
          </w:p>
        </w:tc>
      </w:tr>
      <w:tr w:rsidR="00E86883" w:rsidRPr="00E86883" w14:paraId="70517A2C" w14:textId="77777777" w:rsidTr="0099602A">
        <w:tc>
          <w:tcPr>
            <w:tcW w:w="2802" w:type="dxa"/>
          </w:tcPr>
          <w:p w14:paraId="03307AA9"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Význam indikátoru: </w:t>
            </w:r>
          </w:p>
        </w:tc>
        <w:tc>
          <w:tcPr>
            <w:tcW w:w="6520" w:type="dxa"/>
          </w:tcPr>
          <w:p w14:paraId="75DE683A" w14:textId="77777777" w:rsidR="00E86883" w:rsidRPr="00E86883" w:rsidRDefault="00E86883" w:rsidP="0099602A">
            <w:pPr>
              <w:spacing w:line="276" w:lineRule="auto"/>
              <w:jc w:val="both"/>
              <w:rPr>
                <w:rFonts w:ascii="Arial" w:hAnsi="Arial" w:cs="Arial"/>
                <w:sz w:val="22"/>
                <w:szCs w:val="22"/>
              </w:rPr>
            </w:pPr>
            <w:r w:rsidRPr="00E86883">
              <w:rPr>
                <w:rFonts w:ascii="Arial" w:hAnsi="Arial" w:cs="Arial"/>
                <w:sz w:val="22"/>
                <w:szCs w:val="22"/>
              </w:rPr>
              <w:t>Částečně mapuje kvalitu vzdělávacího systému. Cílem je mít co nejméně žáků s nízkou úrovní (úrovně 0 a 1) a co nejvíce žáků s vysokou úrovní (úrovně 5 a 6) čtenářské gramotnosti.</w:t>
            </w:r>
          </w:p>
        </w:tc>
      </w:tr>
      <w:tr w:rsidR="00E86883" w:rsidRPr="00E86883" w14:paraId="513CE8B5" w14:textId="77777777" w:rsidTr="0099602A">
        <w:tc>
          <w:tcPr>
            <w:tcW w:w="2802" w:type="dxa"/>
          </w:tcPr>
          <w:p w14:paraId="00C8D98F"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Časová řada: </w:t>
            </w:r>
          </w:p>
        </w:tc>
        <w:tc>
          <w:tcPr>
            <w:tcW w:w="6520" w:type="dxa"/>
          </w:tcPr>
          <w:p w14:paraId="344EE1E5" w14:textId="77777777" w:rsidR="00E86883" w:rsidRPr="00E86883" w:rsidRDefault="00E86883" w:rsidP="0099602A">
            <w:pPr>
              <w:spacing w:line="276" w:lineRule="auto"/>
              <w:jc w:val="both"/>
              <w:rPr>
                <w:rFonts w:ascii="Arial" w:hAnsi="Arial" w:cs="Arial"/>
                <w:sz w:val="22"/>
                <w:szCs w:val="22"/>
              </w:rPr>
            </w:pPr>
            <w:r w:rsidRPr="00E86883">
              <w:rPr>
                <w:rFonts w:ascii="Arial" w:hAnsi="Arial" w:cs="Arial"/>
                <w:sz w:val="22"/>
                <w:szCs w:val="22"/>
              </w:rPr>
              <w:t>Od roku 2000</w:t>
            </w:r>
          </w:p>
        </w:tc>
      </w:tr>
      <w:tr w:rsidR="00E86883" w:rsidRPr="00E86883" w14:paraId="5D24C3BB" w14:textId="77777777" w:rsidTr="0099602A">
        <w:tc>
          <w:tcPr>
            <w:tcW w:w="2802" w:type="dxa"/>
          </w:tcPr>
          <w:p w14:paraId="28B836EB"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Frekvence výstupu: </w:t>
            </w:r>
          </w:p>
        </w:tc>
        <w:tc>
          <w:tcPr>
            <w:tcW w:w="6520" w:type="dxa"/>
          </w:tcPr>
          <w:p w14:paraId="3E1F985C" w14:textId="77777777" w:rsidR="00E86883" w:rsidRPr="00E86883" w:rsidRDefault="00E86883" w:rsidP="0099602A">
            <w:pPr>
              <w:spacing w:line="276" w:lineRule="auto"/>
              <w:jc w:val="both"/>
              <w:rPr>
                <w:rFonts w:ascii="Arial" w:hAnsi="Arial" w:cs="Arial"/>
                <w:sz w:val="22"/>
                <w:szCs w:val="22"/>
              </w:rPr>
            </w:pPr>
            <w:r w:rsidRPr="00E86883">
              <w:rPr>
                <w:rFonts w:ascii="Arial" w:hAnsi="Arial" w:cs="Arial"/>
                <w:sz w:val="22"/>
                <w:szCs w:val="22"/>
              </w:rPr>
              <w:t>Jednou za tři roky</w:t>
            </w:r>
          </w:p>
        </w:tc>
      </w:tr>
      <w:tr w:rsidR="00E86883" w:rsidRPr="00E86883" w14:paraId="43D07C3D" w14:textId="77777777" w:rsidTr="0099602A">
        <w:trPr>
          <w:trHeight w:val="70"/>
        </w:trPr>
        <w:tc>
          <w:tcPr>
            <w:tcW w:w="2802" w:type="dxa"/>
          </w:tcPr>
          <w:p w14:paraId="6675D39E"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Členění indikátoru: </w:t>
            </w:r>
          </w:p>
        </w:tc>
        <w:tc>
          <w:tcPr>
            <w:tcW w:w="6520" w:type="dxa"/>
          </w:tcPr>
          <w:p w14:paraId="514449CF" w14:textId="50080F8B" w:rsidR="00E86883" w:rsidRPr="00E86883" w:rsidRDefault="00CD5590" w:rsidP="0099602A">
            <w:pPr>
              <w:spacing w:line="276" w:lineRule="auto"/>
              <w:jc w:val="both"/>
              <w:rPr>
                <w:rFonts w:ascii="Arial" w:hAnsi="Arial" w:cs="Arial"/>
                <w:sz w:val="22"/>
                <w:szCs w:val="22"/>
              </w:rPr>
            </w:pPr>
            <w:r>
              <w:rPr>
                <w:rFonts w:ascii="Arial" w:hAnsi="Arial" w:cs="Arial"/>
                <w:sz w:val="22"/>
                <w:szCs w:val="22"/>
              </w:rPr>
              <w:t>Dle úrovně</w:t>
            </w:r>
            <w:r w:rsidR="00E86883" w:rsidRPr="00E86883">
              <w:rPr>
                <w:rFonts w:ascii="Arial" w:hAnsi="Arial" w:cs="Arial"/>
                <w:sz w:val="22"/>
                <w:szCs w:val="22"/>
              </w:rPr>
              <w:t xml:space="preserve"> čtenářské gramotnosti, </w:t>
            </w:r>
            <w:r w:rsidR="006246C1">
              <w:rPr>
                <w:rFonts w:ascii="Arial" w:hAnsi="Arial" w:cs="Arial"/>
                <w:sz w:val="22"/>
                <w:szCs w:val="22"/>
              </w:rPr>
              <w:t>pohlaví</w:t>
            </w:r>
          </w:p>
        </w:tc>
      </w:tr>
      <w:tr w:rsidR="00E86883" w:rsidRPr="00E86883" w14:paraId="0CEE314B" w14:textId="77777777" w:rsidTr="0099602A">
        <w:trPr>
          <w:trHeight w:val="70"/>
        </w:trPr>
        <w:tc>
          <w:tcPr>
            <w:tcW w:w="2802" w:type="dxa"/>
          </w:tcPr>
          <w:p w14:paraId="303B1B89"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Mezinárodní srovnání:</w:t>
            </w:r>
          </w:p>
        </w:tc>
        <w:tc>
          <w:tcPr>
            <w:tcW w:w="6520" w:type="dxa"/>
          </w:tcPr>
          <w:p w14:paraId="669C1568" w14:textId="77777777" w:rsidR="00E86883" w:rsidRPr="00E86883" w:rsidRDefault="00E86883" w:rsidP="0099602A">
            <w:pPr>
              <w:spacing w:line="276" w:lineRule="auto"/>
              <w:jc w:val="both"/>
              <w:rPr>
                <w:rFonts w:ascii="Arial" w:hAnsi="Arial" w:cs="Arial"/>
                <w:sz w:val="22"/>
                <w:szCs w:val="22"/>
              </w:rPr>
            </w:pPr>
            <w:r w:rsidRPr="00E86883">
              <w:rPr>
                <w:rFonts w:ascii="Arial" w:hAnsi="Arial" w:cs="Arial"/>
                <w:sz w:val="22"/>
                <w:szCs w:val="22"/>
              </w:rPr>
              <w:t>OECD</w:t>
            </w:r>
          </w:p>
        </w:tc>
      </w:tr>
    </w:tbl>
    <w:p w14:paraId="28E5BD0D" w14:textId="77777777" w:rsidR="00E86883" w:rsidRPr="00E86883" w:rsidRDefault="00E86883" w:rsidP="00C51B65">
      <w:pPr>
        <w:spacing w:line="276" w:lineRule="auto"/>
        <w:contextualSpacing/>
        <w:rPr>
          <w:rFonts w:ascii="Arial" w:eastAsiaTheme="minorHAnsi" w:hAnsi="Arial" w:cs="Arial"/>
          <w:sz w:val="22"/>
          <w:szCs w:val="22"/>
          <w:lang w:eastAsia="en-US"/>
        </w:rPr>
      </w:pPr>
    </w:p>
    <w:tbl>
      <w:tblPr>
        <w:tblStyle w:val="Mkatabulky"/>
        <w:tblW w:w="9322" w:type="dxa"/>
        <w:tblLook w:val="04A0" w:firstRow="1" w:lastRow="0" w:firstColumn="1" w:lastColumn="0" w:noHBand="0" w:noVBand="1"/>
      </w:tblPr>
      <w:tblGrid>
        <w:gridCol w:w="2752"/>
        <w:gridCol w:w="6570"/>
      </w:tblGrid>
      <w:tr w:rsidR="00E86883" w:rsidRPr="00E86883" w14:paraId="0CAEA664" w14:textId="77777777" w:rsidTr="0099602A">
        <w:tc>
          <w:tcPr>
            <w:tcW w:w="2752" w:type="dxa"/>
          </w:tcPr>
          <w:p w14:paraId="1092550C"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Název a označení indikátoru: </w:t>
            </w:r>
          </w:p>
        </w:tc>
        <w:tc>
          <w:tcPr>
            <w:tcW w:w="6570" w:type="dxa"/>
          </w:tcPr>
          <w:p w14:paraId="58D55F1C" w14:textId="77777777" w:rsidR="00E86883" w:rsidRPr="00E86883" w:rsidRDefault="00E86883" w:rsidP="00C51B65">
            <w:pPr>
              <w:spacing w:line="276" w:lineRule="auto"/>
              <w:contextualSpacing/>
              <w:rPr>
                <w:rFonts w:ascii="Arial" w:hAnsi="Arial" w:cs="Arial"/>
                <w:b/>
                <w:sz w:val="22"/>
                <w:szCs w:val="22"/>
              </w:rPr>
            </w:pPr>
            <w:r w:rsidRPr="00E86883">
              <w:rPr>
                <w:rFonts w:ascii="Arial" w:hAnsi="Arial" w:cs="Arial"/>
                <w:b/>
                <w:sz w:val="22"/>
                <w:szCs w:val="22"/>
              </w:rPr>
              <w:t>4.3.2 Úroveň dovedností žáků v mezinárodním srovnání – numerická gramotnost</w:t>
            </w:r>
          </w:p>
        </w:tc>
      </w:tr>
      <w:tr w:rsidR="00E86883" w:rsidRPr="00E86883" w14:paraId="7DCB1DEB" w14:textId="77777777" w:rsidTr="0099602A">
        <w:tc>
          <w:tcPr>
            <w:tcW w:w="2752" w:type="dxa"/>
          </w:tcPr>
          <w:p w14:paraId="23320F6A"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Stručná definice: </w:t>
            </w:r>
          </w:p>
        </w:tc>
        <w:tc>
          <w:tcPr>
            <w:tcW w:w="6570" w:type="dxa"/>
          </w:tcPr>
          <w:p w14:paraId="52861B1E" w14:textId="0E003CA3" w:rsidR="00E86883" w:rsidRPr="00E86883" w:rsidRDefault="00ED1E58" w:rsidP="0099602A">
            <w:pPr>
              <w:jc w:val="both"/>
              <w:rPr>
                <w:rFonts w:ascii="Arial" w:hAnsi="Arial" w:cs="Arial"/>
                <w:sz w:val="22"/>
                <w:szCs w:val="22"/>
              </w:rPr>
            </w:pPr>
            <w:r w:rsidRPr="00ED1E58">
              <w:rPr>
                <w:rFonts w:ascii="Arial" w:hAnsi="Arial" w:cs="Arial"/>
                <w:sz w:val="22"/>
                <w:szCs w:val="22"/>
              </w:rPr>
              <w:t>Podíl žáků podle úrovní numerické gramotnosti v testu PISA na celkovém počtu žáků</w:t>
            </w:r>
          </w:p>
        </w:tc>
      </w:tr>
      <w:tr w:rsidR="00E86883" w:rsidRPr="00E86883" w14:paraId="6EED7FAC" w14:textId="77777777" w:rsidTr="0099602A">
        <w:tc>
          <w:tcPr>
            <w:tcW w:w="2752" w:type="dxa"/>
          </w:tcPr>
          <w:p w14:paraId="7447C045" w14:textId="77777777" w:rsidR="00E86883" w:rsidRPr="00E86883" w:rsidRDefault="00E86883" w:rsidP="00C51B65">
            <w:pPr>
              <w:spacing w:line="276" w:lineRule="auto"/>
              <w:rPr>
                <w:rFonts w:ascii="Arial" w:hAnsi="Arial" w:cs="Arial"/>
                <w:sz w:val="22"/>
                <w:szCs w:val="22"/>
                <w:highlight w:val="yellow"/>
              </w:rPr>
            </w:pPr>
            <w:r w:rsidRPr="00E86883">
              <w:rPr>
                <w:rFonts w:ascii="Arial" w:hAnsi="Arial" w:cs="Arial"/>
                <w:sz w:val="22"/>
                <w:szCs w:val="22"/>
              </w:rPr>
              <w:t>Jednotka:</w:t>
            </w:r>
          </w:p>
        </w:tc>
        <w:tc>
          <w:tcPr>
            <w:tcW w:w="6570" w:type="dxa"/>
          </w:tcPr>
          <w:p w14:paraId="7FA819AA" w14:textId="77777777" w:rsidR="00E86883" w:rsidRPr="00E86883" w:rsidRDefault="00E86883" w:rsidP="0099602A">
            <w:pPr>
              <w:spacing w:line="276" w:lineRule="auto"/>
              <w:jc w:val="both"/>
              <w:rPr>
                <w:rFonts w:ascii="Arial" w:hAnsi="Arial" w:cs="Arial"/>
                <w:sz w:val="22"/>
                <w:szCs w:val="22"/>
              </w:rPr>
            </w:pPr>
            <w:r w:rsidRPr="00E86883">
              <w:rPr>
                <w:rFonts w:ascii="Arial" w:hAnsi="Arial" w:cs="Arial"/>
                <w:sz w:val="22"/>
                <w:szCs w:val="22"/>
              </w:rPr>
              <w:t>Podíl (v %)</w:t>
            </w:r>
          </w:p>
        </w:tc>
      </w:tr>
      <w:tr w:rsidR="00E86883" w:rsidRPr="00E86883" w14:paraId="42BC96CD" w14:textId="77777777" w:rsidTr="0099602A">
        <w:tc>
          <w:tcPr>
            <w:tcW w:w="2752" w:type="dxa"/>
          </w:tcPr>
          <w:p w14:paraId="2847DF80" w14:textId="77777777" w:rsidR="00E86883" w:rsidRPr="00E86883" w:rsidRDefault="00E86883" w:rsidP="00C51B65">
            <w:pPr>
              <w:spacing w:line="276" w:lineRule="auto"/>
              <w:rPr>
                <w:rFonts w:ascii="Arial" w:hAnsi="Arial" w:cs="Arial"/>
                <w:sz w:val="22"/>
                <w:szCs w:val="22"/>
                <w:highlight w:val="yellow"/>
              </w:rPr>
            </w:pPr>
            <w:r w:rsidRPr="00E86883">
              <w:rPr>
                <w:rFonts w:ascii="Arial" w:hAnsi="Arial" w:cs="Arial"/>
                <w:sz w:val="22"/>
                <w:szCs w:val="22"/>
              </w:rPr>
              <w:t xml:space="preserve">Gestor: </w:t>
            </w:r>
          </w:p>
        </w:tc>
        <w:tc>
          <w:tcPr>
            <w:tcW w:w="6570" w:type="dxa"/>
          </w:tcPr>
          <w:p w14:paraId="6855E845" w14:textId="77777777" w:rsidR="00E86883" w:rsidRPr="00E86883" w:rsidRDefault="00E86883" w:rsidP="0099602A">
            <w:pPr>
              <w:spacing w:line="276" w:lineRule="auto"/>
              <w:jc w:val="both"/>
              <w:rPr>
                <w:rFonts w:ascii="Arial" w:hAnsi="Arial" w:cs="Arial"/>
                <w:sz w:val="22"/>
                <w:szCs w:val="22"/>
              </w:rPr>
            </w:pPr>
            <w:r w:rsidRPr="00E86883">
              <w:rPr>
                <w:rFonts w:ascii="Arial" w:hAnsi="Arial" w:cs="Arial"/>
                <w:sz w:val="22"/>
                <w:szCs w:val="22"/>
              </w:rPr>
              <w:t>Ministerstvo školství, mládeže a tělovýchovy</w:t>
            </w:r>
          </w:p>
        </w:tc>
      </w:tr>
      <w:tr w:rsidR="00E86883" w:rsidRPr="00E86883" w14:paraId="0D79D90A" w14:textId="77777777" w:rsidTr="0099602A">
        <w:tc>
          <w:tcPr>
            <w:tcW w:w="2752" w:type="dxa"/>
          </w:tcPr>
          <w:p w14:paraId="57F21A5A" w14:textId="77777777" w:rsidR="00E86883" w:rsidRPr="00E86883" w:rsidRDefault="00E86883" w:rsidP="00C51B65">
            <w:pPr>
              <w:spacing w:line="276" w:lineRule="auto"/>
              <w:rPr>
                <w:rFonts w:ascii="Arial" w:hAnsi="Arial" w:cs="Arial"/>
                <w:sz w:val="22"/>
                <w:szCs w:val="22"/>
                <w:highlight w:val="yellow"/>
              </w:rPr>
            </w:pPr>
            <w:r w:rsidRPr="00E86883">
              <w:rPr>
                <w:rFonts w:ascii="Arial" w:hAnsi="Arial" w:cs="Arial"/>
                <w:sz w:val="22"/>
                <w:szCs w:val="22"/>
              </w:rPr>
              <w:t xml:space="preserve">Význam indikátoru: </w:t>
            </w:r>
          </w:p>
        </w:tc>
        <w:tc>
          <w:tcPr>
            <w:tcW w:w="6570" w:type="dxa"/>
          </w:tcPr>
          <w:p w14:paraId="7DE9CD67" w14:textId="77777777" w:rsidR="00E86883" w:rsidRPr="00E86883" w:rsidRDefault="00E86883" w:rsidP="0099602A">
            <w:pPr>
              <w:spacing w:line="276" w:lineRule="auto"/>
              <w:jc w:val="both"/>
              <w:rPr>
                <w:rFonts w:ascii="Arial" w:hAnsi="Arial" w:cs="Arial"/>
                <w:sz w:val="22"/>
                <w:szCs w:val="22"/>
              </w:rPr>
            </w:pPr>
            <w:r w:rsidRPr="00E86883">
              <w:rPr>
                <w:rFonts w:ascii="Arial" w:hAnsi="Arial" w:cs="Arial"/>
                <w:sz w:val="22"/>
                <w:szCs w:val="22"/>
              </w:rPr>
              <w:t xml:space="preserve">Částečně mapuje kvalitu vzdělávacího systému. Cílem je mít co nejméně žáků s nízkou úrovní (úrovně 0 a 1) a co nejvíce žáků s vysokou úrovní (úrovně 5 a 6) </w:t>
            </w:r>
            <w:r w:rsidR="00F44950">
              <w:rPr>
                <w:rFonts w:ascii="Arial" w:hAnsi="Arial" w:cs="Arial"/>
                <w:sz w:val="22"/>
                <w:szCs w:val="22"/>
              </w:rPr>
              <w:t>numerické</w:t>
            </w:r>
            <w:r w:rsidR="00F44950" w:rsidRPr="00E86883">
              <w:rPr>
                <w:rFonts w:ascii="Arial" w:hAnsi="Arial" w:cs="Arial"/>
                <w:sz w:val="22"/>
                <w:szCs w:val="22"/>
              </w:rPr>
              <w:t xml:space="preserve"> </w:t>
            </w:r>
            <w:r w:rsidRPr="00E86883">
              <w:rPr>
                <w:rFonts w:ascii="Arial" w:hAnsi="Arial" w:cs="Arial"/>
                <w:sz w:val="22"/>
                <w:szCs w:val="22"/>
              </w:rPr>
              <w:t>gramotnosti.</w:t>
            </w:r>
          </w:p>
        </w:tc>
      </w:tr>
      <w:tr w:rsidR="00E86883" w:rsidRPr="00E86883" w14:paraId="469D3E6C" w14:textId="77777777" w:rsidTr="0099602A">
        <w:tc>
          <w:tcPr>
            <w:tcW w:w="2752" w:type="dxa"/>
          </w:tcPr>
          <w:p w14:paraId="16880869"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Časová řada: </w:t>
            </w:r>
          </w:p>
        </w:tc>
        <w:tc>
          <w:tcPr>
            <w:tcW w:w="6570" w:type="dxa"/>
          </w:tcPr>
          <w:p w14:paraId="7BB76B53" w14:textId="77777777" w:rsidR="00E86883" w:rsidRPr="00E86883" w:rsidRDefault="00E86883" w:rsidP="0099602A">
            <w:pPr>
              <w:spacing w:line="276" w:lineRule="auto"/>
              <w:jc w:val="both"/>
              <w:rPr>
                <w:rFonts w:ascii="Arial" w:hAnsi="Arial" w:cs="Arial"/>
                <w:sz w:val="22"/>
                <w:szCs w:val="22"/>
              </w:rPr>
            </w:pPr>
            <w:r w:rsidRPr="00E86883">
              <w:rPr>
                <w:rFonts w:ascii="Arial" w:hAnsi="Arial" w:cs="Arial"/>
                <w:sz w:val="22"/>
                <w:szCs w:val="22"/>
              </w:rPr>
              <w:t>Od roku 2000</w:t>
            </w:r>
          </w:p>
        </w:tc>
      </w:tr>
      <w:tr w:rsidR="00E86883" w:rsidRPr="00E86883" w14:paraId="4E277C71" w14:textId="77777777" w:rsidTr="0099602A">
        <w:tc>
          <w:tcPr>
            <w:tcW w:w="2752" w:type="dxa"/>
          </w:tcPr>
          <w:p w14:paraId="19708509"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Frekvence výstupu: </w:t>
            </w:r>
          </w:p>
        </w:tc>
        <w:tc>
          <w:tcPr>
            <w:tcW w:w="6570" w:type="dxa"/>
          </w:tcPr>
          <w:p w14:paraId="0CAC6EE8"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Jednou za tři roky</w:t>
            </w:r>
          </w:p>
        </w:tc>
      </w:tr>
      <w:tr w:rsidR="00E86883" w:rsidRPr="00E86883" w14:paraId="40055822" w14:textId="77777777" w:rsidTr="0099602A">
        <w:trPr>
          <w:trHeight w:val="70"/>
        </w:trPr>
        <w:tc>
          <w:tcPr>
            <w:tcW w:w="2752" w:type="dxa"/>
          </w:tcPr>
          <w:p w14:paraId="5BDDE3CD"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Členění indikátoru: </w:t>
            </w:r>
          </w:p>
        </w:tc>
        <w:tc>
          <w:tcPr>
            <w:tcW w:w="6570" w:type="dxa"/>
          </w:tcPr>
          <w:p w14:paraId="6A7906C3" w14:textId="611FD9B4" w:rsidR="00E86883" w:rsidRPr="00E86883" w:rsidRDefault="006953A9" w:rsidP="00F44950">
            <w:pPr>
              <w:spacing w:line="276" w:lineRule="auto"/>
              <w:rPr>
                <w:rFonts w:ascii="Arial" w:hAnsi="Arial" w:cs="Arial"/>
                <w:sz w:val="22"/>
                <w:szCs w:val="22"/>
              </w:rPr>
            </w:pPr>
            <w:r>
              <w:rPr>
                <w:rFonts w:ascii="Arial" w:hAnsi="Arial" w:cs="Arial"/>
                <w:sz w:val="22"/>
                <w:szCs w:val="22"/>
              </w:rPr>
              <w:t>Dle úrovně</w:t>
            </w:r>
            <w:r w:rsidR="00E86883" w:rsidRPr="00E86883">
              <w:rPr>
                <w:rFonts w:ascii="Arial" w:hAnsi="Arial" w:cs="Arial"/>
                <w:sz w:val="22"/>
                <w:szCs w:val="22"/>
              </w:rPr>
              <w:t xml:space="preserve"> </w:t>
            </w:r>
            <w:r w:rsidR="00F44950">
              <w:rPr>
                <w:rFonts w:ascii="Arial" w:hAnsi="Arial" w:cs="Arial"/>
                <w:sz w:val="22"/>
                <w:szCs w:val="22"/>
              </w:rPr>
              <w:t xml:space="preserve">numerické </w:t>
            </w:r>
            <w:r w:rsidR="006246C1">
              <w:rPr>
                <w:rFonts w:ascii="Arial" w:hAnsi="Arial" w:cs="Arial"/>
                <w:sz w:val="22"/>
                <w:szCs w:val="22"/>
              </w:rPr>
              <w:t>gramotnosti, pohlaví</w:t>
            </w:r>
          </w:p>
        </w:tc>
      </w:tr>
      <w:tr w:rsidR="00E86883" w:rsidRPr="00E86883" w14:paraId="30877E77" w14:textId="77777777" w:rsidTr="0099602A">
        <w:trPr>
          <w:trHeight w:val="70"/>
        </w:trPr>
        <w:tc>
          <w:tcPr>
            <w:tcW w:w="2752" w:type="dxa"/>
          </w:tcPr>
          <w:p w14:paraId="2812DC68"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Mezinárodní srovnání:</w:t>
            </w:r>
          </w:p>
        </w:tc>
        <w:tc>
          <w:tcPr>
            <w:tcW w:w="6570" w:type="dxa"/>
          </w:tcPr>
          <w:p w14:paraId="769E4344"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OECD</w:t>
            </w:r>
          </w:p>
        </w:tc>
      </w:tr>
    </w:tbl>
    <w:p w14:paraId="590B7152" w14:textId="77777777" w:rsidR="00E86883" w:rsidRPr="00E86883" w:rsidRDefault="00E86883" w:rsidP="00C51B65">
      <w:pPr>
        <w:spacing w:line="276" w:lineRule="auto"/>
        <w:contextualSpacing/>
        <w:rPr>
          <w:rFonts w:ascii="Arial" w:eastAsiaTheme="minorHAnsi" w:hAnsi="Arial" w:cs="Arial"/>
          <w:sz w:val="22"/>
          <w:szCs w:val="22"/>
          <w:lang w:eastAsia="en-US"/>
        </w:rPr>
      </w:pPr>
    </w:p>
    <w:tbl>
      <w:tblPr>
        <w:tblStyle w:val="Mkatabulky"/>
        <w:tblW w:w="9322" w:type="dxa"/>
        <w:tblLook w:val="04A0" w:firstRow="1" w:lastRow="0" w:firstColumn="1" w:lastColumn="0" w:noHBand="0" w:noVBand="1"/>
      </w:tblPr>
      <w:tblGrid>
        <w:gridCol w:w="2752"/>
        <w:gridCol w:w="6570"/>
      </w:tblGrid>
      <w:tr w:rsidR="00E86883" w:rsidRPr="00E86883" w14:paraId="37CAEAD0" w14:textId="77777777" w:rsidTr="0099602A">
        <w:tc>
          <w:tcPr>
            <w:tcW w:w="2752" w:type="dxa"/>
          </w:tcPr>
          <w:p w14:paraId="27074BAE"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lastRenderedPageBreak/>
              <w:t xml:space="preserve">Název a označení indikátoru: </w:t>
            </w:r>
          </w:p>
        </w:tc>
        <w:tc>
          <w:tcPr>
            <w:tcW w:w="6570" w:type="dxa"/>
          </w:tcPr>
          <w:p w14:paraId="5DEF1379" w14:textId="77777777" w:rsidR="00E86883" w:rsidRPr="00E86883" w:rsidRDefault="00E86883" w:rsidP="00C51B65">
            <w:pPr>
              <w:spacing w:line="276" w:lineRule="auto"/>
              <w:contextualSpacing/>
              <w:rPr>
                <w:rFonts w:ascii="Arial" w:hAnsi="Arial" w:cs="Arial"/>
                <w:b/>
                <w:sz w:val="22"/>
                <w:szCs w:val="22"/>
              </w:rPr>
            </w:pPr>
            <w:r w:rsidRPr="00E86883">
              <w:rPr>
                <w:rFonts w:ascii="Arial" w:hAnsi="Arial" w:cs="Arial"/>
                <w:b/>
                <w:sz w:val="22"/>
                <w:szCs w:val="22"/>
              </w:rPr>
              <w:t>4.3.3 Úroveň dovedností žáků v mezinárodním srovnání – přírodovědná gramotnost</w:t>
            </w:r>
          </w:p>
        </w:tc>
      </w:tr>
      <w:tr w:rsidR="00E86883" w:rsidRPr="00E86883" w14:paraId="4D5C8F48" w14:textId="77777777" w:rsidTr="0099602A">
        <w:tc>
          <w:tcPr>
            <w:tcW w:w="2752" w:type="dxa"/>
          </w:tcPr>
          <w:p w14:paraId="7E9F0FF1"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Stručná definice: </w:t>
            </w:r>
          </w:p>
        </w:tc>
        <w:tc>
          <w:tcPr>
            <w:tcW w:w="6570" w:type="dxa"/>
          </w:tcPr>
          <w:p w14:paraId="37337D59" w14:textId="77777777" w:rsidR="00E86883" w:rsidRPr="00E86883" w:rsidRDefault="00E86883" w:rsidP="0099602A">
            <w:pPr>
              <w:spacing w:line="276" w:lineRule="auto"/>
              <w:jc w:val="both"/>
              <w:rPr>
                <w:rFonts w:ascii="Arial" w:hAnsi="Arial" w:cs="Arial"/>
                <w:sz w:val="22"/>
                <w:szCs w:val="22"/>
              </w:rPr>
            </w:pPr>
            <w:r w:rsidRPr="00E86883">
              <w:rPr>
                <w:rFonts w:ascii="Arial" w:hAnsi="Arial" w:cs="Arial"/>
                <w:sz w:val="22"/>
                <w:szCs w:val="22"/>
              </w:rPr>
              <w:t>Podíl žáků podle úrovní přírodovědné gramotnosti v testu PISA na celkovém počtu žáků</w:t>
            </w:r>
          </w:p>
        </w:tc>
      </w:tr>
      <w:tr w:rsidR="00E86883" w:rsidRPr="00E86883" w14:paraId="4C913EC5" w14:textId="77777777" w:rsidTr="0099602A">
        <w:tc>
          <w:tcPr>
            <w:tcW w:w="2752" w:type="dxa"/>
          </w:tcPr>
          <w:p w14:paraId="72F18FB9"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Jednotka:</w:t>
            </w:r>
          </w:p>
        </w:tc>
        <w:tc>
          <w:tcPr>
            <w:tcW w:w="6570" w:type="dxa"/>
          </w:tcPr>
          <w:p w14:paraId="3823B2DB" w14:textId="77777777" w:rsidR="00E86883" w:rsidRPr="00E86883" w:rsidRDefault="00E86883" w:rsidP="0099602A">
            <w:pPr>
              <w:spacing w:line="276" w:lineRule="auto"/>
              <w:jc w:val="both"/>
              <w:rPr>
                <w:rFonts w:ascii="Arial" w:hAnsi="Arial" w:cs="Arial"/>
                <w:sz w:val="22"/>
                <w:szCs w:val="22"/>
              </w:rPr>
            </w:pPr>
            <w:r w:rsidRPr="00E86883">
              <w:rPr>
                <w:rFonts w:ascii="Arial" w:hAnsi="Arial" w:cs="Arial"/>
                <w:sz w:val="22"/>
                <w:szCs w:val="22"/>
              </w:rPr>
              <w:t>Podíl (v %)</w:t>
            </w:r>
          </w:p>
        </w:tc>
      </w:tr>
      <w:tr w:rsidR="00E86883" w:rsidRPr="00E86883" w14:paraId="26C6F96F" w14:textId="77777777" w:rsidTr="0099602A">
        <w:tc>
          <w:tcPr>
            <w:tcW w:w="2752" w:type="dxa"/>
          </w:tcPr>
          <w:p w14:paraId="7B21E2C8"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Gestor: </w:t>
            </w:r>
          </w:p>
        </w:tc>
        <w:tc>
          <w:tcPr>
            <w:tcW w:w="6570" w:type="dxa"/>
          </w:tcPr>
          <w:p w14:paraId="5E05FCFA" w14:textId="77777777" w:rsidR="00E86883" w:rsidRPr="00E86883" w:rsidRDefault="00E86883" w:rsidP="0099602A">
            <w:pPr>
              <w:spacing w:line="276" w:lineRule="auto"/>
              <w:jc w:val="both"/>
              <w:rPr>
                <w:rFonts w:ascii="Arial" w:hAnsi="Arial" w:cs="Arial"/>
                <w:sz w:val="22"/>
                <w:szCs w:val="22"/>
              </w:rPr>
            </w:pPr>
            <w:r w:rsidRPr="00E86883">
              <w:rPr>
                <w:rFonts w:ascii="Arial" w:hAnsi="Arial" w:cs="Arial"/>
                <w:sz w:val="22"/>
                <w:szCs w:val="22"/>
              </w:rPr>
              <w:t>Ministerstvo školství, mládeže a tělovýchovy</w:t>
            </w:r>
          </w:p>
        </w:tc>
      </w:tr>
      <w:tr w:rsidR="00E86883" w:rsidRPr="00E86883" w14:paraId="3236E0C4" w14:textId="77777777" w:rsidTr="0099602A">
        <w:tc>
          <w:tcPr>
            <w:tcW w:w="2752" w:type="dxa"/>
          </w:tcPr>
          <w:p w14:paraId="3A5BDF68" w14:textId="77777777" w:rsidR="00E86883" w:rsidRPr="00E86883" w:rsidRDefault="00E86883" w:rsidP="00C51B65">
            <w:pPr>
              <w:spacing w:line="276" w:lineRule="auto"/>
              <w:rPr>
                <w:rFonts w:ascii="Arial" w:hAnsi="Arial" w:cs="Arial"/>
                <w:sz w:val="22"/>
                <w:szCs w:val="22"/>
                <w:highlight w:val="yellow"/>
              </w:rPr>
            </w:pPr>
            <w:r w:rsidRPr="00E86883">
              <w:rPr>
                <w:rFonts w:ascii="Arial" w:hAnsi="Arial" w:cs="Arial"/>
                <w:sz w:val="22"/>
                <w:szCs w:val="22"/>
              </w:rPr>
              <w:t xml:space="preserve">Význam indikátoru: </w:t>
            </w:r>
          </w:p>
        </w:tc>
        <w:tc>
          <w:tcPr>
            <w:tcW w:w="6570" w:type="dxa"/>
          </w:tcPr>
          <w:p w14:paraId="71966894" w14:textId="77777777" w:rsidR="00E86883" w:rsidRPr="00E86883" w:rsidRDefault="00E86883" w:rsidP="0099602A">
            <w:pPr>
              <w:spacing w:line="276" w:lineRule="auto"/>
              <w:jc w:val="both"/>
              <w:rPr>
                <w:rFonts w:ascii="Arial" w:hAnsi="Arial" w:cs="Arial"/>
                <w:sz w:val="22"/>
                <w:szCs w:val="22"/>
              </w:rPr>
            </w:pPr>
            <w:r w:rsidRPr="00E86883">
              <w:rPr>
                <w:rFonts w:ascii="Arial" w:hAnsi="Arial" w:cs="Arial"/>
                <w:sz w:val="22"/>
                <w:szCs w:val="22"/>
              </w:rPr>
              <w:t>Částečně mapuje kvalitu vzdělávacího systému. Cílem je mít co nejméně žáků s nízkou úrovní (úrovně 0 a 1) a co nejvíce žáků s vysokou úrovní (úrovně 5 a 6) přírodovědné gramotnosti.</w:t>
            </w:r>
          </w:p>
        </w:tc>
      </w:tr>
      <w:tr w:rsidR="00E86883" w:rsidRPr="00E86883" w14:paraId="77752035" w14:textId="77777777" w:rsidTr="0099602A">
        <w:tc>
          <w:tcPr>
            <w:tcW w:w="2752" w:type="dxa"/>
          </w:tcPr>
          <w:p w14:paraId="7E59815D"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Časová řada: </w:t>
            </w:r>
          </w:p>
        </w:tc>
        <w:tc>
          <w:tcPr>
            <w:tcW w:w="6570" w:type="dxa"/>
          </w:tcPr>
          <w:p w14:paraId="4AC4B589" w14:textId="77777777" w:rsidR="00E86883" w:rsidRPr="00E86883" w:rsidRDefault="00E86883" w:rsidP="0099602A">
            <w:pPr>
              <w:spacing w:line="276" w:lineRule="auto"/>
              <w:jc w:val="both"/>
              <w:rPr>
                <w:rFonts w:ascii="Arial" w:hAnsi="Arial" w:cs="Arial"/>
                <w:sz w:val="22"/>
                <w:szCs w:val="22"/>
              </w:rPr>
            </w:pPr>
            <w:r w:rsidRPr="00E86883">
              <w:rPr>
                <w:rFonts w:ascii="Arial" w:hAnsi="Arial" w:cs="Arial"/>
                <w:sz w:val="22"/>
                <w:szCs w:val="22"/>
              </w:rPr>
              <w:t>Od roku 2000</w:t>
            </w:r>
          </w:p>
        </w:tc>
      </w:tr>
      <w:tr w:rsidR="00E86883" w:rsidRPr="00E86883" w14:paraId="1B9081E7" w14:textId="77777777" w:rsidTr="0099602A">
        <w:tc>
          <w:tcPr>
            <w:tcW w:w="2752" w:type="dxa"/>
          </w:tcPr>
          <w:p w14:paraId="6361907B"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Frekvence výstupu: </w:t>
            </w:r>
          </w:p>
        </w:tc>
        <w:tc>
          <w:tcPr>
            <w:tcW w:w="6570" w:type="dxa"/>
          </w:tcPr>
          <w:p w14:paraId="30F0A902" w14:textId="77777777" w:rsidR="00E86883" w:rsidRPr="00E86883" w:rsidRDefault="00E86883" w:rsidP="0099602A">
            <w:pPr>
              <w:spacing w:line="276" w:lineRule="auto"/>
              <w:jc w:val="both"/>
              <w:rPr>
                <w:rFonts w:ascii="Arial" w:hAnsi="Arial" w:cs="Arial"/>
                <w:sz w:val="22"/>
                <w:szCs w:val="22"/>
              </w:rPr>
            </w:pPr>
            <w:r w:rsidRPr="00E86883">
              <w:rPr>
                <w:rFonts w:ascii="Arial" w:hAnsi="Arial" w:cs="Arial"/>
                <w:sz w:val="22"/>
                <w:szCs w:val="22"/>
              </w:rPr>
              <w:t>Jednou za tři roky</w:t>
            </w:r>
          </w:p>
        </w:tc>
      </w:tr>
      <w:tr w:rsidR="00E86883" w:rsidRPr="00E86883" w14:paraId="7817D346" w14:textId="77777777" w:rsidTr="0099602A">
        <w:trPr>
          <w:trHeight w:val="70"/>
        </w:trPr>
        <w:tc>
          <w:tcPr>
            <w:tcW w:w="2752" w:type="dxa"/>
          </w:tcPr>
          <w:p w14:paraId="11D43C09"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Členění indikátoru: </w:t>
            </w:r>
          </w:p>
        </w:tc>
        <w:tc>
          <w:tcPr>
            <w:tcW w:w="6570" w:type="dxa"/>
          </w:tcPr>
          <w:p w14:paraId="160FD2D4" w14:textId="0E3BFAD7" w:rsidR="00E86883" w:rsidRPr="00E86883" w:rsidRDefault="006953A9" w:rsidP="0099602A">
            <w:pPr>
              <w:spacing w:line="276" w:lineRule="auto"/>
              <w:jc w:val="both"/>
              <w:rPr>
                <w:rFonts w:ascii="Arial" w:hAnsi="Arial" w:cs="Arial"/>
                <w:sz w:val="22"/>
                <w:szCs w:val="22"/>
              </w:rPr>
            </w:pPr>
            <w:r>
              <w:rPr>
                <w:rFonts w:ascii="Arial" w:hAnsi="Arial" w:cs="Arial"/>
                <w:sz w:val="22"/>
                <w:szCs w:val="22"/>
              </w:rPr>
              <w:t>Dle úrovně</w:t>
            </w:r>
            <w:r w:rsidR="00E86883" w:rsidRPr="00E86883">
              <w:rPr>
                <w:rFonts w:ascii="Arial" w:hAnsi="Arial" w:cs="Arial"/>
                <w:sz w:val="22"/>
                <w:szCs w:val="22"/>
              </w:rPr>
              <w:t xml:space="preserve"> pří</w:t>
            </w:r>
            <w:r w:rsidR="006246C1">
              <w:rPr>
                <w:rFonts w:ascii="Arial" w:hAnsi="Arial" w:cs="Arial"/>
                <w:sz w:val="22"/>
                <w:szCs w:val="22"/>
              </w:rPr>
              <w:t>rodovědné gramotnosti, pohlaví</w:t>
            </w:r>
          </w:p>
        </w:tc>
      </w:tr>
      <w:tr w:rsidR="00E86883" w:rsidRPr="00E86883" w14:paraId="573C6539" w14:textId="77777777" w:rsidTr="0099602A">
        <w:trPr>
          <w:trHeight w:val="70"/>
        </w:trPr>
        <w:tc>
          <w:tcPr>
            <w:tcW w:w="2752" w:type="dxa"/>
          </w:tcPr>
          <w:p w14:paraId="4511107A"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Mezinárodní srovnání:</w:t>
            </w:r>
          </w:p>
        </w:tc>
        <w:tc>
          <w:tcPr>
            <w:tcW w:w="6570" w:type="dxa"/>
          </w:tcPr>
          <w:p w14:paraId="3AB1EF76" w14:textId="77777777" w:rsidR="00E86883" w:rsidRPr="00E86883" w:rsidRDefault="00E86883" w:rsidP="0099602A">
            <w:pPr>
              <w:spacing w:line="276" w:lineRule="auto"/>
              <w:jc w:val="both"/>
              <w:rPr>
                <w:rFonts w:ascii="Arial" w:hAnsi="Arial" w:cs="Arial"/>
                <w:sz w:val="22"/>
                <w:szCs w:val="22"/>
              </w:rPr>
            </w:pPr>
            <w:r w:rsidRPr="00E86883">
              <w:rPr>
                <w:rFonts w:ascii="Arial" w:hAnsi="Arial" w:cs="Arial"/>
                <w:sz w:val="22"/>
                <w:szCs w:val="22"/>
              </w:rPr>
              <w:t>OECD</w:t>
            </w:r>
          </w:p>
        </w:tc>
      </w:tr>
    </w:tbl>
    <w:p w14:paraId="43041000" w14:textId="77777777" w:rsidR="00E86883" w:rsidRPr="00E86883" w:rsidRDefault="00D13386" w:rsidP="00ED673D">
      <w:pPr>
        <w:pStyle w:val="r2030podcle"/>
        <w:numPr>
          <w:ilvl w:val="1"/>
          <w:numId w:val="17"/>
        </w:numPr>
        <w:ind w:left="567" w:hanging="425"/>
      </w:pPr>
      <w:r w:rsidRPr="00D13386">
        <w:rPr>
          <w:rFonts w:eastAsiaTheme="minorHAnsi"/>
          <w:lang w:eastAsia="en-US"/>
        </w:rPr>
        <w:t xml:space="preserve">Systém celoživotního vzdělávání je veřejně garantovaný a široce dostupný: Zaměřuje se jak na profesní vzdělávání, tak i na vzdělávání v oblasti přenositelných dovedností. </w:t>
      </w:r>
    </w:p>
    <w:tbl>
      <w:tblPr>
        <w:tblStyle w:val="Mkatabulky"/>
        <w:tblW w:w="0" w:type="auto"/>
        <w:tblLook w:val="04A0" w:firstRow="1" w:lastRow="0" w:firstColumn="1" w:lastColumn="0" w:noHBand="0" w:noVBand="1"/>
      </w:tblPr>
      <w:tblGrid>
        <w:gridCol w:w="2802"/>
        <w:gridCol w:w="6486"/>
      </w:tblGrid>
      <w:tr w:rsidR="00E86883" w:rsidRPr="00E86883" w14:paraId="346BD855" w14:textId="77777777" w:rsidTr="008D14FE">
        <w:tc>
          <w:tcPr>
            <w:tcW w:w="2802" w:type="dxa"/>
          </w:tcPr>
          <w:p w14:paraId="0DE6B71B"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Název a označení indikátoru: </w:t>
            </w:r>
          </w:p>
        </w:tc>
        <w:tc>
          <w:tcPr>
            <w:tcW w:w="6486" w:type="dxa"/>
          </w:tcPr>
          <w:p w14:paraId="670B37E2" w14:textId="77777777" w:rsidR="00E86883" w:rsidRPr="00E86883" w:rsidRDefault="00E86883" w:rsidP="00C51B65">
            <w:pPr>
              <w:spacing w:line="276" w:lineRule="auto"/>
              <w:contextualSpacing/>
              <w:rPr>
                <w:rFonts w:ascii="Arial" w:hAnsi="Arial" w:cs="Arial"/>
                <w:b/>
                <w:sz w:val="22"/>
                <w:szCs w:val="22"/>
              </w:rPr>
            </w:pPr>
            <w:r w:rsidRPr="00E86883">
              <w:rPr>
                <w:rFonts w:ascii="Arial" w:hAnsi="Arial" w:cs="Arial"/>
                <w:b/>
                <w:sz w:val="22"/>
                <w:szCs w:val="22"/>
              </w:rPr>
              <w:t xml:space="preserve">4.4.1 Účast dospělé populace na celoživotním vzdělávání v posledních </w:t>
            </w:r>
            <w:r w:rsidR="00D332C0">
              <w:rPr>
                <w:rFonts w:ascii="Arial" w:hAnsi="Arial" w:cs="Arial"/>
                <w:b/>
                <w:sz w:val="22"/>
                <w:szCs w:val="22"/>
              </w:rPr>
              <w:t xml:space="preserve">4 týdnech </w:t>
            </w:r>
          </w:p>
        </w:tc>
      </w:tr>
      <w:tr w:rsidR="00E86883" w:rsidRPr="00E86883" w14:paraId="3677577D" w14:textId="77777777" w:rsidTr="008D14FE">
        <w:tc>
          <w:tcPr>
            <w:tcW w:w="2802" w:type="dxa"/>
          </w:tcPr>
          <w:p w14:paraId="2856F8B1"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Stručná definice: </w:t>
            </w:r>
          </w:p>
        </w:tc>
        <w:tc>
          <w:tcPr>
            <w:tcW w:w="6486" w:type="dxa"/>
          </w:tcPr>
          <w:p w14:paraId="2B8F608A" w14:textId="77777777" w:rsidR="00E86883" w:rsidRPr="00E86883" w:rsidRDefault="00E86883" w:rsidP="0099602A">
            <w:pPr>
              <w:spacing w:line="276" w:lineRule="auto"/>
              <w:jc w:val="both"/>
              <w:rPr>
                <w:rFonts w:ascii="Arial" w:hAnsi="Arial" w:cs="Arial"/>
                <w:sz w:val="22"/>
                <w:szCs w:val="22"/>
              </w:rPr>
            </w:pPr>
            <w:r w:rsidRPr="00E86883">
              <w:rPr>
                <w:rFonts w:ascii="Arial" w:hAnsi="Arial" w:cs="Arial"/>
                <w:sz w:val="22"/>
                <w:szCs w:val="22"/>
              </w:rPr>
              <w:t>Podíl osob, které se v uplynulých čtyřech týdnech účastnily jakékoli formy dalšího vzdělávání (formálního nebo neformálního), na populaci ve věku 25</w:t>
            </w:r>
            <w:r w:rsidR="006246C1">
              <w:rPr>
                <w:rFonts w:ascii="Arial" w:hAnsi="Arial" w:cs="Arial"/>
                <w:sz w:val="22"/>
                <w:szCs w:val="22"/>
              </w:rPr>
              <w:t xml:space="preserve"> </w:t>
            </w:r>
            <w:r w:rsidRPr="00E86883">
              <w:rPr>
                <w:rFonts w:ascii="Arial" w:hAnsi="Arial" w:cs="Arial"/>
                <w:sz w:val="22"/>
                <w:szCs w:val="22"/>
              </w:rPr>
              <w:t>–</w:t>
            </w:r>
            <w:r w:rsidR="006246C1">
              <w:rPr>
                <w:rFonts w:ascii="Arial" w:hAnsi="Arial" w:cs="Arial"/>
                <w:sz w:val="22"/>
                <w:szCs w:val="22"/>
              </w:rPr>
              <w:t xml:space="preserve"> </w:t>
            </w:r>
            <w:r w:rsidRPr="00E86883">
              <w:rPr>
                <w:rFonts w:ascii="Arial" w:hAnsi="Arial" w:cs="Arial"/>
                <w:sz w:val="22"/>
                <w:szCs w:val="22"/>
              </w:rPr>
              <w:t>64 let.</w:t>
            </w:r>
          </w:p>
        </w:tc>
      </w:tr>
      <w:tr w:rsidR="00E86883" w:rsidRPr="00E86883" w14:paraId="3862DEDB" w14:textId="77777777" w:rsidTr="008D14FE">
        <w:tc>
          <w:tcPr>
            <w:tcW w:w="2802" w:type="dxa"/>
          </w:tcPr>
          <w:p w14:paraId="1B642995"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Jednotka:</w:t>
            </w:r>
          </w:p>
        </w:tc>
        <w:tc>
          <w:tcPr>
            <w:tcW w:w="6486" w:type="dxa"/>
          </w:tcPr>
          <w:p w14:paraId="6C9C046E" w14:textId="77777777" w:rsidR="00E86883" w:rsidRPr="00E86883" w:rsidRDefault="00E86883" w:rsidP="0099602A">
            <w:pPr>
              <w:spacing w:line="276" w:lineRule="auto"/>
              <w:jc w:val="both"/>
              <w:rPr>
                <w:rFonts w:ascii="Arial" w:hAnsi="Arial" w:cs="Arial"/>
                <w:sz w:val="22"/>
                <w:szCs w:val="22"/>
              </w:rPr>
            </w:pPr>
            <w:r w:rsidRPr="00E86883">
              <w:rPr>
                <w:rFonts w:ascii="Arial" w:hAnsi="Arial" w:cs="Arial"/>
                <w:sz w:val="22"/>
                <w:szCs w:val="22"/>
              </w:rPr>
              <w:t>Podíl (v %)</w:t>
            </w:r>
          </w:p>
        </w:tc>
      </w:tr>
      <w:tr w:rsidR="00E86883" w:rsidRPr="00E86883" w14:paraId="2C7E5D95" w14:textId="77777777" w:rsidTr="008D14FE">
        <w:tc>
          <w:tcPr>
            <w:tcW w:w="2802" w:type="dxa"/>
          </w:tcPr>
          <w:p w14:paraId="440C4ACE"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Gestor: </w:t>
            </w:r>
          </w:p>
        </w:tc>
        <w:tc>
          <w:tcPr>
            <w:tcW w:w="6486" w:type="dxa"/>
          </w:tcPr>
          <w:p w14:paraId="269E931C" w14:textId="77777777" w:rsidR="00E86883" w:rsidRPr="00E86883" w:rsidRDefault="00E86883" w:rsidP="0099602A">
            <w:pPr>
              <w:spacing w:line="276" w:lineRule="auto"/>
              <w:jc w:val="both"/>
              <w:rPr>
                <w:rFonts w:ascii="Arial" w:hAnsi="Arial" w:cs="Arial"/>
                <w:sz w:val="22"/>
                <w:szCs w:val="22"/>
              </w:rPr>
            </w:pPr>
            <w:r w:rsidRPr="00E86883">
              <w:rPr>
                <w:rFonts w:ascii="Arial" w:hAnsi="Arial" w:cs="Arial"/>
                <w:sz w:val="22"/>
                <w:szCs w:val="22"/>
              </w:rPr>
              <w:t>Český statistický úřad</w:t>
            </w:r>
          </w:p>
        </w:tc>
      </w:tr>
      <w:tr w:rsidR="00E86883" w:rsidRPr="00E86883" w14:paraId="3EB738AB" w14:textId="77777777" w:rsidTr="008D14FE">
        <w:tc>
          <w:tcPr>
            <w:tcW w:w="2802" w:type="dxa"/>
          </w:tcPr>
          <w:p w14:paraId="06D8F0C1"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Význam indikátoru: </w:t>
            </w:r>
          </w:p>
        </w:tc>
        <w:tc>
          <w:tcPr>
            <w:tcW w:w="6486" w:type="dxa"/>
          </w:tcPr>
          <w:p w14:paraId="4B98C480" w14:textId="3CC83220" w:rsidR="00E86883" w:rsidRPr="00E86883" w:rsidRDefault="00E86883" w:rsidP="0099602A">
            <w:pPr>
              <w:spacing w:line="276" w:lineRule="auto"/>
              <w:jc w:val="both"/>
              <w:rPr>
                <w:rFonts w:ascii="Arial" w:hAnsi="Arial" w:cs="Arial"/>
                <w:sz w:val="22"/>
                <w:szCs w:val="22"/>
              </w:rPr>
            </w:pPr>
            <w:proofErr w:type="spellStart"/>
            <w:r w:rsidRPr="00E86883">
              <w:rPr>
                <w:rFonts w:ascii="Arial" w:hAnsi="Arial" w:cs="Arial"/>
                <w:sz w:val="22"/>
                <w:szCs w:val="22"/>
              </w:rPr>
              <w:t>Benchmark</w:t>
            </w:r>
            <w:proofErr w:type="spellEnd"/>
            <w:r w:rsidRPr="00E86883">
              <w:rPr>
                <w:rFonts w:ascii="Arial" w:hAnsi="Arial" w:cs="Arial"/>
                <w:sz w:val="22"/>
                <w:szCs w:val="22"/>
              </w:rPr>
              <w:t xml:space="preserve"> v rámci ET 2020, informuje o účasti dospělé populace v dalším vzdělávání, a to jak formálním (v rámci vzdělávacího systému), tak i neformálním (v institucích mimo vzdělávací systém).</w:t>
            </w:r>
          </w:p>
        </w:tc>
      </w:tr>
      <w:tr w:rsidR="00E86883" w:rsidRPr="00E86883" w14:paraId="64FF075D" w14:textId="77777777" w:rsidTr="008D14FE">
        <w:tc>
          <w:tcPr>
            <w:tcW w:w="2802" w:type="dxa"/>
          </w:tcPr>
          <w:p w14:paraId="1605CD9E"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Časová řada: </w:t>
            </w:r>
          </w:p>
        </w:tc>
        <w:tc>
          <w:tcPr>
            <w:tcW w:w="6486" w:type="dxa"/>
          </w:tcPr>
          <w:p w14:paraId="77ADE389" w14:textId="77777777" w:rsidR="00E86883" w:rsidRPr="00E86883" w:rsidRDefault="00E86883" w:rsidP="0099602A">
            <w:pPr>
              <w:spacing w:line="276" w:lineRule="auto"/>
              <w:jc w:val="both"/>
              <w:rPr>
                <w:rFonts w:ascii="Arial" w:hAnsi="Arial" w:cs="Arial"/>
                <w:sz w:val="22"/>
                <w:szCs w:val="22"/>
              </w:rPr>
            </w:pPr>
            <w:r w:rsidRPr="00E86883">
              <w:rPr>
                <w:rFonts w:ascii="Arial" w:hAnsi="Arial" w:cs="Arial"/>
                <w:sz w:val="22"/>
                <w:szCs w:val="22"/>
              </w:rPr>
              <w:t xml:space="preserve">Od </w:t>
            </w:r>
            <w:r w:rsidR="00F44950">
              <w:rPr>
                <w:rFonts w:ascii="Arial" w:hAnsi="Arial" w:cs="Arial"/>
                <w:sz w:val="22"/>
                <w:szCs w:val="22"/>
              </w:rPr>
              <w:t xml:space="preserve">roku </w:t>
            </w:r>
            <w:r w:rsidRPr="00E86883">
              <w:rPr>
                <w:rFonts w:ascii="Arial" w:hAnsi="Arial" w:cs="Arial"/>
                <w:sz w:val="22"/>
                <w:szCs w:val="22"/>
              </w:rPr>
              <w:t>2004</w:t>
            </w:r>
          </w:p>
        </w:tc>
      </w:tr>
      <w:tr w:rsidR="00E86883" w:rsidRPr="00E86883" w14:paraId="393F3F11" w14:textId="77777777" w:rsidTr="008D14FE">
        <w:tc>
          <w:tcPr>
            <w:tcW w:w="2802" w:type="dxa"/>
          </w:tcPr>
          <w:p w14:paraId="26CA59B9"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Frekvence výstupu: </w:t>
            </w:r>
          </w:p>
        </w:tc>
        <w:tc>
          <w:tcPr>
            <w:tcW w:w="6486" w:type="dxa"/>
          </w:tcPr>
          <w:p w14:paraId="3BE0C701" w14:textId="77777777" w:rsidR="00E86883" w:rsidRPr="00E86883" w:rsidRDefault="00E86883" w:rsidP="0099602A">
            <w:pPr>
              <w:spacing w:line="276" w:lineRule="auto"/>
              <w:jc w:val="both"/>
              <w:rPr>
                <w:rFonts w:ascii="Arial" w:hAnsi="Arial" w:cs="Arial"/>
                <w:sz w:val="22"/>
                <w:szCs w:val="22"/>
              </w:rPr>
            </w:pPr>
            <w:r w:rsidRPr="00E86883">
              <w:rPr>
                <w:rFonts w:ascii="Arial" w:hAnsi="Arial" w:cs="Arial"/>
                <w:sz w:val="22"/>
                <w:szCs w:val="22"/>
              </w:rPr>
              <w:t>Ročně</w:t>
            </w:r>
          </w:p>
        </w:tc>
      </w:tr>
      <w:tr w:rsidR="00E86883" w:rsidRPr="00E86883" w14:paraId="3CBB92C5" w14:textId="77777777" w:rsidTr="008D14FE">
        <w:trPr>
          <w:trHeight w:val="70"/>
        </w:trPr>
        <w:tc>
          <w:tcPr>
            <w:tcW w:w="2802" w:type="dxa"/>
          </w:tcPr>
          <w:p w14:paraId="4A633083"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Členění indikátoru: </w:t>
            </w:r>
          </w:p>
        </w:tc>
        <w:tc>
          <w:tcPr>
            <w:tcW w:w="6486" w:type="dxa"/>
          </w:tcPr>
          <w:p w14:paraId="5A48FA6A" w14:textId="0B5FB951" w:rsidR="00E86883" w:rsidRPr="00E86883" w:rsidRDefault="006953A9" w:rsidP="0099602A">
            <w:pPr>
              <w:spacing w:line="276" w:lineRule="auto"/>
              <w:jc w:val="both"/>
              <w:rPr>
                <w:rFonts w:ascii="Arial" w:hAnsi="Arial" w:cs="Arial"/>
                <w:sz w:val="22"/>
                <w:szCs w:val="22"/>
              </w:rPr>
            </w:pPr>
            <w:r>
              <w:rPr>
                <w:rFonts w:ascii="Arial" w:hAnsi="Arial" w:cs="Arial"/>
                <w:sz w:val="22"/>
                <w:szCs w:val="22"/>
              </w:rPr>
              <w:t>Dle pohlaví,</w:t>
            </w:r>
            <w:r w:rsidR="00E86883" w:rsidRPr="00E86883">
              <w:rPr>
                <w:rFonts w:ascii="Arial" w:hAnsi="Arial" w:cs="Arial"/>
                <w:sz w:val="22"/>
                <w:szCs w:val="22"/>
              </w:rPr>
              <w:t xml:space="preserve"> věk</w:t>
            </w:r>
            <w:r>
              <w:rPr>
                <w:rFonts w:ascii="Arial" w:hAnsi="Arial" w:cs="Arial"/>
                <w:sz w:val="22"/>
                <w:szCs w:val="22"/>
              </w:rPr>
              <w:t>u, regionu, úrovně vzdělání, ekonomické aktivity</w:t>
            </w:r>
          </w:p>
        </w:tc>
      </w:tr>
      <w:tr w:rsidR="00E86883" w:rsidRPr="00E86883" w14:paraId="4EFE074E" w14:textId="77777777" w:rsidTr="008D14FE">
        <w:trPr>
          <w:trHeight w:val="70"/>
        </w:trPr>
        <w:tc>
          <w:tcPr>
            <w:tcW w:w="2802" w:type="dxa"/>
          </w:tcPr>
          <w:p w14:paraId="02FA5661"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Mezinárodní srovnání:</w:t>
            </w:r>
          </w:p>
        </w:tc>
        <w:tc>
          <w:tcPr>
            <w:tcW w:w="6486" w:type="dxa"/>
          </w:tcPr>
          <w:p w14:paraId="58D06D4D" w14:textId="77777777" w:rsidR="00E86883" w:rsidRPr="00E86883" w:rsidRDefault="00E86883" w:rsidP="0099602A">
            <w:pPr>
              <w:spacing w:line="276" w:lineRule="auto"/>
              <w:jc w:val="both"/>
              <w:rPr>
                <w:rFonts w:ascii="Arial" w:hAnsi="Arial" w:cs="Arial"/>
                <w:sz w:val="22"/>
                <w:szCs w:val="22"/>
              </w:rPr>
            </w:pPr>
            <w:proofErr w:type="spellStart"/>
            <w:r w:rsidRPr="00E86883">
              <w:rPr>
                <w:rFonts w:ascii="Arial" w:hAnsi="Arial" w:cs="Arial"/>
                <w:sz w:val="22"/>
                <w:szCs w:val="22"/>
              </w:rPr>
              <w:t>Eurostat</w:t>
            </w:r>
            <w:proofErr w:type="spellEnd"/>
          </w:p>
        </w:tc>
      </w:tr>
    </w:tbl>
    <w:p w14:paraId="026B0E23" w14:textId="77777777" w:rsidR="00E86883" w:rsidRPr="00E86883" w:rsidRDefault="00E86883" w:rsidP="00C51B65">
      <w:pPr>
        <w:spacing w:line="276" w:lineRule="auto"/>
        <w:rPr>
          <w:rFonts w:ascii="Arial" w:hAnsi="Arial" w:cs="Arial"/>
          <w:sz w:val="22"/>
          <w:szCs w:val="22"/>
        </w:rPr>
      </w:pPr>
    </w:p>
    <w:tbl>
      <w:tblPr>
        <w:tblStyle w:val="Mkatabulky"/>
        <w:tblW w:w="0" w:type="auto"/>
        <w:tblLook w:val="04A0" w:firstRow="1" w:lastRow="0" w:firstColumn="1" w:lastColumn="0" w:noHBand="0" w:noVBand="1"/>
      </w:tblPr>
      <w:tblGrid>
        <w:gridCol w:w="2802"/>
        <w:gridCol w:w="6486"/>
      </w:tblGrid>
      <w:tr w:rsidR="00E86883" w:rsidRPr="00E86883" w14:paraId="64E1716C" w14:textId="77777777" w:rsidTr="008D14FE">
        <w:tc>
          <w:tcPr>
            <w:tcW w:w="2802" w:type="dxa"/>
          </w:tcPr>
          <w:p w14:paraId="6009FD2D"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Název a označení indikátoru: </w:t>
            </w:r>
          </w:p>
        </w:tc>
        <w:tc>
          <w:tcPr>
            <w:tcW w:w="6486" w:type="dxa"/>
          </w:tcPr>
          <w:p w14:paraId="7A42847C" w14:textId="77777777" w:rsidR="00E86883" w:rsidRPr="00E86883" w:rsidRDefault="00E86883" w:rsidP="00C51B65">
            <w:pPr>
              <w:spacing w:line="276" w:lineRule="auto"/>
              <w:contextualSpacing/>
              <w:rPr>
                <w:rFonts w:ascii="Arial" w:hAnsi="Arial" w:cs="Arial"/>
                <w:b/>
                <w:sz w:val="22"/>
                <w:szCs w:val="22"/>
              </w:rPr>
            </w:pPr>
            <w:r w:rsidRPr="00E86883">
              <w:rPr>
                <w:rFonts w:ascii="Arial" w:hAnsi="Arial" w:cs="Arial"/>
                <w:b/>
                <w:sz w:val="22"/>
                <w:szCs w:val="22"/>
              </w:rPr>
              <w:t>4.4.2 Úroveň kompetencí dospělých v mezinárodním srovnání – čtenářská gramotnost</w:t>
            </w:r>
          </w:p>
        </w:tc>
      </w:tr>
      <w:tr w:rsidR="00E86883" w:rsidRPr="00E86883" w14:paraId="7709B342" w14:textId="77777777" w:rsidTr="008D14FE">
        <w:tc>
          <w:tcPr>
            <w:tcW w:w="2802" w:type="dxa"/>
          </w:tcPr>
          <w:p w14:paraId="37C91720"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Stručná definice: </w:t>
            </w:r>
          </w:p>
        </w:tc>
        <w:tc>
          <w:tcPr>
            <w:tcW w:w="6486" w:type="dxa"/>
          </w:tcPr>
          <w:p w14:paraId="3888E6C4" w14:textId="5E4467FB" w:rsidR="00E86883" w:rsidRPr="00E86883" w:rsidRDefault="00E86883" w:rsidP="0099602A">
            <w:pPr>
              <w:spacing w:line="276" w:lineRule="auto"/>
              <w:jc w:val="both"/>
              <w:rPr>
                <w:rFonts w:ascii="Arial" w:hAnsi="Arial" w:cs="Arial"/>
                <w:sz w:val="22"/>
                <w:szCs w:val="22"/>
              </w:rPr>
            </w:pPr>
            <w:r w:rsidRPr="00E86883">
              <w:rPr>
                <w:rFonts w:ascii="Arial" w:hAnsi="Arial" w:cs="Arial"/>
                <w:sz w:val="22"/>
                <w:szCs w:val="22"/>
              </w:rPr>
              <w:t>Podíl osob ve věku 25</w:t>
            </w:r>
            <w:r w:rsidR="006246C1">
              <w:rPr>
                <w:rFonts w:ascii="Arial" w:hAnsi="Arial" w:cs="Arial"/>
                <w:sz w:val="22"/>
                <w:szCs w:val="22"/>
              </w:rPr>
              <w:t xml:space="preserve"> </w:t>
            </w:r>
            <w:r w:rsidRPr="00E86883">
              <w:rPr>
                <w:rFonts w:ascii="Arial" w:hAnsi="Arial" w:cs="Arial"/>
                <w:sz w:val="22"/>
                <w:szCs w:val="22"/>
              </w:rPr>
              <w:t>–</w:t>
            </w:r>
            <w:r w:rsidR="006246C1">
              <w:rPr>
                <w:rFonts w:ascii="Arial" w:hAnsi="Arial" w:cs="Arial"/>
                <w:sz w:val="22"/>
                <w:szCs w:val="22"/>
              </w:rPr>
              <w:t xml:space="preserve"> </w:t>
            </w:r>
            <w:r w:rsidRPr="00E86883">
              <w:rPr>
                <w:rFonts w:ascii="Arial" w:hAnsi="Arial" w:cs="Arial"/>
                <w:sz w:val="22"/>
                <w:szCs w:val="22"/>
              </w:rPr>
              <w:t>64 let podle úrov</w:t>
            </w:r>
            <w:r w:rsidR="006953A9">
              <w:rPr>
                <w:rFonts w:ascii="Arial" w:hAnsi="Arial" w:cs="Arial"/>
                <w:sz w:val="22"/>
                <w:szCs w:val="22"/>
              </w:rPr>
              <w:t>ní čtenářské gramotnosti v rámci mezinárodního testování dospělých</w:t>
            </w:r>
            <w:r w:rsidRPr="00E86883">
              <w:rPr>
                <w:rFonts w:ascii="Arial" w:hAnsi="Arial" w:cs="Arial"/>
                <w:sz w:val="22"/>
                <w:szCs w:val="22"/>
              </w:rPr>
              <w:t xml:space="preserve"> </w:t>
            </w:r>
            <w:r w:rsidR="006953A9">
              <w:rPr>
                <w:rFonts w:ascii="Arial" w:hAnsi="Arial" w:cs="Arial"/>
                <w:sz w:val="22"/>
                <w:szCs w:val="22"/>
              </w:rPr>
              <w:t>(</w:t>
            </w:r>
            <w:r w:rsidRPr="00E86883">
              <w:rPr>
                <w:rFonts w:ascii="Arial" w:hAnsi="Arial" w:cs="Arial"/>
                <w:sz w:val="22"/>
                <w:szCs w:val="22"/>
              </w:rPr>
              <w:t>PIAAC</w:t>
            </w:r>
            <w:r w:rsidR="006953A9">
              <w:rPr>
                <w:rFonts w:ascii="Arial" w:hAnsi="Arial" w:cs="Arial"/>
                <w:sz w:val="22"/>
                <w:szCs w:val="22"/>
              </w:rPr>
              <w:t>)</w:t>
            </w:r>
            <w:r w:rsidRPr="00E86883">
              <w:rPr>
                <w:rFonts w:ascii="Arial" w:hAnsi="Arial" w:cs="Arial"/>
                <w:sz w:val="22"/>
                <w:szCs w:val="22"/>
              </w:rPr>
              <w:t xml:space="preserve"> na celkovém počtu osob ve věku 25</w:t>
            </w:r>
            <w:r w:rsidR="006246C1">
              <w:rPr>
                <w:rFonts w:ascii="Arial" w:hAnsi="Arial" w:cs="Arial"/>
                <w:sz w:val="22"/>
                <w:szCs w:val="22"/>
              </w:rPr>
              <w:t xml:space="preserve"> </w:t>
            </w:r>
            <w:r w:rsidRPr="00E86883">
              <w:rPr>
                <w:rFonts w:ascii="Arial" w:hAnsi="Arial" w:cs="Arial"/>
                <w:sz w:val="22"/>
                <w:szCs w:val="22"/>
              </w:rPr>
              <w:t>–</w:t>
            </w:r>
            <w:r w:rsidR="006246C1">
              <w:rPr>
                <w:rFonts w:ascii="Arial" w:hAnsi="Arial" w:cs="Arial"/>
                <w:sz w:val="22"/>
                <w:szCs w:val="22"/>
              </w:rPr>
              <w:t xml:space="preserve"> </w:t>
            </w:r>
            <w:r w:rsidRPr="00E86883">
              <w:rPr>
                <w:rFonts w:ascii="Arial" w:hAnsi="Arial" w:cs="Arial"/>
                <w:sz w:val="22"/>
                <w:szCs w:val="22"/>
              </w:rPr>
              <w:t>64 let</w:t>
            </w:r>
            <w:r w:rsidR="006953A9">
              <w:rPr>
                <w:rFonts w:ascii="Arial" w:hAnsi="Arial" w:cs="Arial"/>
                <w:sz w:val="22"/>
                <w:szCs w:val="22"/>
              </w:rPr>
              <w:t>.</w:t>
            </w:r>
          </w:p>
        </w:tc>
      </w:tr>
      <w:tr w:rsidR="00E86883" w:rsidRPr="00E86883" w14:paraId="7842C106" w14:textId="77777777" w:rsidTr="008D14FE">
        <w:tc>
          <w:tcPr>
            <w:tcW w:w="2802" w:type="dxa"/>
          </w:tcPr>
          <w:p w14:paraId="4A2EE4CF"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Jednotka:</w:t>
            </w:r>
          </w:p>
        </w:tc>
        <w:tc>
          <w:tcPr>
            <w:tcW w:w="6486" w:type="dxa"/>
          </w:tcPr>
          <w:p w14:paraId="040CC088" w14:textId="77777777" w:rsidR="00E86883" w:rsidRPr="00E86883" w:rsidRDefault="00E86883" w:rsidP="0099602A">
            <w:pPr>
              <w:spacing w:line="276" w:lineRule="auto"/>
              <w:jc w:val="both"/>
              <w:rPr>
                <w:rFonts w:ascii="Arial" w:hAnsi="Arial" w:cs="Arial"/>
                <w:sz w:val="22"/>
                <w:szCs w:val="22"/>
              </w:rPr>
            </w:pPr>
            <w:r w:rsidRPr="00E86883">
              <w:rPr>
                <w:rFonts w:ascii="Arial" w:hAnsi="Arial" w:cs="Arial"/>
                <w:sz w:val="22"/>
                <w:szCs w:val="22"/>
              </w:rPr>
              <w:t>Podíl (v %)</w:t>
            </w:r>
          </w:p>
        </w:tc>
      </w:tr>
      <w:tr w:rsidR="00E86883" w:rsidRPr="00E86883" w14:paraId="0A15CE28" w14:textId="77777777" w:rsidTr="008D14FE">
        <w:tc>
          <w:tcPr>
            <w:tcW w:w="2802" w:type="dxa"/>
          </w:tcPr>
          <w:p w14:paraId="33F3F60C"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Gestor: </w:t>
            </w:r>
          </w:p>
        </w:tc>
        <w:tc>
          <w:tcPr>
            <w:tcW w:w="6486" w:type="dxa"/>
          </w:tcPr>
          <w:p w14:paraId="3132EF5F" w14:textId="77777777" w:rsidR="00E86883" w:rsidRPr="00E86883" w:rsidRDefault="00E86883" w:rsidP="0099602A">
            <w:pPr>
              <w:spacing w:line="276" w:lineRule="auto"/>
              <w:jc w:val="both"/>
              <w:rPr>
                <w:rFonts w:ascii="Arial" w:hAnsi="Arial" w:cs="Arial"/>
                <w:sz w:val="22"/>
                <w:szCs w:val="22"/>
              </w:rPr>
            </w:pPr>
            <w:r w:rsidRPr="00E86883">
              <w:rPr>
                <w:rFonts w:ascii="Arial" w:hAnsi="Arial" w:cs="Arial"/>
                <w:sz w:val="22"/>
                <w:szCs w:val="22"/>
              </w:rPr>
              <w:t>Ministerstvo školství, mládeže a tělovýchovy</w:t>
            </w:r>
          </w:p>
        </w:tc>
      </w:tr>
      <w:tr w:rsidR="00E86883" w:rsidRPr="00E86883" w14:paraId="06E160C2" w14:textId="77777777" w:rsidTr="008D14FE">
        <w:tc>
          <w:tcPr>
            <w:tcW w:w="2802" w:type="dxa"/>
          </w:tcPr>
          <w:p w14:paraId="01928251"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Význam indikátoru: </w:t>
            </w:r>
          </w:p>
        </w:tc>
        <w:tc>
          <w:tcPr>
            <w:tcW w:w="6486" w:type="dxa"/>
          </w:tcPr>
          <w:p w14:paraId="6C9E103A" w14:textId="77777777" w:rsidR="00E86883" w:rsidRPr="00E86883" w:rsidRDefault="00F44950" w:rsidP="0099602A">
            <w:pPr>
              <w:spacing w:line="276" w:lineRule="auto"/>
              <w:jc w:val="both"/>
              <w:rPr>
                <w:rFonts w:ascii="Arial" w:hAnsi="Arial" w:cs="Arial"/>
                <w:sz w:val="22"/>
                <w:szCs w:val="22"/>
              </w:rPr>
            </w:pPr>
            <w:r>
              <w:rPr>
                <w:rFonts w:ascii="Arial" w:hAnsi="Arial" w:cs="Arial"/>
                <w:sz w:val="22"/>
                <w:szCs w:val="22"/>
              </w:rPr>
              <w:t>Ukazuje podíl dospělých osob</w:t>
            </w:r>
            <w:r w:rsidR="00E86883" w:rsidRPr="00E86883">
              <w:rPr>
                <w:rFonts w:ascii="Arial" w:hAnsi="Arial" w:cs="Arial"/>
                <w:sz w:val="22"/>
                <w:szCs w:val="22"/>
              </w:rPr>
              <w:t xml:space="preserve"> podle úrovní čtenářské gramotnosti. Z nízké úrovně čtenářské gramotnosti může vyplývat ohrožení na trhu práce i v životě obecně. Indikátor také přeneseně může vyjadřovat „kvalitu“ vzdělávacího systému v minulosti a také kvalitu dalšího vzdělávání. </w:t>
            </w:r>
          </w:p>
        </w:tc>
      </w:tr>
      <w:tr w:rsidR="00E86883" w:rsidRPr="00E86883" w14:paraId="27879705" w14:textId="77777777" w:rsidTr="008D14FE">
        <w:tc>
          <w:tcPr>
            <w:tcW w:w="2802" w:type="dxa"/>
          </w:tcPr>
          <w:p w14:paraId="0F49AFD9"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lastRenderedPageBreak/>
              <w:t xml:space="preserve">Časová řada: </w:t>
            </w:r>
          </w:p>
        </w:tc>
        <w:tc>
          <w:tcPr>
            <w:tcW w:w="6486" w:type="dxa"/>
          </w:tcPr>
          <w:p w14:paraId="18EBC23F" w14:textId="77777777" w:rsidR="00E86883" w:rsidRPr="00E86883" w:rsidRDefault="006246C1" w:rsidP="0099602A">
            <w:pPr>
              <w:spacing w:line="276" w:lineRule="auto"/>
              <w:jc w:val="both"/>
              <w:rPr>
                <w:rFonts w:ascii="Arial" w:hAnsi="Arial" w:cs="Arial"/>
                <w:sz w:val="22"/>
                <w:szCs w:val="22"/>
              </w:rPr>
            </w:pPr>
            <w:r>
              <w:rPr>
                <w:rFonts w:ascii="Arial" w:hAnsi="Arial" w:cs="Arial"/>
                <w:sz w:val="22"/>
                <w:szCs w:val="22"/>
              </w:rPr>
              <w:t>O</w:t>
            </w:r>
            <w:r w:rsidR="00E86883" w:rsidRPr="00E86883">
              <w:rPr>
                <w:rFonts w:ascii="Arial" w:hAnsi="Arial" w:cs="Arial"/>
                <w:sz w:val="22"/>
                <w:szCs w:val="22"/>
              </w:rPr>
              <w:t xml:space="preserve">d </w:t>
            </w:r>
            <w:r w:rsidR="00F44950">
              <w:rPr>
                <w:rFonts w:ascii="Arial" w:hAnsi="Arial" w:cs="Arial"/>
                <w:sz w:val="22"/>
                <w:szCs w:val="22"/>
              </w:rPr>
              <w:t xml:space="preserve">roku </w:t>
            </w:r>
            <w:r w:rsidR="00E86883" w:rsidRPr="00E86883">
              <w:rPr>
                <w:rFonts w:ascii="Arial" w:hAnsi="Arial" w:cs="Arial"/>
                <w:sz w:val="22"/>
                <w:szCs w:val="22"/>
              </w:rPr>
              <w:t>2011</w:t>
            </w:r>
          </w:p>
        </w:tc>
      </w:tr>
      <w:tr w:rsidR="00E86883" w:rsidRPr="00E86883" w14:paraId="2EFC478C" w14:textId="77777777" w:rsidTr="008D14FE">
        <w:tc>
          <w:tcPr>
            <w:tcW w:w="2802" w:type="dxa"/>
          </w:tcPr>
          <w:p w14:paraId="17B97422"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Frekvence výstupu: </w:t>
            </w:r>
          </w:p>
        </w:tc>
        <w:tc>
          <w:tcPr>
            <w:tcW w:w="6486" w:type="dxa"/>
          </w:tcPr>
          <w:p w14:paraId="40A9039C" w14:textId="77777777" w:rsidR="00E86883" w:rsidRPr="00E86883" w:rsidRDefault="00E86883" w:rsidP="0099602A">
            <w:pPr>
              <w:spacing w:line="276" w:lineRule="auto"/>
              <w:jc w:val="both"/>
              <w:rPr>
                <w:rFonts w:ascii="Arial" w:hAnsi="Arial" w:cs="Arial"/>
                <w:sz w:val="22"/>
                <w:szCs w:val="22"/>
              </w:rPr>
            </w:pPr>
            <w:r w:rsidRPr="00E86883">
              <w:rPr>
                <w:rFonts w:ascii="Arial" w:hAnsi="Arial" w:cs="Arial"/>
                <w:sz w:val="22"/>
                <w:szCs w:val="22"/>
              </w:rPr>
              <w:t>Jednou za 10 let</w:t>
            </w:r>
          </w:p>
        </w:tc>
      </w:tr>
      <w:tr w:rsidR="00E86883" w:rsidRPr="00E86883" w14:paraId="7D1C8030" w14:textId="77777777" w:rsidTr="008D14FE">
        <w:trPr>
          <w:trHeight w:val="70"/>
        </w:trPr>
        <w:tc>
          <w:tcPr>
            <w:tcW w:w="2802" w:type="dxa"/>
          </w:tcPr>
          <w:p w14:paraId="1F519177"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Členění indikátoru: </w:t>
            </w:r>
          </w:p>
        </w:tc>
        <w:tc>
          <w:tcPr>
            <w:tcW w:w="6486" w:type="dxa"/>
          </w:tcPr>
          <w:p w14:paraId="17464046" w14:textId="5892FD6B" w:rsidR="00E86883" w:rsidRPr="00E86883" w:rsidRDefault="006953A9" w:rsidP="0099602A">
            <w:pPr>
              <w:spacing w:line="276" w:lineRule="auto"/>
              <w:jc w:val="both"/>
              <w:rPr>
                <w:rFonts w:ascii="Arial" w:hAnsi="Arial" w:cs="Arial"/>
                <w:sz w:val="22"/>
                <w:szCs w:val="22"/>
              </w:rPr>
            </w:pPr>
            <w:r>
              <w:rPr>
                <w:rFonts w:ascii="Arial" w:hAnsi="Arial" w:cs="Arial"/>
                <w:sz w:val="22"/>
                <w:szCs w:val="22"/>
              </w:rPr>
              <w:t>Dle p</w:t>
            </w:r>
            <w:r w:rsidR="00E86883" w:rsidRPr="00E86883">
              <w:rPr>
                <w:rFonts w:ascii="Arial" w:hAnsi="Arial" w:cs="Arial"/>
                <w:sz w:val="22"/>
                <w:szCs w:val="22"/>
              </w:rPr>
              <w:t>ohlaví, věkové skupiny</w:t>
            </w:r>
          </w:p>
        </w:tc>
      </w:tr>
      <w:tr w:rsidR="00E86883" w:rsidRPr="00E86883" w14:paraId="0FFE593E" w14:textId="77777777" w:rsidTr="008D14FE">
        <w:trPr>
          <w:trHeight w:val="70"/>
        </w:trPr>
        <w:tc>
          <w:tcPr>
            <w:tcW w:w="2802" w:type="dxa"/>
          </w:tcPr>
          <w:p w14:paraId="496EAB92"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Mezinárodní srovnání:</w:t>
            </w:r>
          </w:p>
        </w:tc>
        <w:tc>
          <w:tcPr>
            <w:tcW w:w="6486" w:type="dxa"/>
          </w:tcPr>
          <w:p w14:paraId="35B8DCE0" w14:textId="77777777" w:rsidR="00E86883" w:rsidRPr="00E86883" w:rsidRDefault="00E86883" w:rsidP="0099602A">
            <w:pPr>
              <w:spacing w:line="276" w:lineRule="auto"/>
              <w:jc w:val="both"/>
              <w:rPr>
                <w:rFonts w:ascii="Arial" w:hAnsi="Arial" w:cs="Arial"/>
                <w:sz w:val="22"/>
                <w:szCs w:val="22"/>
              </w:rPr>
            </w:pPr>
            <w:r w:rsidRPr="00E86883">
              <w:rPr>
                <w:rFonts w:ascii="Arial" w:hAnsi="Arial" w:cs="Arial"/>
                <w:sz w:val="22"/>
                <w:szCs w:val="22"/>
              </w:rPr>
              <w:t>OECD</w:t>
            </w:r>
          </w:p>
        </w:tc>
      </w:tr>
    </w:tbl>
    <w:p w14:paraId="2BB24729" w14:textId="77777777" w:rsidR="00E86883" w:rsidRDefault="00D13386" w:rsidP="00ED673D">
      <w:pPr>
        <w:pStyle w:val="r2030cle"/>
        <w:numPr>
          <w:ilvl w:val="0"/>
          <w:numId w:val="17"/>
        </w:numPr>
        <w:spacing w:after="0"/>
        <w:ind w:left="567" w:hanging="425"/>
      </w:pPr>
      <w:r w:rsidRPr="00D13386">
        <w:t>Zdraví všech skupin obyvatel se zlepšuje</w:t>
      </w:r>
      <w:r>
        <w:t xml:space="preserve">. </w:t>
      </w:r>
    </w:p>
    <w:p w14:paraId="7160CD1A" w14:textId="77777777" w:rsidR="00E86883" w:rsidRPr="00D13386" w:rsidRDefault="00D13386" w:rsidP="00ED673D">
      <w:pPr>
        <w:pStyle w:val="r2030podcle"/>
        <w:numPr>
          <w:ilvl w:val="1"/>
          <w:numId w:val="17"/>
        </w:numPr>
        <w:ind w:left="567" w:hanging="425"/>
      </w:pPr>
      <w:r w:rsidRPr="00D13386">
        <w:t>Zvyšuje se délka života ve zdraví u všech s</w:t>
      </w:r>
      <w:r w:rsidR="00B75EA2">
        <w:t>kupin obyvatel České republiky.</w:t>
      </w:r>
    </w:p>
    <w:tbl>
      <w:tblPr>
        <w:tblStyle w:val="Mkatabulky"/>
        <w:tblW w:w="0" w:type="auto"/>
        <w:tblLook w:val="04A0" w:firstRow="1" w:lastRow="0" w:firstColumn="1" w:lastColumn="0" w:noHBand="0" w:noVBand="1"/>
      </w:tblPr>
      <w:tblGrid>
        <w:gridCol w:w="2802"/>
        <w:gridCol w:w="6486"/>
      </w:tblGrid>
      <w:tr w:rsidR="00E86883" w:rsidRPr="00E86883" w14:paraId="550D0544" w14:textId="77777777" w:rsidTr="008D14FE">
        <w:tc>
          <w:tcPr>
            <w:tcW w:w="2802" w:type="dxa"/>
          </w:tcPr>
          <w:p w14:paraId="29A95D27"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Název a označení indikátoru: </w:t>
            </w:r>
          </w:p>
        </w:tc>
        <w:tc>
          <w:tcPr>
            <w:tcW w:w="6486" w:type="dxa"/>
          </w:tcPr>
          <w:p w14:paraId="61675AA3" w14:textId="77777777" w:rsidR="00E86883" w:rsidRPr="00E86883" w:rsidRDefault="00E86883" w:rsidP="00C51B65">
            <w:pPr>
              <w:spacing w:line="276" w:lineRule="auto"/>
              <w:contextualSpacing/>
              <w:rPr>
                <w:rFonts w:ascii="Arial" w:hAnsi="Arial" w:cs="Arial"/>
                <w:b/>
                <w:sz w:val="22"/>
                <w:szCs w:val="22"/>
              </w:rPr>
            </w:pPr>
            <w:r w:rsidRPr="00E86883">
              <w:rPr>
                <w:rFonts w:ascii="Arial" w:hAnsi="Arial" w:cs="Arial"/>
                <w:b/>
                <w:sz w:val="22"/>
                <w:szCs w:val="22"/>
              </w:rPr>
              <w:t>5.1.1 Naděje dožití – střední délka života při narození a ve věku 65 let</w:t>
            </w:r>
          </w:p>
        </w:tc>
      </w:tr>
      <w:tr w:rsidR="00E86883" w:rsidRPr="00E86883" w14:paraId="2A2219ED" w14:textId="77777777" w:rsidTr="008D14FE">
        <w:tc>
          <w:tcPr>
            <w:tcW w:w="2802" w:type="dxa"/>
          </w:tcPr>
          <w:p w14:paraId="6F8FEAAD"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Stručná definice: </w:t>
            </w:r>
          </w:p>
        </w:tc>
        <w:tc>
          <w:tcPr>
            <w:tcW w:w="6486" w:type="dxa"/>
          </w:tcPr>
          <w:p w14:paraId="7F2ADB0A" w14:textId="77777777" w:rsidR="00E86883" w:rsidRPr="00E86883" w:rsidRDefault="00E86883" w:rsidP="00ED673D">
            <w:pPr>
              <w:spacing w:line="276" w:lineRule="auto"/>
              <w:jc w:val="both"/>
              <w:rPr>
                <w:rFonts w:ascii="Arial" w:hAnsi="Arial" w:cs="Arial"/>
                <w:sz w:val="22"/>
                <w:szCs w:val="22"/>
              </w:rPr>
            </w:pPr>
            <w:r w:rsidRPr="00E86883">
              <w:rPr>
                <w:rFonts w:ascii="Arial" w:hAnsi="Arial" w:cs="Arial"/>
                <w:sz w:val="22"/>
                <w:szCs w:val="22"/>
              </w:rPr>
              <w:t xml:space="preserve">Indikátor udává očekávaný celkový průměrný počet let, který zbývá osobám daného věku ještě prožít, jestliže budou zachovány úmrtnostní poměry daného období po zbytek jejich života </w:t>
            </w:r>
          </w:p>
        </w:tc>
      </w:tr>
      <w:tr w:rsidR="00E86883" w:rsidRPr="00E86883" w14:paraId="5D357DD4" w14:textId="77777777" w:rsidTr="008D14FE">
        <w:tc>
          <w:tcPr>
            <w:tcW w:w="2802" w:type="dxa"/>
          </w:tcPr>
          <w:p w14:paraId="79496658"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Jednotka:</w:t>
            </w:r>
          </w:p>
        </w:tc>
        <w:tc>
          <w:tcPr>
            <w:tcW w:w="6486" w:type="dxa"/>
          </w:tcPr>
          <w:p w14:paraId="0FE84897" w14:textId="77777777" w:rsidR="00E86883" w:rsidRPr="00E86883" w:rsidRDefault="00E86883" w:rsidP="00ED673D">
            <w:pPr>
              <w:spacing w:line="276" w:lineRule="auto"/>
              <w:jc w:val="both"/>
              <w:rPr>
                <w:rFonts w:ascii="Arial" w:hAnsi="Arial" w:cs="Arial"/>
                <w:sz w:val="22"/>
                <w:szCs w:val="22"/>
              </w:rPr>
            </w:pPr>
            <w:r w:rsidRPr="00E86883">
              <w:rPr>
                <w:rFonts w:ascii="Arial" w:hAnsi="Arial" w:cs="Arial"/>
                <w:sz w:val="22"/>
                <w:szCs w:val="22"/>
              </w:rPr>
              <w:t>Počet let</w:t>
            </w:r>
          </w:p>
        </w:tc>
      </w:tr>
      <w:tr w:rsidR="00E86883" w:rsidRPr="00E86883" w14:paraId="29605551" w14:textId="77777777" w:rsidTr="008D14FE">
        <w:tc>
          <w:tcPr>
            <w:tcW w:w="2802" w:type="dxa"/>
          </w:tcPr>
          <w:p w14:paraId="682917F6"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Gestor: </w:t>
            </w:r>
          </w:p>
        </w:tc>
        <w:tc>
          <w:tcPr>
            <w:tcW w:w="6486" w:type="dxa"/>
          </w:tcPr>
          <w:p w14:paraId="0B89326E" w14:textId="77777777" w:rsidR="00E86883" w:rsidRPr="00E86883" w:rsidRDefault="00E86883" w:rsidP="00ED673D">
            <w:pPr>
              <w:spacing w:line="276" w:lineRule="auto"/>
              <w:jc w:val="both"/>
              <w:rPr>
                <w:rFonts w:ascii="Arial" w:hAnsi="Arial" w:cs="Arial"/>
                <w:sz w:val="22"/>
                <w:szCs w:val="22"/>
              </w:rPr>
            </w:pPr>
            <w:r w:rsidRPr="00E86883">
              <w:rPr>
                <w:rFonts w:ascii="Arial" w:hAnsi="Arial" w:cs="Arial"/>
                <w:sz w:val="22"/>
                <w:szCs w:val="22"/>
              </w:rPr>
              <w:t>Český statistický úřad</w:t>
            </w:r>
          </w:p>
        </w:tc>
      </w:tr>
      <w:tr w:rsidR="00E86883" w:rsidRPr="00E86883" w14:paraId="2CD93FC9" w14:textId="77777777" w:rsidTr="008D14FE">
        <w:tc>
          <w:tcPr>
            <w:tcW w:w="2802" w:type="dxa"/>
          </w:tcPr>
          <w:p w14:paraId="6FB5D678"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Význam indikátoru: </w:t>
            </w:r>
          </w:p>
        </w:tc>
        <w:tc>
          <w:tcPr>
            <w:tcW w:w="6486" w:type="dxa"/>
          </w:tcPr>
          <w:p w14:paraId="2DF1B5D4" w14:textId="77777777" w:rsidR="00E86883" w:rsidRPr="00E86883" w:rsidRDefault="00E86883" w:rsidP="00ED673D">
            <w:pPr>
              <w:spacing w:line="276" w:lineRule="auto"/>
              <w:jc w:val="both"/>
              <w:rPr>
                <w:rFonts w:ascii="Arial" w:hAnsi="Arial" w:cs="Arial"/>
                <w:sz w:val="22"/>
                <w:szCs w:val="22"/>
              </w:rPr>
            </w:pPr>
            <w:r w:rsidRPr="00E86883">
              <w:rPr>
                <w:rFonts w:ascii="Arial" w:hAnsi="Arial" w:cs="Arial"/>
                <w:sz w:val="22"/>
                <w:szCs w:val="22"/>
              </w:rPr>
              <w:t xml:space="preserve">Naděje dožití (střední délka života) je indikátorem zdravotního stavu populace, který vychází z úmrtnostních poměrů dané populace. </w:t>
            </w:r>
          </w:p>
        </w:tc>
      </w:tr>
      <w:tr w:rsidR="00E86883" w:rsidRPr="00E86883" w14:paraId="4B3A1C18" w14:textId="77777777" w:rsidTr="008D14FE">
        <w:tc>
          <w:tcPr>
            <w:tcW w:w="2802" w:type="dxa"/>
          </w:tcPr>
          <w:p w14:paraId="2570DD95"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Časová řada: </w:t>
            </w:r>
          </w:p>
        </w:tc>
        <w:tc>
          <w:tcPr>
            <w:tcW w:w="6486" w:type="dxa"/>
          </w:tcPr>
          <w:p w14:paraId="75F1759E" w14:textId="39890335" w:rsidR="00E86883" w:rsidRPr="00E86883" w:rsidRDefault="00E86883" w:rsidP="00ED673D">
            <w:pPr>
              <w:spacing w:line="276" w:lineRule="auto"/>
              <w:jc w:val="both"/>
              <w:rPr>
                <w:rFonts w:ascii="Arial" w:hAnsi="Arial" w:cs="Arial"/>
                <w:sz w:val="22"/>
                <w:szCs w:val="22"/>
              </w:rPr>
            </w:pPr>
            <w:r w:rsidRPr="00E86883">
              <w:rPr>
                <w:rFonts w:ascii="Arial" w:hAnsi="Arial" w:cs="Arial"/>
                <w:sz w:val="22"/>
                <w:szCs w:val="22"/>
              </w:rPr>
              <w:t xml:space="preserve">Za ČR dostupné od r. 1920, za současné kraje od období 1991-1992, za okresy od období 1981-1985, za </w:t>
            </w:r>
            <w:r w:rsidR="006953A9">
              <w:rPr>
                <w:rFonts w:ascii="Arial" w:hAnsi="Arial" w:cs="Arial"/>
                <w:sz w:val="22"/>
                <w:szCs w:val="22"/>
              </w:rPr>
              <w:t>obce s rozšířenou působností</w:t>
            </w:r>
            <w:r w:rsidRPr="00E86883">
              <w:rPr>
                <w:rFonts w:ascii="Arial" w:hAnsi="Arial" w:cs="Arial"/>
                <w:sz w:val="22"/>
                <w:szCs w:val="22"/>
              </w:rPr>
              <w:t xml:space="preserve"> od období 2004-2008</w:t>
            </w:r>
          </w:p>
        </w:tc>
      </w:tr>
      <w:tr w:rsidR="00E86883" w:rsidRPr="00E86883" w14:paraId="35051287" w14:textId="77777777" w:rsidTr="008D14FE">
        <w:tc>
          <w:tcPr>
            <w:tcW w:w="2802" w:type="dxa"/>
          </w:tcPr>
          <w:p w14:paraId="0F549B90"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Frekvence výstupu: </w:t>
            </w:r>
          </w:p>
        </w:tc>
        <w:tc>
          <w:tcPr>
            <w:tcW w:w="6486" w:type="dxa"/>
          </w:tcPr>
          <w:p w14:paraId="3BE0AACB" w14:textId="77777777" w:rsidR="00E86883" w:rsidRPr="00E86883" w:rsidRDefault="008D14FE" w:rsidP="00ED673D">
            <w:pPr>
              <w:spacing w:line="276" w:lineRule="auto"/>
              <w:jc w:val="both"/>
              <w:rPr>
                <w:rFonts w:ascii="Arial" w:hAnsi="Arial" w:cs="Arial"/>
                <w:sz w:val="22"/>
                <w:szCs w:val="22"/>
              </w:rPr>
            </w:pPr>
            <w:r w:rsidRPr="00E86883">
              <w:rPr>
                <w:rFonts w:ascii="Arial" w:hAnsi="Arial" w:cs="Arial"/>
                <w:sz w:val="22"/>
                <w:szCs w:val="22"/>
              </w:rPr>
              <w:t>R</w:t>
            </w:r>
            <w:r w:rsidR="00E86883" w:rsidRPr="00E86883">
              <w:rPr>
                <w:rFonts w:ascii="Arial" w:hAnsi="Arial" w:cs="Arial"/>
                <w:sz w:val="22"/>
                <w:szCs w:val="22"/>
              </w:rPr>
              <w:t>očně</w:t>
            </w:r>
          </w:p>
        </w:tc>
      </w:tr>
      <w:tr w:rsidR="00E86883" w:rsidRPr="00E86883" w14:paraId="775B4F21" w14:textId="77777777" w:rsidTr="008D14FE">
        <w:trPr>
          <w:trHeight w:val="70"/>
        </w:trPr>
        <w:tc>
          <w:tcPr>
            <w:tcW w:w="2802" w:type="dxa"/>
          </w:tcPr>
          <w:p w14:paraId="1EA48449"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Členění indikátoru: </w:t>
            </w:r>
          </w:p>
        </w:tc>
        <w:tc>
          <w:tcPr>
            <w:tcW w:w="6486" w:type="dxa"/>
          </w:tcPr>
          <w:p w14:paraId="2873A3B0" w14:textId="1EFB976B" w:rsidR="00E86883" w:rsidRPr="00E86883" w:rsidRDefault="006953A9" w:rsidP="00ED673D">
            <w:pPr>
              <w:spacing w:line="276" w:lineRule="auto"/>
              <w:jc w:val="both"/>
              <w:rPr>
                <w:rFonts w:ascii="Arial" w:hAnsi="Arial" w:cs="Arial"/>
                <w:sz w:val="22"/>
                <w:szCs w:val="22"/>
              </w:rPr>
            </w:pPr>
            <w:r>
              <w:rPr>
                <w:rFonts w:ascii="Arial" w:hAnsi="Arial" w:cs="Arial"/>
                <w:sz w:val="22"/>
                <w:szCs w:val="22"/>
              </w:rPr>
              <w:t>Dle p</w:t>
            </w:r>
            <w:r w:rsidR="00E86883" w:rsidRPr="00E86883">
              <w:rPr>
                <w:rFonts w:ascii="Arial" w:hAnsi="Arial" w:cs="Arial"/>
                <w:sz w:val="22"/>
                <w:szCs w:val="22"/>
              </w:rPr>
              <w:t xml:space="preserve">ohlaví, </w:t>
            </w:r>
            <w:r w:rsidR="00A319CE" w:rsidRPr="00A319CE">
              <w:rPr>
                <w:rFonts w:ascii="Arial" w:hAnsi="Arial" w:cs="Arial"/>
                <w:sz w:val="22"/>
                <w:szCs w:val="22"/>
              </w:rPr>
              <w:t>okres</w:t>
            </w:r>
            <w:r>
              <w:rPr>
                <w:rFonts w:ascii="Arial" w:hAnsi="Arial" w:cs="Arial"/>
                <w:sz w:val="22"/>
                <w:szCs w:val="22"/>
              </w:rPr>
              <w:t>u</w:t>
            </w:r>
            <w:r w:rsidR="00A319CE" w:rsidRPr="00A319CE">
              <w:rPr>
                <w:rFonts w:ascii="Arial" w:hAnsi="Arial" w:cs="Arial"/>
                <w:sz w:val="22"/>
                <w:szCs w:val="22"/>
              </w:rPr>
              <w:t>, kraj</w:t>
            </w:r>
            <w:r>
              <w:rPr>
                <w:rFonts w:ascii="Arial" w:hAnsi="Arial" w:cs="Arial"/>
                <w:sz w:val="22"/>
                <w:szCs w:val="22"/>
              </w:rPr>
              <w:t>e</w:t>
            </w:r>
          </w:p>
        </w:tc>
      </w:tr>
      <w:tr w:rsidR="00E86883" w:rsidRPr="00E86883" w14:paraId="1A411C51" w14:textId="77777777" w:rsidTr="008D14FE">
        <w:trPr>
          <w:trHeight w:val="70"/>
        </w:trPr>
        <w:tc>
          <w:tcPr>
            <w:tcW w:w="2802" w:type="dxa"/>
          </w:tcPr>
          <w:p w14:paraId="04F7AE09"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Mezinárodní srovnání:</w:t>
            </w:r>
          </w:p>
        </w:tc>
        <w:tc>
          <w:tcPr>
            <w:tcW w:w="6486" w:type="dxa"/>
          </w:tcPr>
          <w:p w14:paraId="2CDC4B4A" w14:textId="77777777" w:rsidR="00E86883" w:rsidRPr="007B7911" w:rsidRDefault="007B7911" w:rsidP="00ED673D">
            <w:pPr>
              <w:spacing w:line="276" w:lineRule="auto"/>
              <w:jc w:val="both"/>
              <w:rPr>
                <w:rFonts w:ascii="Arial" w:hAnsi="Arial" w:cs="Arial"/>
                <w:sz w:val="22"/>
                <w:szCs w:val="22"/>
              </w:rPr>
            </w:pPr>
            <w:proofErr w:type="spellStart"/>
            <w:r>
              <w:rPr>
                <w:rFonts w:ascii="Arial" w:hAnsi="Arial" w:cs="Arial"/>
                <w:sz w:val="22"/>
                <w:szCs w:val="22"/>
              </w:rPr>
              <w:t>Eurostat</w:t>
            </w:r>
            <w:proofErr w:type="spellEnd"/>
            <w:r w:rsidR="006572B8">
              <w:rPr>
                <w:rFonts w:ascii="Arial" w:hAnsi="Arial" w:cs="Arial"/>
                <w:sz w:val="22"/>
                <w:szCs w:val="22"/>
              </w:rPr>
              <w:t>, OECD</w:t>
            </w:r>
          </w:p>
        </w:tc>
      </w:tr>
    </w:tbl>
    <w:p w14:paraId="4EE81F60" w14:textId="77777777" w:rsidR="00E86883" w:rsidRPr="00E86883" w:rsidRDefault="00E86883" w:rsidP="00C51B65">
      <w:pPr>
        <w:spacing w:line="276" w:lineRule="auto"/>
        <w:contextualSpacing/>
        <w:rPr>
          <w:rFonts w:ascii="Arial" w:eastAsiaTheme="minorHAnsi" w:hAnsi="Arial" w:cs="Arial"/>
          <w:sz w:val="22"/>
          <w:szCs w:val="22"/>
          <w:lang w:eastAsia="en-US"/>
        </w:rPr>
      </w:pPr>
    </w:p>
    <w:tbl>
      <w:tblPr>
        <w:tblStyle w:val="Mkatabulky"/>
        <w:tblW w:w="0" w:type="auto"/>
        <w:tblLook w:val="04A0" w:firstRow="1" w:lastRow="0" w:firstColumn="1" w:lastColumn="0" w:noHBand="0" w:noVBand="1"/>
      </w:tblPr>
      <w:tblGrid>
        <w:gridCol w:w="2802"/>
        <w:gridCol w:w="6486"/>
      </w:tblGrid>
      <w:tr w:rsidR="00E86883" w:rsidRPr="00E86883" w14:paraId="40A5CF2A" w14:textId="77777777" w:rsidTr="008D14FE">
        <w:tc>
          <w:tcPr>
            <w:tcW w:w="2802" w:type="dxa"/>
          </w:tcPr>
          <w:p w14:paraId="3A087872" w14:textId="77777777" w:rsidR="00E86883" w:rsidRPr="00E86883" w:rsidRDefault="00E86883" w:rsidP="00FB6CF6">
            <w:pPr>
              <w:spacing w:line="276" w:lineRule="auto"/>
              <w:rPr>
                <w:rFonts w:ascii="Arial" w:hAnsi="Arial" w:cs="Arial"/>
                <w:sz w:val="22"/>
                <w:szCs w:val="22"/>
              </w:rPr>
            </w:pPr>
            <w:r w:rsidRPr="00E86883">
              <w:rPr>
                <w:rFonts w:ascii="Arial" w:hAnsi="Arial" w:cs="Arial"/>
                <w:sz w:val="22"/>
                <w:szCs w:val="22"/>
              </w:rPr>
              <w:t xml:space="preserve">Název a označení indikátoru: </w:t>
            </w:r>
          </w:p>
        </w:tc>
        <w:tc>
          <w:tcPr>
            <w:tcW w:w="6486" w:type="dxa"/>
          </w:tcPr>
          <w:p w14:paraId="72018DB2" w14:textId="77777777" w:rsidR="00E86883" w:rsidRPr="00E86883" w:rsidRDefault="00E86883" w:rsidP="00C51B65">
            <w:pPr>
              <w:spacing w:line="276" w:lineRule="auto"/>
              <w:contextualSpacing/>
              <w:rPr>
                <w:rFonts w:ascii="Arial" w:hAnsi="Arial" w:cs="Arial"/>
                <w:b/>
                <w:sz w:val="22"/>
                <w:szCs w:val="22"/>
              </w:rPr>
            </w:pPr>
            <w:r w:rsidRPr="00E86883">
              <w:rPr>
                <w:rFonts w:ascii="Arial" w:hAnsi="Arial" w:cs="Arial"/>
                <w:b/>
                <w:sz w:val="22"/>
                <w:szCs w:val="22"/>
              </w:rPr>
              <w:t>5.1.2 Délka života ve zdraví (</w:t>
            </w:r>
            <w:proofErr w:type="spellStart"/>
            <w:r w:rsidRPr="00E86883">
              <w:rPr>
                <w:rFonts w:ascii="Arial" w:hAnsi="Arial" w:cs="Arial"/>
                <w:b/>
                <w:i/>
                <w:sz w:val="22"/>
                <w:szCs w:val="22"/>
              </w:rPr>
              <w:t>Healthy</w:t>
            </w:r>
            <w:proofErr w:type="spellEnd"/>
            <w:r w:rsidRPr="00E86883">
              <w:rPr>
                <w:rFonts w:ascii="Arial" w:hAnsi="Arial" w:cs="Arial"/>
                <w:b/>
                <w:i/>
                <w:sz w:val="22"/>
                <w:szCs w:val="22"/>
              </w:rPr>
              <w:t xml:space="preserve"> </w:t>
            </w:r>
            <w:proofErr w:type="spellStart"/>
            <w:r w:rsidRPr="00E86883">
              <w:rPr>
                <w:rFonts w:ascii="Arial" w:hAnsi="Arial" w:cs="Arial"/>
                <w:b/>
                <w:i/>
                <w:sz w:val="22"/>
                <w:szCs w:val="22"/>
              </w:rPr>
              <w:t>life</w:t>
            </w:r>
            <w:proofErr w:type="spellEnd"/>
            <w:r w:rsidRPr="00E86883">
              <w:rPr>
                <w:rFonts w:ascii="Arial" w:hAnsi="Arial" w:cs="Arial"/>
                <w:b/>
                <w:i/>
                <w:sz w:val="22"/>
                <w:szCs w:val="22"/>
              </w:rPr>
              <w:t xml:space="preserve"> </w:t>
            </w:r>
            <w:proofErr w:type="spellStart"/>
            <w:r w:rsidRPr="00E86883">
              <w:rPr>
                <w:rFonts w:ascii="Arial" w:hAnsi="Arial" w:cs="Arial"/>
                <w:b/>
                <w:i/>
                <w:sz w:val="22"/>
                <w:szCs w:val="22"/>
              </w:rPr>
              <w:t>years</w:t>
            </w:r>
            <w:proofErr w:type="spellEnd"/>
            <w:r w:rsidRPr="00E86883">
              <w:rPr>
                <w:rFonts w:ascii="Arial" w:hAnsi="Arial" w:cs="Arial"/>
                <w:b/>
                <w:i/>
                <w:sz w:val="22"/>
                <w:szCs w:val="22"/>
              </w:rPr>
              <w:t xml:space="preserve">) </w:t>
            </w:r>
            <w:r w:rsidRPr="00E86883">
              <w:rPr>
                <w:rFonts w:ascii="Arial" w:hAnsi="Arial" w:cs="Arial"/>
                <w:b/>
                <w:sz w:val="22"/>
                <w:szCs w:val="22"/>
              </w:rPr>
              <w:t>při narození a ve věku 65 let</w:t>
            </w:r>
          </w:p>
        </w:tc>
      </w:tr>
      <w:tr w:rsidR="00E86883" w:rsidRPr="00E86883" w14:paraId="2BA73B80" w14:textId="77777777" w:rsidTr="008D14FE">
        <w:tc>
          <w:tcPr>
            <w:tcW w:w="2802" w:type="dxa"/>
          </w:tcPr>
          <w:p w14:paraId="34094E82" w14:textId="77777777" w:rsidR="00E86883" w:rsidRPr="00E86883" w:rsidRDefault="00E86883" w:rsidP="00FB6CF6">
            <w:pPr>
              <w:spacing w:line="276" w:lineRule="auto"/>
              <w:rPr>
                <w:rFonts w:ascii="Arial" w:hAnsi="Arial" w:cs="Arial"/>
                <w:sz w:val="22"/>
                <w:szCs w:val="22"/>
              </w:rPr>
            </w:pPr>
            <w:r w:rsidRPr="00E86883">
              <w:rPr>
                <w:rFonts w:ascii="Arial" w:hAnsi="Arial" w:cs="Arial"/>
                <w:sz w:val="22"/>
                <w:szCs w:val="22"/>
              </w:rPr>
              <w:t xml:space="preserve">Stručná definice: </w:t>
            </w:r>
          </w:p>
        </w:tc>
        <w:tc>
          <w:tcPr>
            <w:tcW w:w="6486" w:type="dxa"/>
          </w:tcPr>
          <w:p w14:paraId="6415994E" w14:textId="77777777" w:rsidR="00E86883" w:rsidRPr="00E86883" w:rsidRDefault="00E86883" w:rsidP="00FB6CF6">
            <w:pPr>
              <w:spacing w:line="276" w:lineRule="auto"/>
              <w:jc w:val="both"/>
              <w:rPr>
                <w:rFonts w:ascii="Arial" w:hAnsi="Arial" w:cs="Arial"/>
                <w:sz w:val="22"/>
                <w:szCs w:val="22"/>
              </w:rPr>
            </w:pPr>
            <w:r w:rsidRPr="00E86883">
              <w:rPr>
                <w:rFonts w:ascii="Arial" w:hAnsi="Arial" w:cs="Arial"/>
                <w:sz w:val="22"/>
                <w:szCs w:val="22"/>
              </w:rPr>
              <w:t>Indikátor udává očekávaný celkový průměrný počet let ve zdraví, který zbývá osobám daného věku ještě prožít.</w:t>
            </w:r>
          </w:p>
        </w:tc>
      </w:tr>
      <w:tr w:rsidR="00E86883" w:rsidRPr="00E86883" w14:paraId="6D916C1F" w14:textId="77777777" w:rsidTr="008D14FE">
        <w:tc>
          <w:tcPr>
            <w:tcW w:w="2802" w:type="dxa"/>
          </w:tcPr>
          <w:p w14:paraId="49A26222" w14:textId="77777777" w:rsidR="00E86883" w:rsidRPr="00E86883" w:rsidRDefault="00E86883" w:rsidP="00FB6CF6">
            <w:pPr>
              <w:spacing w:line="276" w:lineRule="auto"/>
              <w:rPr>
                <w:rFonts w:ascii="Arial" w:hAnsi="Arial" w:cs="Arial"/>
                <w:sz w:val="22"/>
                <w:szCs w:val="22"/>
              </w:rPr>
            </w:pPr>
            <w:r w:rsidRPr="00E86883">
              <w:rPr>
                <w:rFonts w:ascii="Arial" w:hAnsi="Arial" w:cs="Arial"/>
                <w:sz w:val="22"/>
                <w:szCs w:val="22"/>
              </w:rPr>
              <w:t>Jednotka:</w:t>
            </w:r>
          </w:p>
        </w:tc>
        <w:tc>
          <w:tcPr>
            <w:tcW w:w="6486" w:type="dxa"/>
          </w:tcPr>
          <w:p w14:paraId="759B9AE0" w14:textId="77777777" w:rsidR="00E86883" w:rsidRPr="00E86883" w:rsidRDefault="00E86883" w:rsidP="00FB6CF6">
            <w:pPr>
              <w:spacing w:line="276" w:lineRule="auto"/>
              <w:jc w:val="both"/>
              <w:rPr>
                <w:rFonts w:ascii="Arial" w:hAnsi="Arial" w:cs="Arial"/>
                <w:sz w:val="22"/>
                <w:szCs w:val="22"/>
              </w:rPr>
            </w:pPr>
            <w:r w:rsidRPr="00E86883">
              <w:rPr>
                <w:rFonts w:ascii="Arial" w:hAnsi="Arial" w:cs="Arial"/>
                <w:sz w:val="22"/>
                <w:szCs w:val="22"/>
              </w:rPr>
              <w:t>Počet let</w:t>
            </w:r>
          </w:p>
        </w:tc>
      </w:tr>
      <w:tr w:rsidR="00E86883" w:rsidRPr="00E86883" w14:paraId="600E11C0" w14:textId="77777777" w:rsidTr="008D14FE">
        <w:tc>
          <w:tcPr>
            <w:tcW w:w="2802" w:type="dxa"/>
          </w:tcPr>
          <w:p w14:paraId="7EEDDF10" w14:textId="77777777" w:rsidR="00E86883" w:rsidRPr="00E86883" w:rsidRDefault="00E86883" w:rsidP="00FB6CF6">
            <w:pPr>
              <w:spacing w:line="276" w:lineRule="auto"/>
              <w:rPr>
                <w:rFonts w:ascii="Arial" w:hAnsi="Arial" w:cs="Arial"/>
                <w:sz w:val="22"/>
                <w:szCs w:val="22"/>
              </w:rPr>
            </w:pPr>
            <w:r w:rsidRPr="00E86883">
              <w:rPr>
                <w:rFonts w:ascii="Arial" w:hAnsi="Arial" w:cs="Arial"/>
                <w:sz w:val="22"/>
                <w:szCs w:val="22"/>
              </w:rPr>
              <w:t xml:space="preserve">Gestor: </w:t>
            </w:r>
          </w:p>
        </w:tc>
        <w:tc>
          <w:tcPr>
            <w:tcW w:w="6486" w:type="dxa"/>
          </w:tcPr>
          <w:p w14:paraId="0693681F" w14:textId="77777777" w:rsidR="00E86883" w:rsidRPr="00E86883" w:rsidRDefault="00E86883" w:rsidP="00FB6CF6">
            <w:pPr>
              <w:spacing w:line="276" w:lineRule="auto"/>
              <w:jc w:val="both"/>
              <w:rPr>
                <w:rFonts w:ascii="Arial" w:hAnsi="Arial" w:cs="Arial"/>
                <w:sz w:val="22"/>
                <w:szCs w:val="22"/>
              </w:rPr>
            </w:pPr>
            <w:r w:rsidRPr="00E86883">
              <w:rPr>
                <w:rFonts w:ascii="Arial" w:hAnsi="Arial" w:cs="Arial"/>
                <w:sz w:val="22"/>
                <w:szCs w:val="22"/>
              </w:rPr>
              <w:t>Ústav zdravotnických informací a statistiky ČR</w:t>
            </w:r>
          </w:p>
        </w:tc>
      </w:tr>
      <w:tr w:rsidR="00E86883" w:rsidRPr="00E86883" w14:paraId="042FDEBE" w14:textId="77777777" w:rsidTr="008D14FE">
        <w:tc>
          <w:tcPr>
            <w:tcW w:w="2802" w:type="dxa"/>
          </w:tcPr>
          <w:p w14:paraId="16CBDE33" w14:textId="77777777" w:rsidR="00E86883" w:rsidRPr="00E86883" w:rsidRDefault="00E86883" w:rsidP="00FB6CF6">
            <w:pPr>
              <w:spacing w:line="276" w:lineRule="auto"/>
              <w:rPr>
                <w:rFonts w:ascii="Arial" w:hAnsi="Arial" w:cs="Arial"/>
                <w:sz w:val="22"/>
                <w:szCs w:val="22"/>
              </w:rPr>
            </w:pPr>
            <w:r w:rsidRPr="00E86883">
              <w:rPr>
                <w:rFonts w:ascii="Arial" w:hAnsi="Arial" w:cs="Arial"/>
                <w:sz w:val="22"/>
                <w:szCs w:val="22"/>
              </w:rPr>
              <w:t xml:space="preserve">Význam indikátoru: </w:t>
            </w:r>
          </w:p>
        </w:tc>
        <w:tc>
          <w:tcPr>
            <w:tcW w:w="6486" w:type="dxa"/>
          </w:tcPr>
          <w:p w14:paraId="26181023" w14:textId="77777777" w:rsidR="00E86883" w:rsidRPr="00E86883" w:rsidRDefault="00E86883" w:rsidP="00FB6CF6">
            <w:pPr>
              <w:spacing w:line="276" w:lineRule="auto"/>
              <w:contextualSpacing/>
              <w:jc w:val="both"/>
              <w:rPr>
                <w:rFonts w:ascii="Arial" w:hAnsi="Arial" w:cs="Arial"/>
                <w:sz w:val="22"/>
                <w:szCs w:val="22"/>
              </w:rPr>
            </w:pPr>
            <w:r w:rsidRPr="00E86883">
              <w:rPr>
                <w:rFonts w:ascii="Arial" w:hAnsi="Arial" w:cs="Arial"/>
                <w:sz w:val="22"/>
                <w:szCs w:val="22"/>
              </w:rPr>
              <w:t>Znázorňuje dopady primární prevence nemocí a podpory zdraví v průběhu celého života, tedy zdravého životního stylu a prostředí, a dále tak ve svém důsledku indikuje úroveň kvality života.</w:t>
            </w:r>
          </w:p>
        </w:tc>
      </w:tr>
      <w:tr w:rsidR="00E86883" w:rsidRPr="00E86883" w14:paraId="7DC8ABCF" w14:textId="77777777" w:rsidTr="008D14FE">
        <w:tc>
          <w:tcPr>
            <w:tcW w:w="2802" w:type="dxa"/>
          </w:tcPr>
          <w:p w14:paraId="3B80D233" w14:textId="77777777" w:rsidR="00E86883" w:rsidRPr="00E86883" w:rsidRDefault="00E86883" w:rsidP="00FB6CF6">
            <w:pPr>
              <w:spacing w:line="276" w:lineRule="auto"/>
              <w:rPr>
                <w:rFonts w:ascii="Arial" w:hAnsi="Arial" w:cs="Arial"/>
                <w:sz w:val="22"/>
                <w:szCs w:val="22"/>
              </w:rPr>
            </w:pPr>
            <w:r w:rsidRPr="00E86883">
              <w:rPr>
                <w:rFonts w:ascii="Arial" w:hAnsi="Arial" w:cs="Arial"/>
                <w:sz w:val="22"/>
                <w:szCs w:val="22"/>
              </w:rPr>
              <w:t xml:space="preserve">Časová řada: </w:t>
            </w:r>
          </w:p>
        </w:tc>
        <w:tc>
          <w:tcPr>
            <w:tcW w:w="6486" w:type="dxa"/>
          </w:tcPr>
          <w:p w14:paraId="580CCAB0" w14:textId="77777777" w:rsidR="00E86883" w:rsidRPr="00E86883" w:rsidRDefault="00E86883" w:rsidP="00FB6CF6">
            <w:pPr>
              <w:spacing w:line="276" w:lineRule="auto"/>
              <w:jc w:val="both"/>
              <w:rPr>
                <w:rFonts w:ascii="Arial" w:hAnsi="Arial" w:cs="Arial"/>
                <w:sz w:val="22"/>
                <w:szCs w:val="22"/>
              </w:rPr>
            </w:pPr>
            <w:r w:rsidRPr="00E86883">
              <w:rPr>
                <w:rFonts w:ascii="Arial" w:hAnsi="Arial" w:cs="Arial"/>
                <w:sz w:val="22"/>
                <w:szCs w:val="22"/>
              </w:rPr>
              <w:t xml:space="preserve">Od roku 2008 </w:t>
            </w:r>
          </w:p>
        </w:tc>
      </w:tr>
      <w:tr w:rsidR="00E86883" w:rsidRPr="00E86883" w14:paraId="7F9BC9E0" w14:textId="77777777" w:rsidTr="008D14FE">
        <w:tc>
          <w:tcPr>
            <w:tcW w:w="2802" w:type="dxa"/>
          </w:tcPr>
          <w:p w14:paraId="1674174B"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Frekvence výstupu: </w:t>
            </w:r>
          </w:p>
        </w:tc>
        <w:tc>
          <w:tcPr>
            <w:tcW w:w="6486" w:type="dxa"/>
          </w:tcPr>
          <w:p w14:paraId="7EAE4BB8" w14:textId="77777777" w:rsidR="00E86883" w:rsidRPr="00E86883" w:rsidRDefault="00E86883" w:rsidP="00FB6CF6">
            <w:pPr>
              <w:spacing w:line="276" w:lineRule="auto"/>
              <w:jc w:val="both"/>
              <w:rPr>
                <w:rFonts w:ascii="Arial" w:hAnsi="Arial" w:cs="Arial"/>
                <w:sz w:val="22"/>
                <w:szCs w:val="22"/>
              </w:rPr>
            </w:pPr>
            <w:r w:rsidRPr="00E86883">
              <w:rPr>
                <w:rFonts w:ascii="Arial" w:hAnsi="Arial" w:cs="Arial"/>
                <w:sz w:val="22"/>
                <w:szCs w:val="22"/>
              </w:rPr>
              <w:t>Ročně; výběrové šetření příjmů a životních podmínek domácností EU – SILC</w:t>
            </w:r>
          </w:p>
        </w:tc>
      </w:tr>
      <w:tr w:rsidR="00E86883" w:rsidRPr="00E86883" w14:paraId="35474363" w14:textId="77777777" w:rsidTr="008D14FE">
        <w:trPr>
          <w:trHeight w:val="70"/>
        </w:trPr>
        <w:tc>
          <w:tcPr>
            <w:tcW w:w="2802" w:type="dxa"/>
          </w:tcPr>
          <w:p w14:paraId="169C9648"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Členění indikátoru: </w:t>
            </w:r>
          </w:p>
        </w:tc>
        <w:tc>
          <w:tcPr>
            <w:tcW w:w="6486" w:type="dxa"/>
          </w:tcPr>
          <w:p w14:paraId="103DFE08" w14:textId="77777777" w:rsidR="00E86883" w:rsidRPr="00E86883" w:rsidRDefault="006246C1" w:rsidP="00FB6CF6">
            <w:pPr>
              <w:spacing w:line="276" w:lineRule="auto"/>
              <w:jc w:val="both"/>
              <w:rPr>
                <w:rFonts w:ascii="Arial" w:hAnsi="Arial" w:cs="Arial"/>
                <w:sz w:val="22"/>
                <w:szCs w:val="22"/>
              </w:rPr>
            </w:pPr>
            <w:r>
              <w:rPr>
                <w:rFonts w:ascii="Arial" w:hAnsi="Arial" w:cs="Arial"/>
                <w:sz w:val="22"/>
                <w:szCs w:val="22"/>
              </w:rPr>
              <w:t>Pohlaví</w:t>
            </w:r>
          </w:p>
        </w:tc>
      </w:tr>
      <w:tr w:rsidR="00E86883" w:rsidRPr="00E86883" w14:paraId="1C87D7C4" w14:textId="77777777" w:rsidTr="008D14FE">
        <w:trPr>
          <w:trHeight w:val="70"/>
        </w:trPr>
        <w:tc>
          <w:tcPr>
            <w:tcW w:w="2802" w:type="dxa"/>
          </w:tcPr>
          <w:p w14:paraId="09F0F593"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Mezinárodní srovnání:</w:t>
            </w:r>
          </w:p>
        </w:tc>
        <w:tc>
          <w:tcPr>
            <w:tcW w:w="6486" w:type="dxa"/>
          </w:tcPr>
          <w:p w14:paraId="7C09BC40" w14:textId="77777777" w:rsidR="00E86883" w:rsidRPr="00E86883" w:rsidRDefault="00E86883" w:rsidP="00FB6CF6">
            <w:pPr>
              <w:spacing w:line="276" w:lineRule="auto"/>
              <w:jc w:val="both"/>
              <w:rPr>
                <w:rFonts w:ascii="Arial" w:hAnsi="Arial" w:cs="Arial"/>
                <w:sz w:val="22"/>
                <w:szCs w:val="22"/>
              </w:rPr>
            </w:pPr>
            <w:proofErr w:type="spellStart"/>
            <w:r w:rsidRPr="00E86883">
              <w:rPr>
                <w:rFonts w:ascii="Arial" w:hAnsi="Arial" w:cs="Arial"/>
                <w:sz w:val="22"/>
                <w:szCs w:val="22"/>
              </w:rPr>
              <w:t>Eurostat</w:t>
            </w:r>
            <w:proofErr w:type="spellEnd"/>
            <w:r w:rsidRPr="00E86883">
              <w:rPr>
                <w:rFonts w:ascii="Arial" w:hAnsi="Arial" w:cs="Arial"/>
                <w:sz w:val="22"/>
                <w:szCs w:val="22"/>
              </w:rPr>
              <w:t xml:space="preserve"> </w:t>
            </w:r>
          </w:p>
        </w:tc>
      </w:tr>
    </w:tbl>
    <w:p w14:paraId="226D3F10" w14:textId="77777777" w:rsidR="00E86883" w:rsidRDefault="00B75EA2" w:rsidP="00ED673D">
      <w:pPr>
        <w:pStyle w:val="r2030podcle"/>
        <w:numPr>
          <w:ilvl w:val="1"/>
          <w:numId w:val="17"/>
        </w:numPr>
        <w:ind w:left="567" w:hanging="425"/>
      </w:pPr>
      <w:r>
        <w:t>S</w:t>
      </w:r>
      <w:r w:rsidR="00D13386" w:rsidRPr="00D13386">
        <w:t xml:space="preserve">nižují </w:t>
      </w:r>
      <w:r w:rsidR="00D13386" w:rsidRPr="00C9631C">
        <w:t>se vlivy</w:t>
      </w:r>
      <w:r w:rsidR="009038C4">
        <w:t xml:space="preserve"> </w:t>
      </w:r>
      <w:r w:rsidR="00D13386" w:rsidRPr="00C9631C">
        <w:t>způsobující</w:t>
      </w:r>
      <w:r w:rsidR="00D13386" w:rsidRPr="00D13386">
        <w:t xml:space="preserve"> nerovnosti v oblasti zdraví</w:t>
      </w:r>
      <w:r w:rsidR="009038C4">
        <w:t>.</w:t>
      </w:r>
    </w:p>
    <w:tbl>
      <w:tblPr>
        <w:tblStyle w:val="Mkatabulky"/>
        <w:tblW w:w="0" w:type="auto"/>
        <w:tblLook w:val="04A0" w:firstRow="1" w:lastRow="0" w:firstColumn="1" w:lastColumn="0" w:noHBand="0" w:noVBand="1"/>
      </w:tblPr>
      <w:tblGrid>
        <w:gridCol w:w="2802"/>
        <w:gridCol w:w="6486"/>
      </w:tblGrid>
      <w:tr w:rsidR="00E86883" w:rsidRPr="00E86883" w14:paraId="1991BF0B" w14:textId="77777777" w:rsidTr="008D14FE">
        <w:tc>
          <w:tcPr>
            <w:tcW w:w="2802" w:type="dxa"/>
          </w:tcPr>
          <w:p w14:paraId="54191FE1"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lastRenderedPageBreak/>
              <w:t xml:space="preserve">Název a označení indikátoru: </w:t>
            </w:r>
          </w:p>
        </w:tc>
        <w:tc>
          <w:tcPr>
            <w:tcW w:w="6486" w:type="dxa"/>
          </w:tcPr>
          <w:p w14:paraId="62E8D720" w14:textId="42AD683C" w:rsidR="00E86883" w:rsidRPr="00E86883" w:rsidRDefault="00E86883" w:rsidP="009849D4">
            <w:pPr>
              <w:spacing w:line="276" w:lineRule="auto"/>
              <w:contextualSpacing/>
              <w:rPr>
                <w:rFonts w:ascii="Arial" w:hAnsi="Arial" w:cs="Arial"/>
                <w:b/>
                <w:sz w:val="22"/>
                <w:szCs w:val="22"/>
              </w:rPr>
            </w:pPr>
            <w:r w:rsidRPr="00E86883">
              <w:rPr>
                <w:rFonts w:ascii="Arial" w:hAnsi="Arial" w:cs="Arial"/>
                <w:b/>
                <w:sz w:val="22"/>
                <w:szCs w:val="22"/>
              </w:rPr>
              <w:t xml:space="preserve">5.2.1 </w:t>
            </w:r>
            <w:r w:rsidR="009849D4">
              <w:rPr>
                <w:rFonts w:ascii="Arial" w:hAnsi="Arial" w:cs="Arial"/>
                <w:b/>
                <w:sz w:val="22"/>
                <w:szCs w:val="22"/>
              </w:rPr>
              <w:t>Dlouhodobé omezení aktivit (</w:t>
            </w:r>
            <w:proofErr w:type="spellStart"/>
            <w:r w:rsidR="009849D4" w:rsidRPr="009849D4">
              <w:rPr>
                <w:rFonts w:ascii="Arial" w:hAnsi="Arial" w:cs="Arial"/>
                <w:b/>
                <w:sz w:val="22"/>
                <w:szCs w:val="22"/>
              </w:rPr>
              <w:t>Global</w:t>
            </w:r>
            <w:proofErr w:type="spellEnd"/>
            <w:r w:rsidR="009849D4">
              <w:rPr>
                <w:rFonts w:ascii="Arial" w:hAnsi="Arial" w:cs="Arial"/>
                <w:b/>
                <w:sz w:val="22"/>
                <w:szCs w:val="22"/>
              </w:rPr>
              <w:t xml:space="preserve"> </w:t>
            </w:r>
            <w:proofErr w:type="spellStart"/>
            <w:r w:rsidR="009849D4">
              <w:rPr>
                <w:rFonts w:ascii="Arial" w:hAnsi="Arial" w:cs="Arial"/>
                <w:b/>
                <w:sz w:val="22"/>
                <w:szCs w:val="22"/>
              </w:rPr>
              <w:t>Activity</w:t>
            </w:r>
            <w:proofErr w:type="spellEnd"/>
            <w:r w:rsidR="009849D4">
              <w:rPr>
                <w:rFonts w:ascii="Arial" w:hAnsi="Arial" w:cs="Arial"/>
                <w:b/>
                <w:sz w:val="22"/>
                <w:szCs w:val="22"/>
              </w:rPr>
              <w:t xml:space="preserve"> </w:t>
            </w:r>
            <w:proofErr w:type="spellStart"/>
            <w:r w:rsidR="009849D4">
              <w:rPr>
                <w:rFonts w:ascii="Arial" w:hAnsi="Arial" w:cs="Arial"/>
                <w:b/>
                <w:sz w:val="22"/>
                <w:szCs w:val="22"/>
              </w:rPr>
              <w:t>Limitation</w:t>
            </w:r>
            <w:proofErr w:type="spellEnd"/>
            <w:r w:rsidR="009849D4">
              <w:rPr>
                <w:rFonts w:ascii="Arial" w:hAnsi="Arial" w:cs="Arial"/>
                <w:b/>
                <w:sz w:val="22"/>
                <w:szCs w:val="22"/>
              </w:rPr>
              <w:t xml:space="preserve"> </w:t>
            </w:r>
            <w:proofErr w:type="spellStart"/>
            <w:r w:rsidR="009849D4">
              <w:rPr>
                <w:rFonts w:ascii="Arial" w:hAnsi="Arial" w:cs="Arial"/>
                <w:b/>
                <w:sz w:val="22"/>
                <w:szCs w:val="22"/>
              </w:rPr>
              <w:t>Indicator</w:t>
            </w:r>
            <w:proofErr w:type="spellEnd"/>
            <w:r w:rsidR="009849D4">
              <w:rPr>
                <w:rFonts w:ascii="Arial" w:hAnsi="Arial" w:cs="Arial"/>
                <w:b/>
                <w:sz w:val="22"/>
                <w:szCs w:val="22"/>
              </w:rPr>
              <w:t>)</w:t>
            </w:r>
          </w:p>
        </w:tc>
      </w:tr>
      <w:tr w:rsidR="00E86883" w:rsidRPr="00E86883" w14:paraId="2BCE0213" w14:textId="77777777" w:rsidTr="008D14FE">
        <w:tc>
          <w:tcPr>
            <w:tcW w:w="2802" w:type="dxa"/>
          </w:tcPr>
          <w:p w14:paraId="075AC95D"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Stručná definice: </w:t>
            </w:r>
          </w:p>
        </w:tc>
        <w:tc>
          <w:tcPr>
            <w:tcW w:w="6486" w:type="dxa"/>
          </w:tcPr>
          <w:p w14:paraId="40EBA963" w14:textId="77777777" w:rsidR="00E86883" w:rsidRPr="00E86883" w:rsidRDefault="00E86883" w:rsidP="00ED673D">
            <w:pPr>
              <w:spacing w:line="276" w:lineRule="auto"/>
              <w:jc w:val="both"/>
              <w:rPr>
                <w:rFonts w:ascii="Arial" w:hAnsi="Arial" w:cs="Arial"/>
                <w:sz w:val="22"/>
                <w:szCs w:val="22"/>
              </w:rPr>
            </w:pPr>
            <w:r w:rsidRPr="00E86883">
              <w:rPr>
                <w:rFonts w:ascii="Arial" w:hAnsi="Arial" w:cs="Arial"/>
                <w:sz w:val="22"/>
                <w:szCs w:val="22"/>
              </w:rPr>
              <w:t>Podíl osob</w:t>
            </w:r>
            <w:r w:rsidR="009038C4">
              <w:rPr>
                <w:rFonts w:ascii="Arial" w:hAnsi="Arial" w:cs="Arial"/>
                <w:sz w:val="22"/>
                <w:szCs w:val="22"/>
              </w:rPr>
              <w:t xml:space="preserve"> starších 16 let</w:t>
            </w:r>
            <w:r w:rsidRPr="00E86883">
              <w:rPr>
                <w:rFonts w:ascii="Arial" w:hAnsi="Arial" w:cs="Arial"/>
                <w:sz w:val="22"/>
                <w:szCs w:val="22"/>
              </w:rPr>
              <w:t>, které jsou ze zdravotních důvodů dlouhodobě omezeny v činnostech, které lidé obvy</w:t>
            </w:r>
            <w:r w:rsidR="00D11FCC">
              <w:rPr>
                <w:rFonts w:ascii="Arial" w:hAnsi="Arial" w:cs="Arial"/>
                <w:sz w:val="22"/>
                <w:szCs w:val="22"/>
              </w:rPr>
              <w:t xml:space="preserve">kle dělají, dle stupně omezení </w:t>
            </w:r>
            <w:r w:rsidR="009038C4">
              <w:rPr>
                <w:rFonts w:ascii="Arial" w:hAnsi="Arial" w:cs="Arial"/>
                <w:sz w:val="22"/>
                <w:szCs w:val="22"/>
              </w:rPr>
              <w:t xml:space="preserve"> </w:t>
            </w:r>
          </w:p>
        </w:tc>
      </w:tr>
      <w:tr w:rsidR="00E86883" w:rsidRPr="00E86883" w14:paraId="46B840EF" w14:textId="77777777" w:rsidTr="008D14FE">
        <w:tc>
          <w:tcPr>
            <w:tcW w:w="2802" w:type="dxa"/>
          </w:tcPr>
          <w:p w14:paraId="193254D8"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Jednotka:</w:t>
            </w:r>
          </w:p>
        </w:tc>
        <w:tc>
          <w:tcPr>
            <w:tcW w:w="6486" w:type="dxa"/>
          </w:tcPr>
          <w:p w14:paraId="3AED8FF3" w14:textId="77777777" w:rsidR="00E86883" w:rsidRPr="00E86883" w:rsidRDefault="00E86883" w:rsidP="00ED673D">
            <w:pPr>
              <w:spacing w:line="276" w:lineRule="auto"/>
              <w:jc w:val="both"/>
              <w:rPr>
                <w:rFonts w:ascii="Arial" w:hAnsi="Arial" w:cs="Arial"/>
                <w:sz w:val="22"/>
                <w:szCs w:val="22"/>
              </w:rPr>
            </w:pPr>
            <w:r w:rsidRPr="00E86883">
              <w:rPr>
                <w:rFonts w:ascii="Arial" w:hAnsi="Arial" w:cs="Arial"/>
                <w:sz w:val="22"/>
                <w:szCs w:val="22"/>
              </w:rPr>
              <w:t>Podíl (v %)</w:t>
            </w:r>
          </w:p>
        </w:tc>
      </w:tr>
      <w:tr w:rsidR="00E86883" w:rsidRPr="00E86883" w14:paraId="289CC9C0" w14:textId="77777777" w:rsidTr="008D14FE">
        <w:tc>
          <w:tcPr>
            <w:tcW w:w="2802" w:type="dxa"/>
          </w:tcPr>
          <w:p w14:paraId="259FDAA1"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Gestor: </w:t>
            </w:r>
          </w:p>
        </w:tc>
        <w:tc>
          <w:tcPr>
            <w:tcW w:w="6486" w:type="dxa"/>
          </w:tcPr>
          <w:p w14:paraId="0093291C" w14:textId="77777777" w:rsidR="00E86883" w:rsidRPr="00E86883" w:rsidRDefault="00E86883" w:rsidP="00ED673D">
            <w:pPr>
              <w:spacing w:line="276" w:lineRule="auto"/>
              <w:jc w:val="both"/>
              <w:rPr>
                <w:rFonts w:ascii="Arial" w:hAnsi="Arial" w:cs="Arial"/>
                <w:sz w:val="22"/>
                <w:szCs w:val="22"/>
              </w:rPr>
            </w:pPr>
            <w:r w:rsidRPr="00E86883">
              <w:rPr>
                <w:rFonts w:ascii="Arial" w:hAnsi="Arial" w:cs="Arial"/>
                <w:sz w:val="22"/>
                <w:szCs w:val="22"/>
              </w:rPr>
              <w:t>Ústav zdravotnických informací a statistiky ČR</w:t>
            </w:r>
          </w:p>
        </w:tc>
      </w:tr>
      <w:tr w:rsidR="00E86883" w:rsidRPr="00E86883" w14:paraId="48865A8F" w14:textId="77777777" w:rsidTr="008D14FE">
        <w:tc>
          <w:tcPr>
            <w:tcW w:w="2802" w:type="dxa"/>
          </w:tcPr>
          <w:p w14:paraId="21F49588"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Význam indikátoru: </w:t>
            </w:r>
          </w:p>
        </w:tc>
        <w:tc>
          <w:tcPr>
            <w:tcW w:w="6486" w:type="dxa"/>
          </w:tcPr>
          <w:p w14:paraId="3F194C06" w14:textId="77777777" w:rsidR="00E86883" w:rsidRPr="00E86883" w:rsidRDefault="00E86883" w:rsidP="00ED673D">
            <w:pPr>
              <w:tabs>
                <w:tab w:val="left" w:pos="2460"/>
              </w:tabs>
              <w:spacing w:line="276" w:lineRule="auto"/>
              <w:jc w:val="both"/>
              <w:rPr>
                <w:rFonts w:ascii="Arial" w:hAnsi="Arial" w:cs="Arial"/>
                <w:sz w:val="22"/>
                <w:szCs w:val="22"/>
              </w:rPr>
            </w:pPr>
            <w:r w:rsidRPr="00E86883">
              <w:rPr>
                <w:rFonts w:ascii="Arial" w:hAnsi="Arial" w:cs="Arial"/>
                <w:sz w:val="22"/>
                <w:szCs w:val="22"/>
              </w:rPr>
              <w:t>Ukazuje dopady rozdílů v </w:t>
            </w:r>
            <w:proofErr w:type="spellStart"/>
            <w:r w:rsidRPr="00E86883">
              <w:rPr>
                <w:rFonts w:ascii="Arial" w:hAnsi="Arial" w:cs="Arial"/>
                <w:sz w:val="22"/>
                <w:szCs w:val="22"/>
              </w:rPr>
              <w:t>socio</w:t>
            </w:r>
            <w:proofErr w:type="spellEnd"/>
            <w:r w:rsidRPr="00E86883">
              <w:rPr>
                <w:rFonts w:ascii="Arial" w:hAnsi="Arial" w:cs="Arial"/>
                <w:sz w:val="22"/>
                <w:szCs w:val="22"/>
              </w:rPr>
              <w:t>-ekonomických determinantech zdraví, jež vedou k nerovnostem ve zdraví.</w:t>
            </w:r>
          </w:p>
        </w:tc>
      </w:tr>
      <w:tr w:rsidR="00E86883" w:rsidRPr="00E86883" w14:paraId="155C9ECD" w14:textId="77777777" w:rsidTr="008D14FE">
        <w:tc>
          <w:tcPr>
            <w:tcW w:w="2802" w:type="dxa"/>
          </w:tcPr>
          <w:p w14:paraId="654CEFF8"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Časová řada: </w:t>
            </w:r>
          </w:p>
        </w:tc>
        <w:tc>
          <w:tcPr>
            <w:tcW w:w="6486" w:type="dxa"/>
          </w:tcPr>
          <w:p w14:paraId="539EFCFF" w14:textId="77777777" w:rsidR="00E86883" w:rsidRPr="00E86883" w:rsidRDefault="00E86883" w:rsidP="00ED673D">
            <w:pPr>
              <w:spacing w:line="276" w:lineRule="auto"/>
              <w:jc w:val="both"/>
              <w:rPr>
                <w:rFonts w:ascii="Arial" w:hAnsi="Arial" w:cs="Arial"/>
                <w:sz w:val="22"/>
                <w:szCs w:val="22"/>
              </w:rPr>
            </w:pPr>
            <w:r w:rsidRPr="00E86883">
              <w:rPr>
                <w:rFonts w:ascii="Arial" w:hAnsi="Arial" w:cs="Arial"/>
                <w:sz w:val="22"/>
                <w:szCs w:val="22"/>
              </w:rPr>
              <w:t>Od roku 2008</w:t>
            </w:r>
          </w:p>
        </w:tc>
      </w:tr>
      <w:tr w:rsidR="00E86883" w:rsidRPr="00E86883" w14:paraId="32075045" w14:textId="77777777" w:rsidTr="008D14FE">
        <w:tc>
          <w:tcPr>
            <w:tcW w:w="2802" w:type="dxa"/>
          </w:tcPr>
          <w:p w14:paraId="1D44E1FC"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Frekvence výstupu: </w:t>
            </w:r>
          </w:p>
        </w:tc>
        <w:tc>
          <w:tcPr>
            <w:tcW w:w="6486" w:type="dxa"/>
          </w:tcPr>
          <w:p w14:paraId="769E4D45" w14:textId="77777777" w:rsidR="00E86883" w:rsidRPr="00E86883" w:rsidRDefault="00E86883" w:rsidP="00ED673D">
            <w:pPr>
              <w:spacing w:line="276" w:lineRule="auto"/>
              <w:jc w:val="both"/>
              <w:rPr>
                <w:rFonts w:ascii="Arial" w:hAnsi="Arial" w:cs="Arial"/>
                <w:sz w:val="22"/>
                <w:szCs w:val="22"/>
              </w:rPr>
            </w:pPr>
            <w:r w:rsidRPr="00E86883">
              <w:rPr>
                <w:rFonts w:ascii="Arial" w:hAnsi="Arial" w:cs="Arial"/>
                <w:sz w:val="22"/>
                <w:szCs w:val="22"/>
              </w:rPr>
              <w:t>Ročně</w:t>
            </w:r>
            <w:r w:rsidR="007B7911">
              <w:rPr>
                <w:rFonts w:ascii="Arial" w:hAnsi="Arial" w:cs="Arial"/>
                <w:sz w:val="22"/>
                <w:szCs w:val="22"/>
              </w:rPr>
              <w:t xml:space="preserve">, </w:t>
            </w:r>
            <w:r w:rsidR="007B7911" w:rsidRPr="00E86883">
              <w:rPr>
                <w:rFonts w:ascii="Arial" w:hAnsi="Arial" w:cs="Arial"/>
                <w:sz w:val="22"/>
                <w:szCs w:val="22"/>
              </w:rPr>
              <w:t>výběrové šetření příjmů a životních podmínek domácností EU – SILC</w:t>
            </w:r>
          </w:p>
        </w:tc>
      </w:tr>
      <w:tr w:rsidR="00E86883" w:rsidRPr="00E86883" w14:paraId="5A2D1ED6" w14:textId="77777777" w:rsidTr="008D14FE">
        <w:trPr>
          <w:trHeight w:val="70"/>
        </w:trPr>
        <w:tc>
          <w:tcPr>
            <w:tcW w:w="2802" w:type="dxa"/>
          </w:tcPr>
          <w:p w14:paraId="5D9F38D0"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Členění indikátoru: </w:t>
            </w:r>
          </w:p>
        </w:tc>
        <w:tc>
          <w:tcPr>
            <w:tcW w:w="6486" w:type="dxa"/>
          </w:tcPr>
          <w:p w14:paraId="405363EC" w14:textId="77777777" w:rsidR="00E86883" w:rsidRPr="00E86883" w:rsidRDefault="00E86883" w:rsidP="00ED673D">
            <w:pPr>
              <w:spacing w:line="276" w:lineRule="auto"/>
              <w:jc w:val="both"/>
              <w:rPr>
                <w:rFonts w:ascii="Arial" w:hAnsi="Arial" w:cs="Arial"/>
                <w:sz w:val="22"/>
                <w:szCs w:val="22"/>
              </w:rPr>
            </w:pPr>
            <w:r w:rsidRPr="00E86883">
              <w:rPr>
                <w:rFonts w:ascii="Arial" w:hAnsi="Arial" w:cs="Arial"/>
                <w:sz w:val="22"/>
                <w:szCs w:val="22"/>
              </w:rPr>
              <w:t>Příjmové decily, dosažená úroveň vzdělání, region, věk</w:t>
            </w:r>
          </w:p>
        </w:tc>
      </w:tr>
      <w:tr w:rsidR="00E86883" w:rsidRPr="00E86883" w14:paraId="780131E3" w14:textId="77777777" w:rsidTr="008D14FE">
        <w:trPr>
          <w:trHeight w:val="70"/>
        </w:trPr>
        <w:tc>
          <w:tcPr>
            <w:tcW w:w="2802" w:type="dxa"/>
          </w:tcPr>
          <w:p w14:paraId="1004EA3C"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Mezinárodní srovnání:</w:t>
            </w:r>
          </w:p>
        </w:tc>
        <w:tc>
          <w:tcPr>
            <w:tcW w:w="6486" w:type="dxa"/>
          </w:tcPr>
          <w:p w14:paraId="279AC841" w14:textId="77777777" w:rsidR="00E86883" w:rsidRPr="00E86883" w:rsidRDefault="00E86883" w:rsidP="0099602A">
            <w:pPr>
              <w:spacing w:line="276" w:lineRule="auto"/>
              <w:jc w:val="both"/>
              <w:rPr>
                <w:rFonts w:ascii="Arial" w:hAnsi="Arial" w:cs="Arial"/>
                <w:sz w:val="22"/>
                <w:szCs w:val="22"/>
              </w:rPr>
            </w:pPr>
            <w:proofErr w:type="spellStart"/>
            <w:r w:rsidRPr="00E86883">
              <w:rPr>
                <w:rFonts w:ascii="Arial" w:hAnsi="Arial" w:cs="Arial"/>
                <w:sz w:val="22"/>
                <w:szCs w:val="22"/>
              </w:rPr>
              <w:t>Eurostat</w:t>
            </w:r>
            <w:proofErr w:type="spellEnd"/>
          </w:p>
        </w:tc>
      </w:tr>
    </w:tbl>
    <w:p w14:paraId="60E3CE38" w14:textId="6810E31A" w:rsidR="00E86883" w:rsidRDefault="00D7622A" w:rsidP="00ED673D">
      <w:pPr>
        <w:pStyle w:val="r2030podcle"/>
        <w:numPr>
          <w:ilvl w:val="1"/>
          <w:numId w:val="17"/>
        </w:numPr>
        <w:ind w:left="567" w:hanging="425"/>
        <w:jc w:val="both"/>
      </w:pPr>
      <w:r w:rsidRPr="00D7622A">
        <w:t>Systém veřejného zdravotnictví je stabilní</w:t>
      </w:r>
      <w:r w:rsidR="004A4A62">
        <w:t>, všeobecně dostupný co do kvality i kapacity</w:t>
      </w:r>
      <w:r w:rsidRPr="00D7622A">
        <w:t xml:space="preserve"> a současně se rozvíjí</w:t>
      </w:r>
      <w:r>
        <w:t xml:space="preserve"> odpovídající </w:t>
      </w:r>
      <w:r w:rsidRPr="00D7622A">
        <w:t>profesní struktura. Věkový průměr lékařského</w:t>
      </w:r>
      <w:r w:rsidR="004A4A62">
        <w:t xml:space="preserve"> i nelékařského</w:t>
      </w:r>
      <w:r w:rsidRPr="00D7622A">
        <w:t xml:space="preserve"> personálu se snižuje a zlepšuje se ohodnocení všech pracovníků ve zdravotnictví</w:t>
      </w:r>
      <w:r w:rsidR="000418A4" w:rsidRPr="000418A4">
        <w:t xml:space="preserve">. </w:t>
      </w:r>
    </w:p>
    <w:tbl>
      <w:tblPr>
        <w:tblStyle w:val="Mkatabulky"/>
        <w:tblW w:w="0" w:type="auto"/>
        <w:tblLook w:val="04A0" w:firstRow="1" w:lastRow="0" w:firstColumn="1" w:lastColumn="0" w:noHBand="0" w:noVBand="1"/>
      </w:tblPr>
      <w:tblGrid>
        <w:gridCol w:w="2802"/>
        <w:gridCol w:w="6486"/>
      </w:tblGrid>
      <w:tr w:rsidR="00E86883" w:rsidRPr="00E86883" w14:paraId="60EEEC80" w14:textId="77777777" w:rsidTr="008D14FE">
        <w:tc>
          <w:tcPr>
            <w:tcW w:w="2802" w:type="dxa"/>
          </w:tcPr>
          <w:p w14:paraId="1E6B24D2"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Název a označení indikátoru: </w:t>
            </w:r>
          </w:p>
        </w:tc>
        <w:tc>
          <w:tcPr>
            <w:tcW w:w="6486" w:type="dxa"/>
          </w:tcPr>
          <w:p w14:paraId="0F70440A" w14:textId="77777777" w:rsidR="00E86883" w:rsidRPr="00E86883" w:rsidRDefault="00E86883" w:rsidP="00C51B65">
            <w:pPr>
              <w:spacing w:line="276" w:lineRule="auto"/>
              <w:contextualSpacing/>
              <w:rPr>
                <w:rFonts w:ascii="Arial" w:hAnsi="Arial" w:cs="Arial"/>
                <w:b/>
                <w:sz w:val="22"/>
                <w:szCs w:val="22"/>
              </w:rPr>
            </w:pPr>
            <w:r w:rsidRPr="00E86883">
              <w:rPr>
                <w:rFonts w:ascii="Arial" w:hAnsi="Arial" w:cs="Arial"/>
                <w:b/>
                <w:sz w:val="22"/>
                <w:szCs w:val="22"/>
              </w:rPr>
              <w:t>5.3.1 Věková struktura lékařských a nelékařských pracovníků ve zdravotnictví dle jednotlivých specializací</w:t>
            </w:r>
          </w:p>
        </w:tc>
      </w:tr>
      <w:tr w:rsidR="00E86883" w:rsidRPr="00E86883" w14:paraId="18F02DC0" w14:textId="77777777" w:rsidTr="008D14FE">
        <w:tc>
          <w:tcPr>
            <w:tcW w:w="2802" w:type="dxa"/>
          </w:tcPr>
          <w:p w14:paraId="48F3E588"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Stručná definice: </w:t>
            </w:r>
          </w:p>
        </w:tc>
        <w:tc>
          <w:tcPr>
            <w:tcW w:w="6486" w:type="dxa"/>
          </w:tcPr>
          <w:p w14:paraId="4FB975FC" w14:textId="77777777" w:rsidR="00E86883" w:rsidRPr="00E86883" w:rsidRDefault="00E86883" w:rsidP="00ED673D">
            <w:pPr>
              <w:spacing w:line="276" w:lineRule="auto"/>
              <w:jc w:val="both"/>
              <w:rPr>
                <w:rFonts w:ascii="Arial" w:hAnsi="Arial" w:cs="Arial"/>
                <w:sz w:val="22"/>
                <w:szCs w:val="22"/>
              </w:rPr>
            </w:pPr>
            <w:r w:rsidRPr="00E86883">
              <w:rPr>
                <w:rFonts w:ascii="Arial" w:hAnsi="Arial" w:cs="Arial"/>
                <w:sz w:val="22"/>
                <w:szCs w:val="22"/>
              </w:rPr>
              <w:t>Věková struktura zdravotnických pracovníků podle desetiletých věkových kategorií</w:t>
            </w:r>
          </w:p>
        </w:tc>
      </w:tr>
      <w:tr w:rsidR="00E86883" w:rsidRPr="00E86883" w14:paraId="3E50651A" w14:textId="77777777" w:rsidTr="008D14FE">
        <w:tc>
          <w:tcPr>
            <w:tcW w:w="2802" w:type="dxa"/>
          </w:tcPr>
          <w:p w14:paraId="5117D320"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Jednotka:</w:t>
            </w:r>
          </w:p>
        </w:tc>
        <w:tc>
          <w:tcPr>
            <w:tcW w:w="6486" w:type="dxa"/>
          </w:tcPr>
          <w:p w14:paraId="1A0B4B31" w14:textId="77777777" w:rsidR="00E86883" w:rsidRPr="00E86883" w:rsidRDefault="00E86883" w:rsidP="00ED673D">
            <w:pPr>
              <w:spacing w:line="276" w:lineRule="auto"/>
              <w:jc w:val="both"/>
              <w:rPr>
                <w:rFonts w:ascii="Arial" w:hAnsi="Arial" w:cs="Arial"/>
                <w:sz w:val="22"/>
                <w:szCs w:val="22"/>
              </w:rPr>
            </w:pPr>
            <w:r w:rsidRPr="00E86883">
              <w:rPr>
                <w:rFonts w:ascii="Arial" w:hAnsi="Arial" w:cs="Arial"/>
                <w:sz w:val="22"/>
                <w:szCs w:val="22"/>
              </w:rPr>
              <w:t>Podíl (v %)</w:t>
            </w:r>
          </w:p>
        </w:tc>
      </w:tr>
      <w:tr w:rsidR="00E86883" w:rsidRPr="00E86883" w14:paraId="71034F93" w14:textId="77777777" w:rsidTr="008D14FE">
        <w:tc>
          <w:tcPr>
            <w:tcW w:w="2802" w:type="dxa"/>
          </w:tcPr>
          <w:p w14:paraId="2D43692B"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Gestor: </w:t>
            </w:r>
          </w:p>
        </w:tc>
        <w:tc>
          <w:tcPr>
            <w:tcW w:w="6486" w:type="dxa"/>
          </w:tcPr>
          <w:p w14:paraId="0E265E7B" w14:textId="77777777" w:rsidR="00E86883" w:rsidRPr="00E86883" w:rsidRDefault="00E86883" w:rsidP="00ED673D">
            <w:pPr>
              <w:spacing w:line="276" w:lineRule="auto"/>
              <w:jc w:val="both"/>
              <w:rPr>
                <w:rFonts w:ascii="Arial" w:hAnsi="Arial" w:cs="Arial"/>
                <w:sz w:val="22"/>
                <w:szCs w:val="22"/>
              </w:rPr>
            </w:pPr>
            <w:r w:rsidRPr="00E86883">
              <w:rPr>
                <w:rFonts w:ascii="Arial" w:hAnsi="Arial" w:cs="Arial"/>
                <w:sz w:val="22"/>
                <w:szCs w:val="22"/>
              </w:rPr>
              <w:t>Ústav zdravotnických informací a statistiky ČR</w:t>
            </w:r>
          </w:p>
        </w:tc>
      </w:tr>
      <w:tr w:rsidR="00E86883" w:rsidRPr="00E86883" w14:paraId="47EE9058" w14:textId="77777777" w:rsidTr="008D14FE">
        <w:tc>
          <w:tcPr>
            <w:tcW w:w="2802" w:type="dxa"/>
          </w:tcPr>
          <w:p w14:paraId="2710B1C4"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Význam indikátoru: </w:t>
            </w:r>
          </w:p>
        </w:tc>
        <w:tc>
          <w:tcPr>
            <w:tcW w:w="6486" w:type="dxa"/>
          </w:tcPr>
          <w:p w14:paraId="46806D51" w14:textId="77777777" w:rsidR="00E86883" w:rsidRPr="00E86883" w:rsidRDefault="00E86883" w:rsidP="00ED673D">
            <w:pPr>
              <w:spacing w:line="276" w:lineRule="auto"/>
              <w:jc w:val="both"/>
              <w:rPr>
                <w:rFonts w:ascii="Arial" w:hAnsi="Arial" w:cs="Arial"/>
                <w:sz w:val="22"/>
                <w:szCs w:val="22"/>
              </w:rPr>
            </w:pPr>
            <w:r w:rsidRPr="00E86883">
              <w:rPr>
                <w:rFonts w:ascii="Arial" w:hAnsi="Arial" w:cs="Arial"/>
                <w:sz w:val="22"/>
                <w:szCs w:val="22"/>
              </w:rPr>
              <w:t>Ukazuje míru udržitelnosti sektorů zdravotnictví vzhledem ke generačním obměnám.</w:t>
            </w:r>
          </w:p>
        </w:tc>
      </w:tr>
      <w:tr w:rsidR="00E86883" w:rsidRPr="00E86883" w14:paraId="28BA8AE9" w14:textId="77777777" w:rsidTr="008D14FE">
        <w:tc>
          <w:tcPr>
            <w:tcW w:w="2802" w:type="dxa"/>
          </w:tcPr>
          <w:p w14:paraId="26246A98"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Časová řada: </w:t>
            </w:r>
          </w:p>
        </w:tc>
        <w:tc>
          <w:tcPr>
            <w:tcW w:w="6486" w:type="dxa"/>
          </w:tcPr>
          <w:p w14:paraId="5E1A0EE7" w14:textId="77777777" w:rsidR="00E86883" w:rsidRPr="00E86883" w:rsidRDefault="00E86883" w:rsidP="00ED673D">
            <w:pPr>
              <w:spacing w:line="276" w:lineRule="auto"/>
              <w:jc w:val="both"/>
              <w:rPr>
                <w:rFonts w:ascii="Arial" w:hAnsi="Arial" w:cs="Arial"/>
                <w:sz w:val="22"/>
                <w:szCs w:val="22"/>
              </w:rPr>
            </w:pPr>
            <w:r w:rsidRPr="00E86883">
              <w:rPr>
                <w:rFonts w:ascii="Arial" w:hAnsi="Arial" w:cs="Arial"/>
                <w:sz w:val="22"/>
                <w:szCs w:val="22"/>
              </w:rPr>
              <w:t>Do roku 2013, od roku 2016</w:t>
            </w:r>
          </w:p>
        </w:tc>
      </w:tr>
      <w:tr w:rsidR="00E86883" w:rsidRPr="00E86883" w14:paraId="5223A8AF" w14:textId="77777777" w:rsidTr="008D14FE">
        <w:tc>
          <w:tcPr>
            <w:tcW w:w="2802" w:type="dxa"/>
          </w:tcPr>
          <w:p w14:paraId="176FE211"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Frekvence výstupu: </w:t>
            </w:r>
          </w:p>
        </w:tc>
        <w:tc>
          <w:tcPr>
            <w:tcW w:w="6486" w:type="dxa"/>
          </w:tcPr>
          <w:p w14:paraId="3A405C5A" w14:textId="77777777" w:rsidR="00E86883" w:rsidRPr="00E86883" w:rsidRDefault="00E86883" w:rsidP="00ED673D">
            <w:pPr>
              <w:spacing w:line="276" w:lineRule="auto"/>
              <w:jc w:val="both"/>
              <w:rPr>
                <w:rFonts w:ascii="Arial" w:hAnsi="Arial" w:cs="Arial"/>
                <w:sz w:val="22"/>
                <w:szCs w:val="22"/>
              </w:rPr>
            </w:pPr>
            <w:r w:rsidRPr="00E86883">
              <w:rPr>
                <w:rFonts w:ascii="Arial" w:hAnsi="Arial" w:cs="Arial"/>
                <w:sz w:val="22"/>
                <w:szCs w:val="22"/>
              </w:rPr>
              <w:t>Ročně</w:t>
            </w:r>
          </w:p>
        </w:tc>
      </w:tr>
      <w:tr w:rsidR="00E86883" w:rsidRPr="00E86883" w14:paraId="31EDFA53" w14:textId="77777777" w:rsidTr="008D14FE">
        <w:trPr>
          <w:trHeight w:val="70"/>
        </w:trPr>
        <w:tc>
          <w:tcPr>
            <w:tcW w:w="2802" w:type="dxa"/>
          </w:tcPr>
          <w:p w14:paraId="3D0B200F"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Členění indikátoru: </w:t>
            </w:r>
          </w:p>
        </w:tc>
        <w:tc>
          <w:tcPr>
            <w:tcW w:w="6486" w:type="dxa"/>
          </w:tcPr>
          <w:p w14:paraId="6ED9BB29" w14:textId="61362FE3" w:rsidR="00E86883" w:rsidRPr="00E86883" w:rsidRDefault="0099602A" w:rsidP="00ED673D">
            <w:pPr>
              <w:spacing w:line="276" w:lineRule="auto"/>
              <w:jc w:val="both"/>
              <w:rPr>
                <w:rFonts w:ascii="Arial" w:hAnsi="Arial" w:cs="Arial"/>
                <w:sz w:val="22"/>
                <w:szCs w:val="22"/>
              </w:rPr>
            </w:pPr>
            <w:r>
              <w:rPr>
                <w:rFonts w:ascii="Arial" w:hAnsi="Arial" w:cs="Arial"/>
                <w:sz w:val="22"/>
                <w:szCs w:val="22"/>
              </w:rPr>
              <w:t>Dle s</w:t>
            </w:r>
            <w:r w:rsidR="00E86883" w:rsidRPr="00E86883">
              <w:rPr>
                <w:rFonts w:ascii="Arial" w:hAnsi="Arial" w:cs="Arial"/>
                <w:sz w:val="22"/>
                <w:szCs w:val="22"/>
              </w:rPr>
              <w:t>pecializace</w:t>
            </w:r>
          </w:p>
        </w:tc>
      </w:tr>
      <w:tr w:rsidR="00E86883" w:rsidRPr="00E86883" w14:paraId="0BDCCC3B" w14:textId="77777777" w:rsidTr="00FB6CF6">
        <w:trPr>
          <w:trHeight w:val="78"/>
        </w:trPr>
        <w:tc>
          <w:tcPr>
            <w:tcW w:w="2802" w:type="dxa"/>
          </w:tcPr>
          <w:p w14:paraId="11A90152"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Mezinárodní srovnání:</w:t>
            </w:r>
          </w:p>
        </w:tc>
        <w:tc>
          <w:tcPr>
            <w:tcW w:w="6486" w:type="dxa"/>
          </w:tcPr>
          <w:p w14:paraId="1BA45EFD" w14:textId="77777777" w:rsidR="00E86883" w:rsidRPr="00E86883" w:rsidRDefault="00E86883" w:rsidP="00ED673D">
            <w:pPr>
              <w:spacing w:line="276" w:lineRule="auto"/>
              <w:jc w:val="both"/>
              <w:rPr>
                <w:rFonts w:ascii="Arial" w:hAnsi="Arial" w:cs="Arial"/>
                <w:sz w:val="22"/>
                <w:szCs w:val="22"/>
              </w:rPr>
            </w:pPr>
            <w:r w:rsidRPr="00E86883">
              <w:rPr>
                <w:rFonts w:ascii="Arial" w:hAnsi="Arial" w:cs="Arial"/>
                <w:sz w:val="22"/>
                <w:szCs w:val="22"/>
              </w:rPr>
              <w:t>OECD, pouze za lékaře celkem</w:t>
            </w:r>
          </w:p>
        </w:tc>
      </w:tr>
    </w:tbl>
    <w:p w14:paraId="3093AF61" w14:textId="77777777" w:rsidR="00E86883" w:rsidRPr="00E86883" w:rsidRDefault="00E86883" w:rsidP="00C51B65">
      <w:pPr>
        <w:spacing w:line="276" w:lineRule="auto"/>
        <w:jc w:val="both"/>
        <w:rPr>
          <w:rFonts w:ascii="Arial" w:hAnsi="Arial" w:cs="Arial"/>
          <w:sz w:val="22"/>
          <w:szCs w:val="22"/>
        </w:rPr>
      </w:pPr>
    </w:p>
    <w:tbl>
      <w:tblPr>
        <w:tblStyle w:val="Mkatabulky"/>
        <w:tblW w:w="0" w:type="auto"/>
        <w:tblLook w:val="04A0" w:firstRow="1" w:lastRow="0" w:firstColumn="1" w:lastColumn="0" w:noHBand="0" w:noVBand="1"/>
      </w:tblPr>
      <w:tblGrid>
        <w:gridCol w:w="2802"/>
        <w:gridCol w:w="6486"/>
      </w:tblGrid>
      <w:tr w:rsidR="00E86883" w:rsidRPr="00E86883" w14:paraId="162FED11" w14:textId="77777777" w:rsidTr="008D14FE">
        <w:tc>
          <w:tcPr>
            <w:tcW w:w="2802" w:type="dxa"/>
          </w:tcPr>
          <w:p w14:paraId="2CBBDBB4"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Název a označení indikátoru: </w:t>
            </w:r>
          </w:p>
        </w:tc>
        <w:tc>
          <w:tcPr>
            <w:tcW w:w="6486" w:type="dxa"/>
          </w:tcPr>
          <w:p w14:paraId="3DE85C76" w14:textId="77777777" w:rsidR="00E86883" w:rsidRPr="00E86883" w:rsidRDefault="00E86883" w:rsidP="00C51B65">
            <w:pPr>
              <w:spacing w:line="276" w:lineRule="auto"/>
              <w:contextualSpacing/>
              <w:rPr>
                <w:rFonts w:ascii="Arial" w:hAnsi="Arial" w:cs="Arial"/>
                <w:b/>
                <w:sz w:val="22"/>
                <w:szCs w:val="22"/>
              </w:rPr>
            </w:pPr>
            <w:r w:rsidRPr="00E86883">
              <w:rPr>
                <w:rFonts w:ascii="Arial" w:hAnsi="Arial" w:cs="Arial"/>
                <w:b/>
                <w:sz w:val="22"/>
                <w:szCs w:val="22"/>
              </w:rPr>
              <w:t>5.3.2 Průměrný</w:t>
            </w:r>
            <w:r w:rsidR="00793AAC">
              <w:rPr>
                <w:rFonts w:ascii="Arial" w:hAnsi="Arial" w:cs="Arial"/>
                <w:b/>
                <w:sz w:val="22"/>
                <w:szCs w:val="22"/>
              </w:rPr>
              <w:t xml:space="preserve"> a mediánový</w:t>
            </w:r>
            <w:r w:rsidRPr="00E86883">
              <w:rPr>
                <w:rFonts w:ascii="Arial" w:hAnsi="Arial" w:cs="Arial"/>
                <w:b/>
                <w:sz w:val="22"/>
                <w:szCs w:val="22"/>
              </w:rPr>
              <w:t xml:space="preserve"> plat / mzda lékařských a nelékařských pracovníků ve zdravotnictví </w:t>
            </w:r>
          </w:p>
        </w:tc>
      </w:tr>
      <w:tr w:rsidR="00E86883" w:rsidRPr="00E86883" w14:paraId="19117675" w14:textId="77777777" w:rsidTr="008D14FE">
        <w:tc>
          <w:tcPr>
            <w:tcW w:w="2802" w:type="dxa"/>
          </w:tcPr>
          <w:p w14:paraId="47A6629E"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Stručná definice: </w:t>
            </w:r>
          </w:p>
        </w:tc>
        <w:tc>
          <w:tcPr>
            <w:tcW w:w="6486" w:type="dxa"/>
          </w:tcPr>
          <w:p w14:paraId="55221F23" w14:textId="77777777" w:rsidR="00E86883" w:rsidRPr="00E86883" w:rsidRDefault="00E86883" w:rsidP="00ED673D">
            <w:pPr>
              <w:spacing w:line="276" w:lineRule="auto"/>
              <w:jc w:val="both"/>
              <w:rPr>
                <w:rFonts w:ascii="Arial" w:hAnsi="Arial" w:cs="Arial"/>
                <w:sz w:val="22"/>
                <w:szCs w:val="22"/>
              </w:rPr>
            </w:pPr>
            <w:r w:rsidRPr="00E86883">
              <w:rPr>
                <w:rFonts w:ascii="Arial" w:hAnsi="Arial" w:cs="Arial"/>
                <w:sz w:val="22"/>
                <w:szCs w:val="22"/>
              </w:rPr>
              <w:t>Průměr</w:t>
            </w:r>
            <w:r w:rsidR="00793AAC">
              <w:rPr>
                <w:rFonts w:ascii="Arial" w:hAnsi="Arial" w:cs="Arial"/>
                <w:sz w:val="22"/>
                <w:szCs w:val="22"/>
              </w:rPr>
              <w:t xml:space="preserve"> a medián</w:t>
            </w:r>
            <w:r w:rsidRPr="00E86883">
              <w:rPr>
                <w:rFonts w:ascii="Arial" w:hAnsi="Arial" w:cs="Arial"/>
                <w:sz w:val="22"/>
                <w:szCs w:val="22"/>
              </w:rPr>
              <w:t xml:space="preserve"> platů a mezd zaměstnanců ve zdravotnictví</w:t>
            </w:r>
          </w:p>
        </w:tc>
      </w:tr>
      <w:tr w:rsidR="00E86883" w:rsidRPr="00E86883" w14:paraId="21196E2B" w14:textId="77777777" w:rsidTr="008D14FE">
        <w:tc>
          <w:tcPr>
            <w:tcW w:w="2802" w:type="dxa"/>
          </w:tcPr>
          <w:p w14:paraId="4DFA19D4"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Jednotka:</w:t>
            </w:r>
          </w:p>
        </w:tc>
        <w:tc>
          <w:tcPr>
            <w:tcW w:w="6486" w:type="dxa"/>
          </w:tcPr>
          <w:p w14:paraId="0EBDC41E" w14:textId="77777777" w:rsidR="00E86883" w:rsidRPr="00E86883" w:rsidRDefault="00E86883" w:rsidP="00ED673D">
            <w:pPr>
              <w:spacing w:line="276" w:lineRule="auto"/>
              <w:jc w:val="both"/>
              <w:rPr>
                <w:rFonts w:ascii="Arial" w:hAnsi="Arial" w:cs="Arial"/>
                <w:sz w:val="22"/>
                <w:szCs w:val="22"/>
              </w:rPr>
            </w:pPr>
            <w:r w:rsidRPr="00E86883">
              <w:rPr>
                <w:rFonts w:ascii="Arial" w:hAnsi="Arial" w:cs="Arial"/>
                <w:sz w:val="22"/>
                <w:szCs w:val="22"/>
              </w:rPr>
              <w:t>Kč</w:t>
            </w:r>
          </w:p>
        </w:tc>
      </w:tr>
      <w:tr w:rsidR="00E86883" w:rsidRPr="00E86883" w14:paraId="0BC7D091" w14:textId="77777777" w:rsidTr="008D14FE">
        <w:tc>
          <w:tcPr>
            <w:tcW w:w="2802" w:type="dxa"/>
          </w:tcPr>
          <w:p w14:paraId="67A43518"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Gestor: </w:t>
            </w:r>
          </w:p>
        </w:tc>
        <w:tc>
          <w:tcPr>
            <w:tcW w:w="6486" w:type="dxa"/>
          </w:tcPr>
          <w:p w14:paraId="2195D2E1" w14:textId="77777777" w:rsidR="00E86883" w:rsidRPr="00E86883" w:rsidRDefault="00E86883" w:rsidP="00ED673D">
            <w:pPr>
              <w:spacing w:line="276" w:lineRule="auto"/>
              <w:jc w:val="both"/>
              <w:rPr>
                <w:rFonts w:ascii="Arial" w:hAnsi="Arial" w:cs="Arial"/>
                <w:sz w:val="22"/>
                <w:szCs w:val="22"/>
              </w:rPr>
            </w:pPr>
            <w:r w:rsidRPr="00E86883">
              <w:rPr>
                <w:rFonts w:ascii="Arial" w:hAnsi="Arial" w:cs="Arial"/>
                <w:sz w:val="22"/>
                <w:szCs w:val="22"/>
              </w:rPr>
              <w:t>Ústav zdravotnických informací a statistiky ČR</w:t>
            </w:r>
          </w:p>
        </w:tc>
      </w:tr>
      <w:tr w:rsidR="00E86883" w:rsidRPr="00E86883" w14:paraId="3ACA17AF" w14:textId="77777777" w:rsidTr="008D14FE">
        <w:tc>
          <w:tcPr>
            <w:tcW w:w="2802" w:type="dxa"/>
          </w:tcPr>
          <w:p w14:paraId="0B990174"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Význam indikátoru: </w:t>
            </w:r>
          </w:p>
        </w:tc>
        <w:tc>
          <w:tcPr>
            <w:tcW w:w="6486" w:type="dxa"/>
          </w:tcPr>
          <w:p w14:paraId="07D96A27" w14:textId="77777777" w:rsidR="00E86883" w:rsidRPr="00E86883" w:rsidRDefault="00E86883" w:rsidP="00ED673D">
            <w:pPr>
              <w:spacing w:line="276" w:lineRule="auto"/>
              <w:jc w:val="both"/>
              <w:rPr>
                <w:rFonts w:ascii="Arial" w:hAnsi="Arial" w:cs="Arial"/>
                <w:sz w:val="22"/>
                <w:szCs w:val="22"/>
              </w:rPr>
            </w:pPr>
            <w:r w:rsidRPr="00E86883">
              <w:rPr>
                <w:rFonts w:ascii="Arial" w:hAnsi="Arial" w:cs="Arial"/>
                <w:sz w:val="22"/>
                <w:szCs w:val="22"/>
              </w:rPr>
              <w:t xml:space="preserve">Znázorňuje úroveň </w:t>
            </w:r>
            <w:r w:rsidR="00793AAC">
              <w:rPr>
                <w:rFonts w:ascii="Arial" w:hAnsi="Arial" w:cs="Arial"/>
                <w:sz w:val="22"/>
                <w:szCs w:val="22"/>
              </w:rPr>
              <w:t>ohodnocení</w:t>
            </w:r>
            <w:r w:rsidR="00793AAC" w:rsidRPr="00E86883">
              <w:rPr>
                <w:rFonts w:ascii="Arial" w:hAnsi="Arial" w:cs="Arial"/>
                <w:sz w:val="22"/>
                <w:szCs w:val="22"/>
              </w:rPr>
              <w:t xml:space="preserve"> </w:t>
            </w:r>
            <w:r w:rsidRPr="00E86883">
              <w:rPr>
                <w:rFonts w:ascii="Arial" w:hAnsi="Arial" w:cs="Arial"/>
                <w:sz w:val="22"/>
                <w:szCs w:val="22"/>
              </w:rPr>
              <w:t>zdravotnických pracovníků.</w:t>
            </w:r>
          </w:p>
        </w:tc>
      </w:tr>
      <w:tr w:rsidR="00E86883" w:rsidRPr="00E86883" w14:paraId="0BB96312" w14:textId="77777777" w:rsidTr="008D14FE">
        <w:tc>
          <w:tcPr>
            <w:tcW w:w="2802" w:type="dxa"/>
          </w:tcPr>
          <w:p w14:paraId="75FB7348"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Časová řada: </w:t>
            </w:r>
          </w:p>
        </w:tc>
        <w:tc>
          <w:tcPr>
            <w:tcW w:w="6486" w:type="dxa"/>
          </w:tcPr>
          <w:p w14:paraId="4A8281C6" w14:textId="77777777" w:rsidR="00E86883" w:rsidRPr="00E86883" w:rsidRDefault="00793AAC" w:rsidP="00ED673D">
            <w:pPr>
              <w:spacing w:line="276" w:lineRule="auto"/>
              <w:jc w:val="both"/>
              <w:rPr>
                <w:rFonts w:ascii="Arial" w:hAnsi="Arial" w:cs="Arial"/>
                <w:sz w:val="22"/>
                <w:szCs w:val="22"/>
              </w:rPr>
            </w:pPr>
            <w:r w:rsidRPr="00E86883">
              <w:rPr>
                <w:rFonts w:ascii="Arial" w:hAnsi="Arial" w:cs="Arial"/>
                <w:sz w:val="22"/>
                <w:szCs w:val="22"/>
              </w:rPr>
              <w:t>Do roku 2013</w:t>
            </w:r>
            <w:r>
              <w:rPr>
                <w:rFonts w:ascii="Arial" w:hAnsi="Arial" w:cs="Arial"/>
                <w:sz w:val="22"/>
                <w:szCs w:val="22"/>
              </w:rPr>
              <w:t xml:space="preserve"> (pouze průměr)</w:t>
            </w:r>
            <w:r w:rsidRPr="00E86883">
              <w:rPr>
                <w:rFonts w:ascii="Arial" w:hAnsi="Arial" w:cs="Arial"/>
                <w:sz w:val="22"/>
                <w:szCs w:val="22"/>
              </w:rPr>
              <w:t>, od roku 2016</w:t>
            </w:r>
            <w:r>
              <w:rPr>
                <w:rFonts w:ascii="Arial" w:hAnsi="Arial" w:cs="Arial"/>
                <w:sz w:val="22"/>
                <w:szCs w:val="22"/>
              </w:rPr>
              <w:t xml:space="preserve"> (lze i medián)</w:t>
            </w:r>
          </w:p>
        </w:tc>
      </w:tr>
      <w:tr w:rsidR="00E86883" w:rsidRPr="00E86883" w14:paraId="17865243" w14:textId="77777777" w:rsidTr="008D14FE">
        <w:tc>
          <w:tcPr>
            <w:tcW w:w="2802" w:type="dxa"/>
          </w:tcPr>
          <w:p w14:paraId="621A70B8"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Frekvence výstupu: </w:t>
            </w:r>
          </w:p>
        </w:tc>
        <w:tc>
          <w:tcPr>
            <w:tcW w:w="6486" w:type="dxa"/>
          </w:tcPr>
          <w:p w14:paraId="2B63321D" w14:textId="77777777" w:rsidR="00E86883" w:rsidRPr="00E86883" w:rsidRDefault="00E86883" w:rsidP="00ED673D">
            <w:pPr>
              <w:spacing w:line="276" w:lineRule="auto"/>
              <w:jc w:val="both"/>
              <w:rPr>
                <w:rFonts w:ascii="Arial" w:hAnsi="Arial" w:cs="Arial"/>
                <w:sz w:val="22"/>
                <w:szCs w:val="22"/>
              </w:rPr>
            </w:pPr>
            <w:r w:rsidRPr="00E86883">
              <w:rPr>
                <w:rFonts w:ascii="Arial" w:hAnsi="Arial" w:cs="Arial"/>
                <w:sz w:val="22"/>
                <w:szCs w:val="22"/>
              </w:rPr>
              <w:t>Ročně</w:t>
            </w:r>
          </w:p>
        </w:tc>
      </w:tr>
      <w:tr w:rsidR="00E86883" w:rsidRPr="00E86883" w14:paraId="29D9BE1A" w14:textId="77777777" w:rsidTr="008D14FE">
        <w:trPr>
          <w:trHeight w:val="70"/>
        </w:trPr>
        <w:tc>
          <w:tcPr>
            <w:tcW w:w="2802" w:type="dxa"/>
          </w:tcPr>
          <w:p w14:paraId="170E9202"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Členění indikátoru: </w:t>
            </w:r>
          </w:p>
        </w:tc>
        <w:tc>
          <w:tcPr>
            <w:tcW w:w="6486" w:type="dxa"/>
          </w:tcPr>
          <w:p w14:paraId="25041D03" w14:textId="77777777" w:rsidR="00E86883" w:rsidRPr="00E86883" w:rsidRDefault="00E86883" w:rsidP="00ED673D">
            <w:pPr>
              <w:spacing w:line="276" w:lineRule="auto"/>
              <w:jc w:val="both"/>
              <w:rPr>
                <w:rFonts w:ascii="Arial" w:hAnsi="Arial" w:cs="Arial"/>
                <w:sz w:val="22"/>
                <w:szCs w:val="22"/>
              </w:rPr>
            </w:pPr>
            <w:r w:rsidRPr="00E86883">
              <w:rPr>
                <w:rFonts w:ascii="Arial" w:hAnsi="Arial" w:cs="Arial"/>
                <w:sz w:val="22"/>
                <w:szCs w:val="22"/>
              </w:rPr>
              <w:t>Plat</w:t>
            </w:r>
            <w:r w:rsidR="007B7911">
              <w:rPr>
                <w:rFonts w:ascii="Arial" w:hAnsi="Arial" w:cs="Arial"/>
                <w:sz w:val="22"/>
                <w:szCs w:val="22"/>
              </w:rPr>
              <w:t xml:space="preserve"> /</w:t>
            </w:r>
            <w:r w:rsidRPr="00E86883">
              <w:rPr>
                <w:rFonts w:ascii="Arial" w:hAnsi="Arial" w:cs="Arial"/>
                <w:sz w:val="22"/>
                <w:szCs w:val="22"/>
              </w:rPr>
              <w:t xml:space="preserve"> mzda, specializace, druh poskytovatele</w:t>
            </w:r>
          </w:p>
        </w:tc>
      </w:tr>
      <w:tr w:rsidR="00E86883" w:rsidRPr="00E86883" w14:paraId="38EEB8C5" w14:textId="77777777" w:rsidTr="008D14FE">
        <w:trPr>
          <w:trHeight w:val="70"/>
        </w:trPr>
        <w:tc>
          <w:tcPr>
            <w:tcW w:w="2802" w:type="dxa"/>
          </w:tcPr>
          <w:p w14:paraId="215EC643"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Mezinárodní srovnání:</w:t>
            </w:r>
          </w:p>
        </w:tc>
        <w:tc>
          <w:tcPr>
            <w:tcW w:w="6486" w:type="dxa"/>
          </w:tcPr>
          <w:p w14:paraId="4BE8B182" w14:textId="77777777" w:rsidR="00E86883" w:rsidRPr="00E86883" w:rsidRDefault="00E86883" w:rsidP="00ED673D">
            <w:pPr>
              <w:spacing w:line="276" w:lineRule="auto"/>
              <w:jc w:val="both"/>
              <w:rPr>
                <w:rFonts w:ascii="Arial" w:hAnsi="Arial" w:cs="Arial"/>
                <w:sz w:val="22"/>
                <w:szCs w:val="22"/>
              </w:rPr>
            </w:pPr>
            <w:r w:rsidRPr="00E86883">
              <w:rPr>
                <w:rFonts w:ascii="Arial" w:hAnsi="Arial" w:cs="Arial"/>
                <w:sz w:val="22"/>
                <w:szCs w:val="22"/>
              </w:rPr>
              <w:t>OECD</w:t>
            </w:r>
          </w:p>
        </w:tc>
      </w:tr>
    </w:tbl>
    <w:p w14:paraId="393330AA" w14:textId="77777777" w:rsidR="00E86883" w:rsidRPr="00E86883" w:rsidRDefault="00E86883" w:rsidP="00C51B65">
      <w:pPr>
        <w:spacing w:line="276" w:lineRule="auto"/>
        <w:jc w:val="both"/>
        <w:rPr>
          <w:rFonts w:ascii="Arial" w:hAnsi="Arial" w:cs="Arial"/>
          <w:sz w:val="22"/>
          <w:szCs w:val="22"/>
        </w:rPr>
      </w:pPr>
    </w:p>
    <w:tbl>
      <w:tblPr>
        <w:tblStyle w:val="Mkatabulky"/>
        <w:tblW w:w="0" w:type="auto"/>
        <w:tblLook w:val="04A0" w:firstRow="1" w:lastRow="0" w:firstColumn="1" w:lastColumn="0" w:noHBand="0" w:noVBand="1"/>
      </w:tblPr>
      <w:tblGrid>
        <w:gridCol w:w="2802"/>
        <w:gridCol w:w="6486"/>
      </w:tblGrid>
      <w:tr w:rsidR="00E86883" w:rsidRPr="00E86883" w14:paraId="595A5E75" w14:textId="77777777" w:rsidTr="008D14FE">
        <w:tc>
          <w:tcPr>
            <w:tcW w:w="2802" w:type="dxa"/>
          </w:tcPr>
          <w:p w14:paraId="7BDEAE17"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Název a označení </w:t>
            </w:r>
            <w:r w:rsidRPr="00E86883">
              <w:rPr>
                <w:rFonts w:ascii="Arial" w:hAnsi="Arial" w:cs="Arial"/>
                <w:sz w:val="22"/>
                <w:szCs w:val="22"/>
              </w:rPr>
              <w:lastRenderedPageBreak/>
              <w:t xml:space="preserve">indikátoru: </w:t>
            </w:r>
          </w:p>
        </w:tc>
        <w:tc>
          <w:tcPr>
            <w:tcW w:w="6486" w:type="dxa"/>
          </w:tcPr>
          <w:p w14:paraId="28C99B5F" w14:textId="77777777" w:rsidR="00E86883" w:rsidRPr="00E86883" w:rsidRDefault="00E86883" w:rsidP="00C51B65">
            <w:pPr>
              <w:spacing w:line="276" w:lineRule="auto"/>
              <w:contextualSpacing/>
              <w:rPr>
                <w:rFonts w:ascii="Arial" w:hAnsi="Arial" w:cs="Arial"/>
                <w:b/>
                <w:sz w:val="22"/>
                <w:szCs w:val="22"/>
              </w:rPr>
            </w:pPr>
            <w:r w:rsidRPr="00E86883">
              <w:rPr>
                <w:rFonts w:ascii="Arial" w:hAnsi="Arial" w:cs="Arial"/>
                <w:b/>
                <w:sz w:val="22"/>
                <w:szCs w:val="22"/>
              </w:rPr>
              <w:lastRenderedPageBreak/>
              <w:t>5.3.3 Počet lékařů</w:t>
            </w:r>
            <w:r w:rsidR="00793AAC">
              <w:rPr>
                <w:rFonts w:ascii="Arial" w:hAnsi="Arial" w:cs="Arial"/>
                <w:b/>
                <w:sz w:val="22"/>
                <w:szCs w:val="22"/>
              </w:rPr>
              <w:t xml:space="preserve"> a </w:t>
            </w:r>
            <w:proofErr w:type="spellStart"/>
            <w:r w:rsidR="00793AAC">
              <w:rPr>
                <w:rFonts w:ascii="Arial" w:hAnsi="Arial" w:cs="Arial"/>
                <w:b/>
                <w:sz w:val="22"/>
                <w:szCs w:val="22"/>
              </w:rPr>
              <w:t>nelékařů</w:t>
            </w:r>
            <w:proofErr w:type="spellEnd"/>
            <w:r w:rsidRPr="00E86883">
              <w:rPr>
                <w:rFonts w:ascii="Arial" w:hAnsi="Arial" w:cs="Arial"/>
                <w:b/>
                <w:sz w:val="22"/>
                <w:szCs w:val="22"/>
              </w:rPr>
              <w:t xml:space="preserve"> na 1</w:t>
            </w:r>
            <w:r w:rsidR="0015417B">
              <w:rPr>
                <w:rFonts w:ascii="Arial" w:hAnsi="Arial" w:cs="Arial"/>
                <w:b/>
                <w:sz w:val="22"/>
                <w:szCs w:val="22"/>
              </w:rPr>
              <w:t xml:space="preserve"> </w:t>
            </w:r>
            <w:r w:rsidRPr="00E86883">
              <w:rPr>
                <w:rFonts w:ascii="Arial" w:hAnsi="Arial" w:cs="Arial"/>
                <w:b/>
                <w:sz w:val="22"/>
                <w:szCs w:val="22"/>
              </w:rPr>
              <w:t>000 obyvatel</w:t>
            </w:r>
          </w:p>
        </w:tc>
      </w:tr>
      <w:tr w:rsidR="00E86883" w:rsidRPr="00E86883" w14:paraId="45E0B3C7" w14:textId="77777777" w:rsidTr="008D14FE">
        <w:tc>
          <w:tcPr>
            <w:tcW w:w="2802" w:type="dxa"/>
          </w:tcPr>
          <w:p w14:paraId="7AE68B43"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lastRenderedPageBreak/>
              <w:t xml:space="preserve">Stručná definice: </w:t>
            </w:r>
          </w:p>
        </w:tc>
        <w:tc>
          <w:tcPr>
            <w:tcW w:w="6486" w:type="dxa"/>
          </w:tcPr>
          <w:p w14:paraId="79798498" w14:textId="77777777" w:rsidR="00E86883" w:rsidRPr="00E86883" w:rsidRDefault="00E86883" w:rsidP="00FB6CF6">
            <w:pPr>
              <w:spacing w:line="276" w:lineRule="auto"/>
              <w:jc w:val="both"/>
              <w:rPr>
                <w:rFonts w:ascii="Arial" w:hAnsi="Arial" w:cs="Arial"/>
                <w:sz w:val="22"/>
                <w:szCs w:val="22"/>
              </w:rPr>
            </w:pPr>
            <w:r w:rsidRPr="00E86883">
              <w:rPr>
                <w:rFonts w:ascii="Arial" w:hAnsi="Arial" w:cs="Arial"/>
                <w:sz w:val="22"/>
                <w:szCs w:val="22"/>
              </w:rPr>
              <w:t>Počet lékařů</w:t>
            </w:r>
            <w:r w:rsidR="00793AAC">
              <w:rPr>
                <w:rFonts w:ascii="Arial" w:hAnsi="Arial" w:cs="Arial"/>
                <w:sz w:val="22"/>
                <w:szCs w:val="22"/>
              </w:rPr>
              <w:t xml:space="preserve"> a </w:t>
            </w:r>
            <w:proofErr w:type="spellStart"/>
            <w:r w:rsidR="00793AAC">
              <w:rPr>
                <w:rFonts w:ascii="Arial" w:hAnsi="Arial" w:cs="Arial"/>
                <w:sz w:val="22"/>
                <w:szCs w:val="22"/>
              </w:rPr>
              <w:t>nelékařů</w:t>
            </w:r>
            <w:proofErr w:type="spellEnd"/>
            <w:r w:rsidRPr="00E86883">
              <w:rPr>
                <w:rFonts w:ascii="Arial" w:hAnsi="Arial" w:cs="Arial"/>
                <w:sz w:val="22"/>
                <w:szCs w:val="22"/>
              </w:rPr>
              <w:t xml:space="preserve"> (přepočet na plné úvazky) na 1000 obyvatel</w:t>
            </w:r>
          </w:p>
        </w:tc>
      </w:tr>
      <w:tr w:rsidR="00E86883" w:rsidRPr="00E86883" w14:paraId="6DDFB9EA" w14:textId="77777777" w:rsidTr="008D14FE">
        <w:tc>
          <w:tcPr>
            <w:tcW w:w="2802" w:type="dxa"/>
          </w:tcPr>
          <w:p w14:paraId="585DBD2C"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Jednotka:</w:t>
            </w:r>
          </w:p>
        </w:tc>
        <w:tc>
          <w:tcPr>
            <w:tcW w:w="6486" w:type="dxa"/>
          </w:tcPr>
          <w:p w14:paraId="1F2F1FB2" w14:textId="77777777" w:rsidR="00E86883" w:rsidRPr="00E86883" w:rsidRDefault="00793AAC" w:rsidP="00FB6CF6">
            <w:pPr>
              <w:spacing w:line="276" w:lineRule="auto"/>
              <w:jc w:val="both"/>
              <w:rPr>
                <w:rFonts w:ascii="Arial" w:hAnsi="Arial" w:cs="Arial"/>
                <w:sz w:val="22"/>
                <w:szCs w:val="22"/>
              </w:rPr>
            </w:pPr>
            <w:r>
              <w:rPr>
                <w:rFonts w:ascii="Arial" w:hAnsi="Arial" w:cs="Arial"/>
                <w:sz w:val="22"/>
                <w:szCs w:val="22"/>
              </w:rPr>
              <w:t>Počet plných úvazků</w:t>
            </w:r>
            <w:r w:rsidR="009038C4">
              <w:rPr>
                <w:rFonts w:ascii="Arial" w:hAnsi="Arial" w:cs="Arial"/>
                <w:sz w:val="22"/>
                <w:szCs w:val="22"/>
              </w:rPr>
              <w:t xml:space="preserve"> na 1000 osob</w:t>
            </w:r>
          </w:p>
        </w:tc>
      </w:tr>
      <w:tr w:rsidR="00E86883" w:rsidRPr="00E86883" w14:paraId="445088B0" w14:textId="77777777" w:rsidTr="008D14FE">
        <w:tc>
          <w:tcPr>
            <w:tcW w:w="2802" w:type="dxa"/>
          </w:tcPr>
          <w:p w14:paraId="3AEC4670"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Gestor: </w:t>
            </w:r>
          </w:p>
        </w:tc>
        <w:tc>
          <w:tcPr>
            <w:tcW w:w="6486" w:type="dxa"/>
          </w:tcPr>
          <w:p w14:paraId="1556F70E" w14:textId="77777777" w:rsidR="00E86883" w:rsidRPr="00E86883" w:rsidRDefault="00E86883" w:rsidP="00FB6CF6">
            <w:pPr>
              <w:spacing w:line="276" w:lineRule="auto"/>
              <w:jc w:val="both"/>
              <w:rPr>
                <w:rFonts w:ascii="Arial" w:hAnsi="Arial" w:cs="Arial"/>
                <w:sz w:val="22"/>
                <w:szCs w:val="22"/>
              </w:rPr>
            </w:pPr>
            <w:r w:rsidRPr="00E86883">
              <w:rPr>
                <w:rFonts w:ascii="Arial" w:hAnsi="Arial" w:cs="Arial"/>
                <w:sz w:val="22"/>
                <w:szCs w:val="22"/>
              </w:rPr>
              <w:t>Ústav zdravotnických informací a statistiky ČR</w:t>
            </w:r>
          </w:p>
        </w:tc>
      </w:tr>
      <w:tr w:rsidR="00E86883" w:rsidRPr="00E86883" w14:paraId="42D11474" w14:textId="77777777" w:rsidTr="008D14FE">
        <w:tc>
          <w:tcPr>
            <w:tcW w:w="2802" w:type="dxa"/>
          </w:tcPr>
          <w:p w14:paraId="60988F0B"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Význam indikátoru: </w:t>
            </w:r>
          </w:p>
        </w:tc>
        <w:tc>
          <w:tcPr>
            <w:tcW w:w="6486" w:type="dxa"/>
          </w:tcPr>
          <w:p w14:paraId="57B4814C" w14:textId="77777777" w:rsidR="00E86883" w:rsidRPr="00E86883" w:rsidRDefault="00E86883" w:rsidP="00FB6CF6">
            <w:pPr>
              <w:spacing w:line="276" w:lineRule="auto"/>
              <w:jc w:val="both"/>
              <w:rPr>
                <w:rFonts w:ascii="Arial" w:hAnsi="Arial" w:cs="Arial"/>
                <w:sz w:val="22"/>
                <w:szCs w:val="22"/>
              </w:rPr>
            </w:pPr>
            <w:r w:rsidRPr="00E86883">
              <w:rPr>
                <w:rFonts w:ascii="Arial" w:hAnsi="Arial" w:cs="Arial"/>
                <w:sz w:val="22"/>
                <w:szCs w:val="22"/>
              </w:rPr>
              <w:t>Ukazuje míru jednoho druhu kapacity zdravotnického systému.</w:t>
            </w:r>
          </w:p>
        </w:tc>
      </w:tr>
      <w:tr w:rsidR="00E86883" w:rsidRPr="00E86883" w14:paraId="29DC87A0" w14:textId="77777777" w:rsidTr="008D14FE">
        <w:tc>
          <w:tcPr>
            <w:tcW w:w="2802" w:type="dxa"/>
          </w:tcPr>
          <w:p w14:paraId="6A0A89CB"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Časová řada: </w:t>
            </w:r>
          </w:p>
        </w:tc>
        <w:tc>
          <w:tcPr>
            <w:tcW w:w="6486" w:type="dxa"/>
          </w:tcPr>
          <w:p w14:paraId="315520EA" w14:textId="77777777" w:rsidR="00E86883" w:rsidRPr="00E86883" w:rsidRDefault="009038C4" w:rsidP="00FB6CF6">
            <w:pPr>
              <w:spacing w:line="276" w:lineRule="auto"/>
              <w:jc w:val="both"/>
              <w:rPr>
                <w:rFonts w:ascii="Arial" w:hAnsi="Arial" w:cs="Arial"/>
                <w:sz w:val="22"/>
                <w:szCs w:val="22"/>
              </w:rPr>
            </w:pPr>
            <w:r>
              <w:rPr>
                <w:rFonts w:ascii="Arial" w:hAnsi="Arial" w:cs="Arial"/>
                <w:sz w:val="22"/>
                <w:szCs w:val="22"/>
              </w:rPr>
              <w:t>Ano</w:t>
            </w:r>
          </w:p>
        </w:tc>
      </w:tr>
      <w:tr w:rsidR="00E86883" w:rsidRPr="00E86883" w14:paraId="02FF0120" w14:textId="77777777" w:rsidTr="008D14FE">
        <w:tc>
          <w:tcPr>
            <w:tcW w:w="2802" w:type="dxa"/>
          </w:tcPr>
          <w:p w14:paraId="0C4BDE12"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Frekvence výstupu: </w:t>
            </w:r>
          </w:p>
        </w:tc>
        <w:tc>
          <w:tcPr>
            <w:tcW w:w="6486" w:type="dxa"/>
          </w:tcPr>
          <w:p w14:paraId="5592FCF4" w14:textId="77777777" w:rsidR="00E86883" w:rsidRPr="00E86883" w:rsidRDefault="00E86883" w:rsidP="00FB6CF6">
            <w:pPr>
              <w:spacing w:line="276" w:lineRule="auto"/>
              <w:jc w:val="both"/>
              <w:rPr>
                <w:rFonts w:ascii="Arial" w:hAnsi="Arial" w:cs="Arial"/>
                <w:sz w:val="22"/>
                <w:szCs w:val="22"/>
              </w:rPr>
            </w:pPr>
            <w:r w:rsidRPr="00E86883">
              <w:rPr>
                <w:rFonts w:ascii="Arial" w:hAnsi="Arial" w:cs="Arial"/>
                <w:sz w:val="22"/>
                <w:szCs w:val="22"/>
              </w:rPr>
              <w:t>Ročně</w:t>
            </w:r>
          </w:p>
        </w:tc>
      </w:tr>
      <w:tr w:rsidR="00E86883" w:rsidRPr="00E86883" w14:paraId="556DB7CA" w14:textId="77777777" w:rsidTr="008D14FE">
        <w:trPr>
          <w:trHeight w:val="70"/>
        </w:trPr>
        <w:tc>
          <w:tcPr>
            <w:tcW w:w="2802" w:type="dxa"/>
          </w:tcPr>
          <w:p w14:paraId="0BDACBFF"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Členění indikátoru: </w:t>
            </w:r>
          </w:p>
        </w:tc>
        <w:tc>
          <w:tcPr>
            <w:tcW w:w="6486" w:type="dxa"/>
          </w:tcPr>
          <w:p w14:paraId="63D09EEC" w14:textId="79E2609B" w:rsidR="00E86883" w:rsidRPr="00E86883" w:rsidRDefault="0099602A" w:rsidP="00FB6CF6">
            <w:pPr>
              <w:spacing w:line="276" w:lineRule="auto"/>
              <w:jc w:val="both"/>
              <w:rPr>
                <w:rFonts w:ascii="Arial" w:hAnsi="Arial" w:cs="Arial"/>
                <w:sz w:val="22"/>
                <w:szCs w:val="22"/>
              </w:rPr>
            </w:pPr>
            <w:r>
              <w:rPr>
                <w:rFonts w:ascii="Arial" w:hAnsi="Arial" w:cs="Arial"/>
                <w:sz w:val="22"/>
                <w:szCs w:val="22"/>
              </w:rPr>
              <w:t>Dle regionu, počty</w:t>
            </w:r>
            <w:r w:rsidR="00793AAC">
              <w:rPr>
                <w:rFonts w:ascii="Arial" w:hAnsi="Arial" w:cs="Arial"/>
                <w:sz w:val="22"/>
                <w:szCs w:val="22"/>
              </w:rPr>
              <w:t xml:space="preserve"> celkem a dle vybraných oborů </w:t>
            </w:r>
          </w:p>
        </w:tc>
      </w:tr>
      <w:tr w:rsidR="00E86883" w:rsidRPr="00E86883" w14:paraId="7126DCC7" w14:textId="77777777" w:rsidTr="00FB6CF6">
        <w:trPr>
          <w:trHeight w:val="78"/>
        </w:trPr>
        <w:tc>
          <w:tcPr>
            <w:tcW w:w="2802" w:type="dxa"/>
          </w:tcPr>
          <w:p w14:paraId="6D3098CC" w14:textId="77777777" w:rsidR="00E86883" w:rsidRPr="00E86883" w:rsidRDefault="00E86883" w:rsidP="009038C4">
            <w:pPr>
              <w:spacing w:line="276" w:lineRule="auto"/>
              <w:rPr>
                <w:rFonts w:ascii="Arial" w:hAnsi="Arial" w:cs="Arial"/>
                <w:sz w:val="22"/>
                <w:szCs w:val="22"/>
              </w:rPr>
            </w:pPr>
            <w:r w:rsidRPr="00E86883">
              <w:rPr>
                <w:rFonts w:ascii="Arial" w:hAnsi="Arial" w:cs="Arial"/>
                <w:sz w:val="22"/>
                <w:szCs w:val="22"/>
              </w:rPr>
              <w:t>Mezinárodní srovnání:</w:t>
            </w:r>
          </w:p>
        </w:tc>
        <w:tc>
          <w:tcPr>
            <w:tcW w:w="6486" w:type="dxa"/>
          </w:tcPr>
          <w:p w14:paraId="7C62B0D5" w14:textId="77777777" w:rsidR="00E86883" w:rsidRPr="00E86883" w:rsidRDefault="00E86883" w:rsidP="00FB6CF6">
            <w:pPr>
              <w:spacing w:line="276" w:lineRule="auto"/>
              <w:jc w:val="both"/>
              <w:rPr>
                <w:rFonts w:ascii="Arial" w:hAnsi="Arial" w:cs="Arial"/>
                <w:sz w:val="22"/>
                <w:szCs w:val="22"/>
              </w:rPr>
            </w:pPr>
            <w:r w:rsidRPr="00E86883">
              <w:rPr>
                <w:rFonts w:ascii="Arial" w:hAnsi="Arial" w:cs="Arial"/>
                <w:sz w:val="22"/>
                <w:szCs w:val="22"/>
              </w:rPr>
              <w:t>OECD</w:t>
            </w:r>
          </w:p>
        </w:tc>
      </w:tr>
    </w:tbl>
    <w:p w14:paraId="7AF0B2CE" w14:textId="77777777" w:rsidR="00E86883" w:rsidRDefault="00E86883" w:rsidP="009038C4">
      <w:pPr>
        <w:spacing w:line="276" w:lineRule="auto"/>
        <w:jc w:val="both"/>
        <w:rPr>
          <w:rFonts w:ascii="Arial" w:hAnsi="Arial" w:cs="Arial"/>
          <w:sz w:val="22"/>
          <w:szCs w:val="22"/>
        </w:rPr>
      </w:pPr>
    </w:p>
    <w:tbl>
      <w:tblPr>
        <w:tblStyle w:val="Mkatabulky"/>
        <w:tblW w:w="9322" w:type="dxa"/>
        <w:tblLook w:val="04A0" w:firstRow="1" w:lastRow="0" w:firstColumn="1" w:lastColumn="0" w:noHBand="0" w:noVBand="1"/>
      </w:tblPr>
      <w:tblGrid>
        <w:gridCol w:w="2752"/>
        <w:gridCol w:w="6570"/>
      </w:tblGrid>
      <w:tr w:rsidR="00477C4B" w:rsidRPr="00E86883" w14:paraId="482ABF37" w14:textId="77777777" w:rsidTr="00184BB6">
        <w:tc>
          <w:tcPr>
            <w:tcW w:w="2752" w:type="dxa"/>
          </w:tcPr>
          <w:p w14:paraId="6550ABA7" w14:textId="77777777" w:rsidR="00477C4B" w:rsidRPr="00184BB6" w:rsidRDefault="00477C4B" w:rsidP="00742523">
            <w:pPr>
              <w:spacing w:line="276" w:lineRule="auto"/>
              <w:rPr>
                <w:rFonts w:ascii="Arial" w:hAnsi="Arial" w:cs="Arial"/>
                <w:sz w:val="22"/>
              </w:rPr>
            </w:pPr>
            <w:r w:rsidRPr="00184BB6">
              <w:rPr>
                <w:rFonts w:ascii="Arial" w:hAnsi="Arial" w:cs="Arial"/>
                <w:sz w:val="22"/>
              </w:rPr>
              <w:t xml:space="preserve">Název a označení indikátoru: </w:t>
            </w:r>
          </w:p>
        </w:tc>
        <w:tc>
          <w:tcPr>
            <w:tcW w:w="6570" w:type="dxa"/>
          </w:tcPr>
          <w:p w14:paraId="62D6092C" w14:textId="3F02617B" w:rsidR="00477C4B" w:rsidRPr="00184BB6" w:rsidRDefault="00E77B90" w:rsidP="00742523">
            <w:pPr>
              <w:spacing w:line="276" w:lineRule="auto"/>
              <w:contextualSpacing/>
              <w:rPr>
                <w:rFonts w:ascii="Arial" w:hAnsi="Arial" w:cs="Arial"/>
                <w:b/>
                <w:sz w:val="22"/>
              </w:rPr>
            </w:pPr>
            <w:r w:rsidRPr="00184BB6">
              <w:rPr>
                <w:rFonts w:ascii="Arial" w:hAnsi="Arial" w:cs="Arial"/>
                <w:b/>
                <w:sz w:val="22"/>
              </w:rPr>
              <w:t>5.3.4</w:t>
            </w:r>
            <w:r w:rsidR="00477C4B" w:rsidRPr="00184BB6">
              <w:rPr>
                <w:rFonts w:ascii="Arial" w:hAnsi="Arial" w:cs="Arial"/>
                <w:b/>
                <w:sz w:val="22"/>
              </w:rPr>
              <w:t xml:space="preserve"> Neuspokojená potřeba lékařské péče v posledních 12 měsících podle důvodu</w:t>
            </w:r>
          </w:p>
        </w:tc>
      </w:tr>
      <w:tr w:rsidR="00477C4B" w:rsidRPr="00E86883" w14:paraId="2323BC6F" w14:textId="77777777" w:rsidTr="00184BB6">
        <w:tc>
          <w:tcPr>
            <w:tcW w:w="2752" w:type="dxa"/>
          </w:tcPr>
          <w:p w14:paraId="2AF67FD7" w14:textId="77777777" w:rsidR="00477C4B" w:rsidRPr="00184BB6" w:rsidRDefault="00477C4B" w:rsidP="00742523">
            <w:pPr>
              <w:spacing w:line="276" w:lineRule="auto"/>
              <w:rPr>
                <w:rFonts w:ascii="Arial" w:hAnsi="Arial" w:cs="Arial"/>
                <w:sz w:val="22"/>
              </w:rPr>
            </w:pPr>
            <w:r w:rsidRPr="00184BB6">
              <w:rPr>
                <w:rFonts w:ascii="Arial" w:hAnsi="Arial" w:cs="Arial"/>
                <w:sz w:val="22"/>
              </w:rPr>
              <w:t xml:space="preserve">Stručná definice: </w:t>
            </w:r>
          </w:p>
        </w:tc>
        <w:tc>
          <w:tcPr>
            <w:tcW w:w="6570" w:type="dxa"/>
          </w:tcPr>
          <w:p w14:paraId="4D93334C" w14:textId="77777777" w:rsidR="00477C4B" w:rsidRPr="00184BB6" w:rsidRDefault="00477C4B" w:rsidP="00FB6CF6">
            <w:pPr>
              <w:spacing w:line="276" w:lineRule="auto"/>
              <w:jc w:val="both"/>
              <w:rPr>
                <w:rFonts w:ascii="Arial" w:hAnsi="Arial" w:cs="Arial"/>
                <w:sz w:val="22"/>
              </w:rPr>
            </w:pPr>
            <w:r w:rsidRPr="00184BB6">
              <w:rPr>
                <w:rFonts w:ascii="Arial" w:hAnsi="Arial" w:cs="Arial"/>
                <w:sz w:val="22"/>
              </w:rPr>
              <w:t xml:space="preserve">Podíl osob ve věku 16 a více let, které uvedly, že potřebovaly v posledních 12 měsících navštívit lékaře, a přesto k němu nešli, z důvodu čekacích dob a dlouhých objednacích lhůt, z finančních důvodů, z důvodu dopravní nedostupnosti </w:t>
            </w:r>
          </w:p>
        </w:tc>
      </w:tr>
      <w:tr w:rsidR="00477C4B" w:rsidRPr="00E86883" w14:paraId="653D6426" w14:textId="77777777" w:rsidTr="00184BB6">
        <w:tc>
          <w:tcPr>
            <w:tcW w:w="2752" w:type="dxa"/>
          </w:tcPr>
          <w:p w14:paraId="2D00AF4A" w14:textId="77777777" w:rsidR="00477C4B" w:rsidRPr="00184BB6" w:rsidRDefault="00477C4B" w:rsidP="00742523">
            <w:pPr>
              <w:spacing w:line="276" w:lineRule="auto"/>
              <w:rPr>
                <w:rFonts w:ascii="Arial" w:hAnsi="Arial" w:cs="Arial"/>
                <w:sz w:val="22"/>
              </w:rPr>
            </w:pPr>
            <w:r w:rsidRPr="00184BB6">
              <w:rPr>
                <w:rFonts w:ascii="Arial" w:hAnsi="Arial" w:cs="Arial"/>
                <w:sz w:val="22"/>
              </w:rPr>
              <w:t>Jednotka:</w:t>
            </w:r>
          </w:p>
        </w:tc>
        <w:tc>
          <w:tcPr>
            <w:tcW w:w="6570" w:type="dxa"/>
          </w:tcPr>
          <w:p w14:paraId="0E516FDF" w14:textId="77777777" w:rsidR="00477C4B" w:rsidRPr="00184BB6" w:rsidRDefault="00477C4B" w:rsidP="00FB6CF6">
            <w:pPr>
              <w:spacing w:line="276" w:lineRule="auto"/>
              <w:jc w:val="both"/>
              <w:rPr>
                <w:rFonts w:ascii="Arial" w:hAnsi="Arial" w:cs="Arial"/>
                <w:sz w:val="22"/>
              </w:rPr>
            </w:pPr>
            <w:r w:rsidRPr="00184BB6">
              <w:rPr>
                <w:rFonts w:ascii="Arial" w:hAnsi="Arial" w:cs="Arial"/>
                <w:sz w:val="22"/>
              </w:rPr>
              <w:t>Podíl osob v %</w:t>
            </w:r>
          </w:p>
        </w:tc>
      </w:tr>
      <w:tr w:rsidR="00477C4B" w:rsidRPr="00E86883" w14:paraId="6C015706" w14:textId="77777777" w:rsidTr="00184BB6">
        <w:tc>
          <w:tcPr>
            <w:tcW w:w="2752" w:type="dxa"/>
          </w:tcPr>
          <w:p w14:paraId="7F37F119" w14:textId="77777777" w:rsidR="00477C4B" w:rsidRPr="00184BB6" w:rsidRDefault="00477C4B" w:rsidP="00742523">
            <w:pPr>
              <w:spacing w:line="276" w:lineRule="auto"/>
              <w:rPr>
                <w:rFonts w:ascii="Arial" w:hAnsi="Arial" w:cs="Arial"/>
                <w:sz w:val="22"/>
              </w:rPr>
            </w:pPr>
            <w:r w:rsidRPr="00184BB6">
              <w:rPr>
                <w:rFonts w:ascii="Arial" w:hAnsi="Arial" w:cs="Arial"/>
                <w:sz w:val="22"/>
              </w:rPr>
              <w:t xml:space="preserve">Gestor: </w:t>
            </w:r>
          </w:p>
        </w:tc>
        <w:tc>
          <w:tcPr>
            <w:tcW w:w="6570" w:type="dxa"/>
          </w:tcPr>
          <w:p w14:paraId="2029507C" w14:textId="3838A8E8" w:rsidR="00477C4B" w:rsidRPr="00184BB6" w:rsidRDefault="00477C4B" w:rsidP="00FB6CF6">
            <w:pPr>
              <w:spacing w:line="276" w:lineRule="auto"/>
              <w:jc w:val="both"/>
              <w:rPr>
                <w:rFonts w:ascii="Arial" w:hAnsi="Arial" w:cs="Arial"/>
                <w:sz w:val="22"/>
              </w:rPr>
            </w:pPr>
            <w:r w:rsidRPr="00184BB6">
              <w:rPr>
                <w:rFonts w:ascii="Arial" w:hAnsi="Arial" w:cs="Arial"/>
                <w:sz w:val="22"/>
              </w:rPr>
              <w:t>Ústav zdravotnických informací a statistiky ČR</w:t>
            </w:r>
          </w:p>
        </w:tc>
      </w:tr>
      <w:tr w:rsidR="00477C4B" w:rsidRPr="00E86883" w14:paraId="7BD86229" w14:textId="77777777" w:rsidTr="00184BB6">
        <w:tc>
          <w:tcPr>
            <w:tcW w:w="2752" w:type="dxa"/>
          </w:tcPr>
          <w:p w14:paraId="0A7460F1" w14:textId="77777777" w:rsidR="00477C4B" w:rsidRPr="00184BB6" w:rsidRDefault="00477C4B" w:rsidP="00742523">
            <w:pPr>
              <w:spacing w:line="276" w:lineRule="auto"/>
              <w:rPr>
                <w:rFonts w:ascii="Arial" w:hAnsi="Arial" w:cs="Arial"/>
                <w:sz w:val="22"/>
              </w:rPr>
            </w:pPr>
            <w:r w:rsidRPr="00184BB6">
              <w:rPr>
                <w:rFonts w:ascii="Arial" w:hAnsi="Arial" w:cs="Arial"/>
                <w:sz w:val="22"/>
              </w:rPr>
              <w:t xml:space="preserve">Význam indikátoru: </w:t>
            </w:r>
          </w:p>
        </w:tc>
        <w:tc>
          <w:tcPr>
            <w:tcW w:w="6570" w:type="dxa"/>
          </w:tcPr>
          <w:p w14:paraId="2DB7B646" w14:textId="77777777" w:rsidR="00477C4B" w:rsidRPr="00184BB6" w:rsidRDefault="00477C4B" w:rsidP="00FB6CF6">
            <w:pPr>
              <w:spacing w:line="276" w:lineRule="auto"/>
              <w:jc w:val="both"/>
              <w:rPr>
                <w:rFonts w:ascii="Arial" w:hAnsi="Arial" w:cs="Arial"/>
                <w:sz w:val="22"/>
              </w:rPr>
            </w:pPr>
            <w:r w:rsidRPr="00184BB6">
              <w:rPr>
                <w:rFonts w:ascii="Arial" w:hAnsi="Arial" w:cs="Arial"/>
                <w:sz w:val="22"/>
              </w:rPr>
              <w:t>Ukazuje všeobecnou dostupnost zdravotní péče</w:t>
            </w:r>
          </w:p>
        </w:tc>
      </w:tr>
      <w:tr w:rsidR="00477C4B" w:rsidRPr="00E86883" w14:paraId="77E36A1C" w14:textId="77777777" w:rsidTr="00184BB6">
        <w:tc>
          <w:tcPr>
            <w:tcW w:w="2752" w:type="dxa"/>
          </w:tcPr>
          <w:p w14:paraId="373AAAB8" w14:textId="77777777" w:rsidR="00477C4B" w:rsidRPr="00184BB6" w:rsidRDefault="00477C4B" w:rsidP="00742523">
            <w:pPr>
              <w:spacing w:line="276" w:lineRule="auto"/>
              <w:rPr>
                <w:rFonts w:ascii="Arial" w:hAnsi="Arial" w:cs="Arial"/>
                <w:sz w:val="22"/>
              </w:rPr>
            </w:pPr>
            <w:r w:rsidRPr="00184BB6">
              <w:rPr>
                <w:rFonts w:ascii="Arial" w:hAnsi="Arial" w:cs="Arial"/>
                <w:sz w:val="22"/>
              </w:rPr>
              <w:t xml:space="preserve">Časová řada: </w:t>
            </w:r>
          </w:p>
        </w:tc>
        <w:tc>
          <w:tcPr>
            <w:tcW w:w="6570" w:type="dxa"/>
          </w:tcPr>
          <w:p w14:paraId="60B41701" w14:textId="77777777" w:rsidR="00477C4B" w:rsidRPr="00184BB6" w:rsidRDefault="00477C4B" w:rsidP="00FB6CF6">
            <w:pPr>
              <w:spacing w:line="276" w:lineRule="auto"/>
              <w:jc w:val="both"/>
              <w:rPr>
                <w:rFonts w:ascii="Arial" w:hAnsi="Arial" w:cs="Arial"/>
                <w:sz w:val="22"/>
              </w:rPr>
            </w:pPr>
            <w:r w:rsidRPr="00184BB6">
              <w:rPr>
                <w:rFonts w:ascii="Arial" w:hAnsi="Arial" w:cs="Arial"/>
                <w:sz w:val="22"/>
              </w:rPr>
              <w:t>Od roku 2006</w:t>
            </w:r>
          </w:p>
        </w:tc>
      </w:tr>
      <w:tr w:rsidR="00477C4B" w:rsidRPr="00E86883" w14:paraId="790FDBD5" w14:textId="77777777" w:rsidTr="00184BB6">
        <w:tc>
          <w:tcPr>
            <w:tcW w:w="2752" w:type="dxa"/>
          </w:tcPr>
          <w:p w14:paraId="6A6AB1D3" w14:textId="77777777" w:rsidR="00477C4B" w:rsidRPr="00184BB6" w:rsidRDefault="00477C4B" w:rsidP="00742523">
            <w:pPr>
              <w:spacing w:line="276" w:lineRule="auto"/>
              <w:rPr>
                <w:rFonts w:ascii="Arial" w:hAnsi="Arial" w:cs="Arial"/>
                <w:sz w:val="22"/>
              </w:rPr>
            </w:pPr>
            <w:r w:rsidRPr="00184BB6">
              <w:rPr>
                <w:rFonts w:ascii="Arial" w:hAnsi="Arial" w:cs="Arial"/>
                <w:sz w:val="22"/>
              </w:rPr>
              <w:t xml:space="preserve">Frekvence výstupu: </w:t>
            </w:r>
          </w:p>
        </w:tc>
        <w:tc>
          <w:tcPr>
            <w:tcW w:w="6570" w:type="dxa"/>
          </w:tcPr>
          <w:p w14:paraId="1A34DD05" w14:textId="77777777" w:rsidR="00477C4B" w:rsidRPr="00184BB6" w:rsidRDefault="00477C4B" w:rsidP="00FB6CF6">
            <w:pPr>
              <w:spacing w:line="276" w:lineRule="auto"/>
              <w:jc w:val="both"/>
              <w:rPr>
                <w:rFonts w:ascii="Arial" w:hAnsi="Arial" w:cs="Arial"/>
                <w:sz w:val="22"/>
              </w:rPr>
            </w:pPr>
            <w:r w:rsidRPr="00184BB6">
              <w:rPr>
                <w:rFonts w:ascii="Arial" w:hAnsi="Arial" w:cs="Arial"/>
                <w:sz w:val="22"/>
              </w:rPr>
              <w:t>Ročně</w:t>
            </w:r>
          </w:p>
        </w:tc>
      </w:tr>
      <w:tr w:rsidR="00477C4B" w:rsidRPr="00E86883" w14:paraId="20EA4661" w14:textId="77777777" w:rsidTr="00184BB6">
        <w:trPr>
          <w:trHeight w:val="70"/>
        </w:trPr>
        <w:tc>
          <w:tcPr>
            <w:tcW w:w="2752" w:type="dxa"/>
          </w:tcPr>
          <w:p w14:paraId="70718478" w14:textId="77777777" w:rsidR="00477C4B" w:rsidRPr="00184BB6" w:rsidRDefault="00477C4B" w:rsidP="00742523">
            <w:pPr>
              <w:spacing w:line="276" w:lineRule="auto"/>
              <w:rPr>
                <w:rFonts w:ascii="Arial" w:hAnsi="Arial" w:cs="Arial"/>
                <w:sz w:val="22"/>
              </w:rPr>
            </w:pPr>
            <w:r w:rsidRPr="00184BB6">
              <w:rPr>
                <w:rFonts w:ascii="Arial" w:hAnsi="Arial" w:cs="Arial"/>
                <w:sz w:val="22"/>
              </w:rPr>
              <w:t xml:space="preserve">Členění indikátoru: </w:t>
            </w:r>
          </w:p>
        </w:tc>
        <w:tc>
          <w:tcPr>
            <w:tcW w:w="6570" w:type="dxa"/>
          </w:tcPr>
          <w:p w14:paraId="4DF3E6CE" w14:textId="77777777" w:rsidR="00477C4B" w:rsidRPr="00184BB6" w:rsidRDefault="00477C4B" w:rsidP="00FB6CF6">
            <w:pPr>
              <w:spacing w:line="276" w:lineRule="auto"/>
              <w:jc w:val="both"/>
              <w:rPr>
                <w:rFonts w:ascii="Arial" w:hAnsi="Arial" w:cs="Arial"/>
                <w:sz w:val="22"/>
              </w:rPr>
            </w:pPr>
            <w:r w:rsidRPr="00184BB6">
              <w:rPr>
                <w:rFonts w:ascii="Arial" w:hAnsi="Arial" w:cs="Arial"/>
                <w:sz w:val="22"/>
              </w:rPr>
              <w:t>Důvod neuspokojené potřeby péče (finance, čekací doby, doprava), region</w:t>
            </w:r>
          </w:p>
        </w:tc>
      </w:tr>
      <w:tr w:rsidR="00477C4B" w:rsidRPr="00E86883" w14:paraId="515D842B" w14:textId="77777777" w:rsidTr="00184BB6">
        <w:trPr>
          <w:trHeight w:val="70"/>
        </w:trPr>
        <w:tc>
          <w:tcPr>
            <w:tcW w:w="2752" w:type="dxa"/>
          </w:tcPr>
          <w:p w14:paraId="569AAD09" w14:textId="77777777" w:rsidR="00477C4B" w:rsidRPr="00184BB6" w:rsidRDefault="00477C4B" w:rsidP="00742523">
            <w:pPr>
              <w:spacing w:line="276" w:lineRule="auto"/>
              <w:rPr>
                <w:rFonts w:ascii="Arial" w:hAnsi="Arial" w:cs="Arial"/>
                <w:sz w:val="22"/>
              </w:rPr>
            </w:pPr>
            <w:r w:rsidRPr="00184BB6">
              <w:rPr>
                <w:rFonts w:ascii="Arial" w:hAnsi="Arial" w:cs="Arial"/>
                <w:sz w:val="22"/>
              </w:rPr>
              <w:t>Mezinárodní srovnání:</w:t>
            </w:r>
          </w:p>
        </w:tc>
        <w:tc>
          <w:tcPr>
            <w:tcW w:w="6570" w:type="dxa"/>
          </w:tcPr>
          <w:p w14:paraId="06ED1C26" w14:textId="77777777" w:rsidR="00477C4B" w:rsidRPr="00184BB6" w:rsidRDefault="00477C4B" w:rsidP="00FB6CF6">
            <w:pPr>
              <w:spacing w:line="276" w:lineRule="auto"/>
              <w:jc w:val="both"/>
              <w:rPr>
                <w:rFonts w:ascii="Arial" w:hAnsi="Arial" w:cs="Arial"/>
                <w:sz w:val="22"/>
              </w:rPr>
            </w:pPr>
            <w:proofErr w:type="spellStart"/>
            <w:r w:rsidRPr="00184BB6">
              <w:rPr>
                <w:rFonts w:ascii="Arial" w:hAnsi="Arial" w:cs="Arial"/>
                <w:sz w:val="22"/>
              </w:rPr>
              <w:t>Eurostat</w:t>
            </w:r>
            <w:proofErr w:type="spellEnd"/>
          </w:p>
        </w:tc>
      </w:tr>
    </w:tbl>
    <w:p w14:paraId="0900B6AC" w14:textId="77777777" w:rsidR="00477C4B" w:rsidRDefault="00477C4B" w:rsidP="009038C4">
      <w:pPr>
        <w:spacing w:line="276" w:lineRule="auto"/>
        <w:jc w:val="both"/>
        <w:rPr>
          <w:rFonts w:ascii="Arial" w:hAnsi="Arial" w:cs="Arial"/>
          <w:sz w:val="22"/>
          <w:szCs w:val="22"/>
        </w:rPr>
      </w:pPr>
    </w:p>
    <w:tbl>
      <w:tblPr>
        <w:tblStyle w:val="Mkatabulky"/>
        <w:tblW w:w="9322" w:type="dxa"/>
        <w:tblLook w:val="04A0" w:firstRow="1" w:lastRow="0" w:firstColumn="1" w:lastColumn="0" w:noHBand="0" w:noVBand="1"/>
      </w:tblPr>
      <w:tblGrid>
        <w:gridCol w:w="2752"/>
        <w:gridCol w:w="6570"/>
      </w:tblGrid>
      <w:tr w:rsidR="00477C4B" w:rsidRPr="00E86883" w14:paraId="324075C2" w14:textId="77777777" w:rsidTr="00184BB6">
        <w:tc>
          <w:tcPr>
            <w:tcW w:w="2752" w:type="dxa"/>
          </w:tcPr>
          <w:p w14:paraId="73B46CA5" w14:textId="77777777" w:rsidR="00477C4B" w:rsidRPr="00184BB6" w:rsidRDefault="00477C4B" w:rsidP="00742523">
            <w:pPr>
              <w:spacing w:line="276" w:lineRule="auto"/>
              <w:rPr>
                <w:rFonts w:ascii="Arial" w:hAnsi="Arial" w:cs="Arial"/>
                <w:sz w:val="22"/>
              </w:rPr>
            </w:pPr>
            <w:r w:rsidRPr="00184BB6">
              <w:rPr>
                <w:rFonts w:ascii="Arial" w:hAnsi="Arial" w:cs="Arial"/>
                <w:sz w:val="22"/>
              </w:rPr>
              <w:t xml:space="preserve">Název a označení indikátoru: </w:t>
            </w:r>
          </w:p>
        </w:tc>
        <w:tc>
          <w:tcPr>
            <w:tcW w:w="6570" w:type="dxa"/>
          </w:tcPr>
          <w:p w14:paraId="6BB8F94A" w14:textId="2AAEE241" w:rsidR="00477C4B" w:rsidRPr="00184BB6" w:rsidRDefault="00477C4B" w:rsidP="00742523">
            <w:pPr>
              <w:spacing w:line="276" w:lineRule="auto"/>
              <w:contextualSpacing/>
              <w:rPr>
                <w:rFonts w:ascii="Arial" w:hAnsi="Arial" w:cs="Arial"/>
                <w:b/>
                <w:sz w:val="22"/>
              </w:rPr>
            </w:pPr>
            <w:r w:rsidRPr="00477C4B">
              <w:rPr>
                <w:rFonts w:ascii="Arial" w:hAnsi="Arial" w:cs="Arial"/>
                <w:b/>
                <w:sz w:val="22"/>
              </w:rPr>
              <w:t>5.3.</w:t>
            </w:r>
            <w:r>
              <w:rPr>
                <w:rFonts w:ascii="Arial" w:hAnsi="Arial" w:cs="Arial"/>
                <w:b/>
                <w:sz w:val="22"/>
              </w:rPr>
              <w:t>5</w:t>
            </w:r>
            <w:r w:rsidRPr="00184BB6">
              <w:rPr>
                <w:rFonts w:ascii="Arial" w:hAnsi="Arial" w:cs="Arial"/>
                <w:b/>
                <w:sz w:val="22"/>
              </w:rPr>
              <w:t xml:space="preserve"> Přežití pacientů s nádorovými onemocněními</w:t>
            </w:r>
          </w:p>
        </w:tc>
      </w:tr>
      <w:tr w:rsidR="00477C4B" w:rsidRPr="00E86883" w14:paraId="5474357F" w14:textId="77777777" w:rsidTr="00184BB6">
        <w:tc>
          <w:tcPr>
            <w:tcW w:w="2752" w:type="dxa"/>
          </w:tcPr>
          <w:p w14:paraId="6DF26047" w14:textId="77777777" w:rsidR="00477C4B" w:rsidRPr="00184BB6" w:rsidRDefault="00477C4B" w:rsidP="00742523">
            <w:pPr>
              <w:spacing w:line="276" w:lineRule="auto"/>
              <w:rPr>
                <w:rFonts w:ascii="Arial" w:hAnsi="Arial" w:cs="Arial"/>
                <w:sz w:val="22"/>
              </w:rPr>
            </w:pPr>
            <w:r w:rsidRPr="00184BB6">
              <w:rPr>
                <w:rFonts w:ascii="Arial" w:hAnsi="Arial" w:cs="Arial"/>
                <w:sz w:val="22"/>
              </w:rPr>
              <w:t xml:space="preserve">Stručná definice: </w:t>
            </w:r>
          </w:p>
        </w:tc>
        <w:tc>
          <w:tcPr>
            <w:tcW w:w="6570" w:type="dxa"/>
          </w:tcPr>
          <w:p w14:paraId="0664649B" w14:textId="77777777" w:rsidR="00477C4B" w:rsidRPr="00184BB6" w:rsidRDefault="00477C4B" w:rsidP="00FB6CF6">
            <w:pPr>
              <w:spacing w:line="276" w:lineRule="auto"/>
              <w:jc w:val="both"/>
              <w:rPr>
                <w:rFonts w:ascii="Arial" w:hAnsi="Arial" w:cs="Arial"/>
                <w:sz w:val="22"/>
              </w:rPr>
            </w:pPr>
            <w:r w:rsidRPr="00184BB6">
              <w:rPr>
                <w:rFonts w:ascii="Arial" w:hAnsi="Arial" w:cs="Arial"/>
                <w:sz w:val="22"/>
              </w:rPr>
              <w:t xml:space="preserve">K hodnocení přežívání onkologických pacientů se využívá tzv. relativní přežití, které je definováno jako poměr celkového přežití a tzv. očekávaného přežití. Očekávané přežití vyjadřuje mortalitu v obecné populaci, která odpovídá sledované skupině pacientů věkem, pohlavím a rokem diagnózy. Cílem výpočtu relativního přežití je odfiltrování vlivu mortality spojené s jinými onemocněními, než jsou sledované malignity. Pro hodnocení se využívá tzv. analýza časové periody, zpravidla pětileté. </w:t>
            </w:r>
          </w:p>
        </w:tc>
      </w:tr>
      <w:tr w:rsidR="00477C4B" w:rsidRPr="00E86883" w14:paraId="579F2B45" w14:textId="77777777" w:rsidTr="00184BB6">
        <w:tc>
          <w:tcPr>
            <w:tcW w:w="2752" w:type="dxa"/>
          </w:tcPr>
          <w:p w14:paraId="093522E8" w14:textId="77777777" w:rsidR="00477C4B" w:rsidRPr="00184BB6" w:rsidRDefault="00477C4B" w:rsidP="00742523">
            <w:pPr>
              <w:spacing w:line="276" w:lineRule="auto"/>
              <w:rPr>
                <w:rFonts w:ascii="Arial" w:hAnsi="Arial" w:cs="Arial"/>
                <w:sz w:val="22"/>
              </w:rPr>
            </w:pPr>
            <w:r w:rsidRPr="00184BB6">
              <w:rPr>
                <w:rFonts w:ascii="Arial" w:hAnsi="Arial" w:cs="Arial"/>
                <w:sz w:val="22"/>
              </w:rPr>
              <w:t>Jednotka:</w:t>
            </w:r>
          </w:p>
        </w:tc>
        <w:tc>
          <w:tcPr>
            <w:tcW w:w="6570" w:type="dxa"/>
          </w:tcPr>
          <w:p w14:paraId="5688C29F" w14:textId="77777777" w:rsidR="00477C4B" w:rsidRPr="00184BB6" w:rsidRDefault="00477C4B" w:rsidP="00FB6CF6">
            <w:pPr>
              <w:spacing w:line="276" w:lineRule="auto"/>
              <w:jc w:val="both"/>
              <w:rPr>
                <w:rFonts w:ascii="Arial" w:hAnsi="Arial" w:cs="Arial"/>
                <w:sz w:val="22"/>
              </w:rPr>
            </w:pPr>
            <w:r w:rsidRPr="00184BB6">
              <w:rPr>
                <w:rFonts w:ascii="Arial" w:hAnsi="Arial" w:cs="Arial"/>
                <w:sz w:val="22"/>
              </w:rPr>
              <w:t>Pětileté relativní přežití, uvádí se v %</w:t>
            </w:r>
          </w:p>
        </w:tc>
      </w:tr>
      <w:tr w:rsidR="00477C4B" w:rsidRPr="00E86883" w14:paraId="60C2AB8B" w14:textId="77777777" w:rsidTr="00184BB6">
        <w:tc>
          <w:tcPr>
            <w:tcW w:w="2752" w:type="dxa"/>
          </w:tcPr>
          <w:p w14:paraId="104BEA49" w14:textId="77777777" w:rsidR="00477C4B" w:rsidRPr="00184BB6" w:rsidRDefault="00477C4B" w:rsidP="00742523">
            <w:pPr>
              <w:spacing w:line="276" w:lineRule="auto"/>
              <w:rPr>
                <w:rFonts w:ascii="Arial" w:hAnsi="Arial" w:cs="Arial"/>
                <w:sz w:val="22"/>
              </w:rPr>
            </w:pPr>
            <w:r w:rsidRPr="00184BB6">
              <w:rPr>
                <w:rFonts w:ascii="Arial" w:hAnsi="Arial" w:cs="Arial"/>
                <w:sz w:val="22"/>
              </w:rPr>
              <w:t xml:space="preserve">Gestor: </w:t>
            </w:r>
          </w:p>
        </w:tc>
        <w:tc>
          <w:tcPr>
            <w:tcW w:w="6570" w:type="dxa"/>
          </w:tcPr>
          <w:p w14:paraId="4B679B6E" w14:textId="77777777" w:rsidR="00477C4B" w:rsidRPr="00184BB6" w:rsidRDefault="00477C4B" w:rsidP="00FB6CF6">
            <w:pPr>
              <w:spacing w:line="276" w:lineRule="auto"/>
              <w:jc w:val="both"/>
              <w:rPr>
                <w:rFonts w:ascii="Arial" w:hAnsi="Arial" w:cs="Arial"/>
                <w:sz w:val="22"/>
              </w:rPr>
            </w:pPr>
            <w:r w:rsidRPr="00184BB6">
              <w:rPr>
                <w:rFonts w:ascii="Arial" w:hAnsi="Arial" w:cs="Arial"/>
                <w:sz w:val="22"/>
              </w:rPr>
              <w:t>Ústav zdravotnických informací a statistiky ČR</w:t>
            </w:r>
          </w:p>
        </w:tc>
      </w:tr>
      <w:tr w:rsidR="00477C4B" w:rsidRPr="00E86883" w14:paraId="6485CDDA" w14:textId="77777777" w:rsidTr="00184BB6">
        <w:tc>
          <w:tcPr>
            <w:tcW w:w="2752" w:type="dxa"/>
          </w:tcPr>
          <w:p w14:paraId="273BD282" w14:textId="77777777" w:rsidR="00477C4B" w:rsidRPr="00184BB6" w:rsidRDefault="00477C4B" w:rsidP="00742523">
            <w:pPr>
              <w:spacing w:line="276" w:lineRule="auto"/>
              <w:rPr>
                <w:rFonts w:ascii="Arial" w:hAnsi="Arial" w:cs="Arial"/>
                <w:sz w:val="22"/>
              </w:rPr>
            </w:pPr>
            <w:r w:rsidRPr="00184BB6">
              <w:rPr>
                <w:rFonts w:ascii="Arial" w:hAnsi="Arial" w:cs="Arial"/>
                <w:sz w:val="22"/>
              </w:rPr>
              <w:t xml:space="preserve">Význam indikátoru: </w:t>
            </w:r>
          </w:p>
        </w:tc>
        <w:tc>
          <w:tcPr>
            <w:tcW w:w="6570" w:type="dxa"/>
          </w:tcPr>
          <w:p w14:paraId="3D0784FE" w14:textId="77777777" w:rsidR="00477C4B" w:rsidRPr="00184BB6" w:rsidRDefault="00477C4B" w:rsidP="00FB6CF6">
            <w:pPr>
              <w:spacing w:line="276" w:lineRule="auto"/>
              <w:jc w:val="both"/>
              <w:rPr>
                <w:rFonts w:ascii="Arial" w:hAnsi="Arial" w:cs="Arial"/>
                <w:sz w:val="22"/>
              </w:rPr>
            </w:pPr>
            <w:r w:rsidRPr="00184BB6">
              <w:rPr>
                <w:rFonts w:ascii="Arial" w:hAnsi="Arial" w:cs="Arial"/>
                <w:sz w:val="22"/>
              </w:rPr>
              <w:t>Úspěšnost komplexní onkologické péče, včetně úspěšnosti programů časného záchytu, dostupnosti a kvality protinádorové léčby</w:t>
            </w:r>
          </w:p>
        </w:tc>
      </w:tr>
      <w:tr w:rsidR="00477C4B" w:rsidRPr="00E86883" w14:paraId="04883E2C" w14:textId="77777777" w:rsidTr="00184BB6">
        <w:tc>
          <w:tcPr>
            <w:tcW w:w="2752" w:type="dxa"/>
          </w:tcPr>
          <w:p w14:paraId="7C370C44" w14:textId="77777777" w:rsidR="00477C4B" w:rsidRPr="00184BB6" w:rsidRDefault="00477C4B" w:rsidP="00742523">
            <w:pPr>
              <w:spacing w:line="276" w:lineRule="auto"/>
              <w:rPr>
                <w:rFonts w:ascii="Arial" w:hAnsi="Arial" w:cs="Arial"/>
                <w:sz w:val="22"/>
              </w:rPr>
            </w:pPr>
            <w:r w:rsidRPr="00184BB6">
              <w:rPr>
                <w:rFonts w:ascii="Arial" w:hAnsi="Arial" w:cs="Arial"/>
                <w:sz w:val="22"/>
              </w:rPr>
              <w:t xml:space="preserve">Časová řada: </w:t>
            </w:r>
          </w:p>
        </w:tc>
        <w:tc>
          <w:tcPr>
            <w:tcW w:w="6570" w:type="dxa"/>
          </w:tcPr>
          <w:p w14:paraId="66DE985E" w14:textId="77777777" w:rsidR="00477C4B" w:rsidRPr="00184BB6" w:rsidRDefault="00477C4B" w:rsidP="00FB6CF6">
            <w:pPr>
              <w:spacing w:line="276" w:lineRule="auto"/>
              <w:jc w:val="both"/>
              <w:rPr>
                <w:rFonts w:ascii="Arial" w:hAnsi="Arial" w:cs="Arial"/>
                <w:sz w:val="22"/>
              </w:rPr>
            </w:pPr>
            <w:r w:rsidRPr="00184BB6">
              <w:rPr>
                <w:rFonts w:ascii="Arial" w:hAnsi="Arial" w:cs="Arial"/>
                <w:sz w:val="22"/>
              </w:rPr>
              <w:t>Od periody 2000-2004</w:t>
            </w:r>
          </w:p>
        </w:tc>
      </w:tr>
      <w:tr w:rsidR="00477C4B" w:rsidRPr="00E86883" w14:paraId="6DD767A2" w14:textId="77777777" w:rsidTr="00184BB6">
        <w:tc>
          <w:tcPr>
            <w:tcW w:w="2752" w:type="dxa"/>
          </w:tcPr>
          <w:p w14:paraId="79C5C04C" w14:textId="77777777" w:rsidR="00477C4B" w:rsidRPr="00184BB6" w:rsidRDefault="00477C4B" w:rsidP="00742523">
            <w:pPr>
              <w:spacing w:line="276" w:lineRule="auto"/>
              <w:rPr>
                <w:rFonts w:ascii="Arial" w:hAnsi="Arial" w:cs="Arial"/>
                <w:sz w:val="22"/>
              </w:rPr>
            </w:pPr>
            <w:r w:rsidRPr="00184BB6">
              <w:rPr>
                <w:rFonts w:ascii="Arial" w:hAnsi="Arial" w:cs="Arial"/>
                <w:sz w:val="22"/>
              </w:rPr>
              <w:t xml:space="preserve">Frekvence výstupu: </w:t>
            </w:r>
          </w:p>
        </w:tc>
        <w:tc>
          <w:tcPr>
            <w:tcW w:w="6570" w:type="dxa"/>
          </w:tcPr>
          <w:p w14:paraId="326F2B28" w14:textId="77777777" w:rsidR="00477C4B" w:rsidRPr="00184BB6" w:rsidRDefault="00477C4B" w:rsidP="00FB6CF6">
            <w:pPr>
              <w:spacing w:line="276" w:lineRule="auto"/>
              <w:jc w:val="both"/>
              <w:rPr>
                <w:rFonts w:ascii="Arial" w:hAnsi="Arial" w:cs="Arial"/>
                <w:sz w:val="22"/>
              </w:rPr>
            </w:pPr>
            <w:r w:rsidRPr="00184BB6">
              <w:rPr>
                <w:rFonts w:ascii="Arial" w:hAnsi="Arial" w:cs="Arial"/>
                <w:sz w:val="22"/>
              </w:rPr>
              <w:t>Ročně</w:t>
            </w:r>
          </w:p>
        </w:tc>
      </w:tr>
      <w:tr w:rsidR="00477C4B" w:rsidRPr="00E86883" w14:paraId="7357FDF2" w14:textId="77777777" w:rsidTr="00184BB6">
        <w:trPr>
          <w:trHeight w:val="70"/>
        </w:trPr>
        <w:tc>
          <w:tcPr>
            <w:tcW w:w="2752" w:type="dxa"/>
          </w:tcPr>
          <w:p w14:paraId="7BAFA457" w14:textId="77777777" w:rsidR="00477C4B" w:rsidRPr="00184BB6" w:rsidRDefault="00477C4B" w:rsidP="00742523">
            <w:pPr>
              <w:spacing w:line="276" w:lineRule="auto"/>
              <w:rPr>
                <w:rFonts w:ascii="Arial" w:hAnsi="Arial" w:cs="Arial"/>
                <w:sz w:val="22"/>
              </w:rPr>
            </w:pPr>
            <w:r w:rsidRPr="00184BB6">
              <w:rPr>
                <w:rFonts w:ascii="Arial" w:hAnsi="Arial" w:cs="Arial"/>
                <w:sz w:val="22"/>
              </w:rPr>
              <w:t xml:space="preserve">Členění indikátoru: </w:t>
            </w:r>
          </w:p>
        </w:tc>
        <w:tc>
          <w:tcPr>
            <w:tcW w:w="6570" w:type="dxa"/>
          </w:tcPr>
          <w:p w14:paraId="1C408C6D" w14:textId="4B28FBB4" w:rsidR="00477C4B" w:rsidRPr="00184BB6" w:rsidRDefault="00EB2BE3" w:rsidP="00FB6CF6">
            <w:pPr>
              <w:spacing w:line="276" w:lineRule="auto"/>
              <w:jc w:val="both"/>
              <w:rPr>
                <w:rFonts w:ascii="Arial" w:hAnsi="Arial" w:cs="Arial"/>
                <w:sz w:val="22"/>
              </w:rPr>
            </w:pPr>
            <w:r>
              <w:rPr>
                <w:rFonts w:ascii="Arial" w:hAnsi="Arial" w:cs="Arial"/>
                <w:sz w:val="22"/>
              </w:rPr>
              <w:t>Dle konkrétní onkologické diagnózy, stadia</w:t>
            </w:r>
            <w:r w:rsidR="00477C4B" w:rsidRPr="00184BB6">
              <w:rPr>
                <w:rFonts w:ascii="Arial" w:hAnsi="Arial" w:cs="Arial"/>
                <w:sz w:val="22"/>
              </w:rPr>
              <w:t>, pacienti podstupující protinádorovou léčbu</w:t>
            </w:r>
          </w:p>
        </w:tc>
      </w:tr>
      <w:tr w:rsidR="00477C4B" w:rsidRPr="00E86883" w14:paraId="3B7C904A" w14:textId="77777777" w:rsidTr="00184BB6">
        <w:trPr>
          <w:trHeight w:val="70"/>
        </w:trPr>
        <w:tc>
          <w:tcPr>
            <w:tcW w:w="2752" w:type="dxa"/>
          </w:tcPr>
          <w:p w14:paraId="11B630A4" w14:textId="77777777" w:rsidR="00477C4B" w:rsidRPr="00184BB6" w:rsidRDefault="00477C4B" w:rsidP="00742523">
            <w:pPr>
              <w:spacing w:line="276" w:lineRule="auto"/>
              <w:rPr>
                <w:rFonts w:ascii="Arial" w:hAnsi="Arial" w:cs="Arial"/>
                <w:sz w:val="22"/>
              </w:rPr>
            </w:pPr>
            <w:r w:rsidRPr="00184BB6">
              <w:rPr>
                <w:rFonts w:ascii="Arial" w:hAnsi="Arial" w:cs="Arial"/>
                <w:sz w:val="22"/>
              </w:rPr>
              <w:lastRenderedPageBreak/>
              <w:t>Mezinárodní srovnání:</w:t>
            </w:r>
          </w:p>
        </w:tc>
        <w:tc>
          <w:tcPr>
            <w:tcW w:w="6570" w:type="dxa"/>
          </w:tcPr>
          <w:p w14:paraId="1574C37F" w14:textId="77777777" w:rsidR="00477C4B" w:rsidRPr="00184BB6" w:rsidRDefault="00477C4B" w:rsidP="00FB6CF6">
            <w:pPr>
              <w:spacing w:line="276" w:lineRule="auto"/>
              <w:jc w:val="both"/>
              <w:rPr>
                <w:rFonts w:ascii="Arial" w:hAnsi="Arial" w:cs="Arial"/>
                <w:sz w:val="22"/>
              </w:rPr>
            </w:pPr>
            <w:r w:rsidRPr="00184BB6">
              <w:rPr>
                <w:rFonts w:ascii="Arial" w:hAnsi="Arial" w:cs="Arial"/>
                <w:sz w:val="22"/>
              </w:rPr>
              <w:t xml:space="preserve">OECD, studie </w:t>
            </w:r>
            <w:proofErr w:type="spellStart"/>
            <w:r w:rsidRPr="00184BB6">
              <w:rPr>
                <w:rFonts w:ascii="Arial" w:hAnsi="Arial" w:cs="Arial"/>
                <w:sz w:val="22"/>
              </w:rPr>
              <w:t>Eurocare</w:t>
            </w:r>
            <w:proofErr w:type="spellEnd"/>
            <w:r w:rsidRPr="00184BB6">
              <w:rPr>
                <w:rFonts w:ascii="Arial" w:hAnsi="Arial" w:cs="Arial"/>
                <w:sz w:val="22"/>
              </w:rPr>
              <w:t>, program CONCORD</w:t>
            </w:r>
          </w:p>
        </w:tc>
      </w:tr>
    </w:tbl>
    <w:p w14:paraId="64C85010" w14:textId="77777777" w:rsidR="00477C4B" w:rsidRPr="00E86883" w:rsidRDefault="00477C4B" w:rsidP="009038C4">
      <w:pPr>
        <w:spacing w:line="276" w:lineRule="auto"/>
        <w:jc w:val="both"/>
        <w:rPr>
          <w:rFonts w:ascii="Arial" w:hAnsi="Arial" w:cs="Arial"/>
          <w:sz w:val="22"/>
          <w:szCs w:val="22"/>
        </w:rPr>
      </w:pPr>
    </w:p>
    <w:p w14:paraId="1DFC2683" w14:textId="77777777" w:rsidR="00E86883" w:rsidRDefault="000418A4" w:rsidP="00ED673D">
      <w:pPr>
        <w:pStyle w:val="r2030podcle"/>
        <w:numPr>
          <w:ilvl w:val="1"/>
          <w:numId w:val="17"/>
        </w:numPr>
        <w:ind w:left="567" w:hanging="425"/>
      </w:pPr>
      <w:r w:rsidRPr="00C9631C">
        <w:rPr>
          <w:rFonts w:eastAsiaTheme="minorHAnsi"/>
          <w:lang w:eastAsia="en-US"/>
        </w:rPr>
        <w:t xml:space="preserve">Zdravý životní styl je podporován prostřednictvím vyšších veřejných výdajů s důrazem na primární prevenci nemocí a podporu zdraví v průběhu celého života.  </w:t>
      </w:r>
    </w:p>
    <w:tbl>
      <w:tblPr>
        <w:tblStyle w:val="Mkatabulky"/>
        <w:tblW w:w="0" w:type="auto"/>
        <w:tblLook w:val="04A0" w:firstRow="1" w:lastRow="0" w:firstColumn="1" w:lastColumn="0" w:noHBand="0" w:noVBand="1"/>
      </w:tblPr>
      <w:tblGrid>
        <w:gridCol w:w="2802"/>
        <w:gridCol w:w="6486"/>
      </w:tblGrid>
      <w:tr w:rsidR="00E86883" w:rsidRPr="00E86883" w14:paraId="5A919691" w14:textId="77777777" w:rsidTr="008D14FE">
        <w:tc>
          <w:tcPr>
            <w:tcW w:w="2802" w:type="dxa"/>
          </w:tcPr>
          <w:p w14:paraId="6D5E284F"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Název a označení indikátoru: </w:t>
            </w:r>
          </w:p>
        </w:tc>
        <w:tc>
          <w:tcPr>
            <w:tcW w:w="6486" w:type="dxa"/>
          </w:tcPr>
          <w:p w14:paraId="503D4BCB" w14:textId="7AEB600B" w:rsidR="00E86883" w:rsidRPr="00E86883" w:rsidRDefault="00E86883" w:rsidP="00C51B65">
            <w:pPr>
              <w:spacing w:line="276" w:lineRule="auto"/>
              <w:contextualSpacing/>
              <w:rPr>
                <w:rFonts w:ascii="Arial" w:hAnsi="Arial" w:cs="Arial"/>
                <w:b/>
                <w:sz w:val="22"/>
                <w:szCs w:val="22"/>
              </w:rPr>
            </w:pPr>
            <w:r w:rsidRPr="00E86883">
              <w:rPr>
                <w:rFonts w:ascii="Arial" w:eastAsiaTheme="minorHAnsi" w:hAnsi="Arial" w:cs="Arial"/>
                <w:b/>
                <w:sz w:val="22"/>
                <w:szCs w:val="22"/>
                <w:lang w:eastAsia="en-US"/>
              </w:rPr>
              <w:t xml:space="preserve">5.4.1 Veřejné výdaje </w:t>
            </w:r>
            <w:r w:rsidR="00500BE5">
              <w:rPr>
                <w:rFonts w:ascii="Arial" w:eastAsiaTheme="minorHAnsi" w:hAnsi="Arial" w:cs="Arial"/>
                <w:b/>
                <w:sz w:val="22"/>
                <w:szCs w:val="22"/>
                <w:lang w:eastAsia="en-US"/>
              </w:rPr>
              <w:t xml:space="preserve">na </w:t>
            </w:r>
            <w:r w:rsidR="00B57EE3" w:rsidRPr="00321357">
              <w:rPr>
                <w:rFonts w:ascii="Arial" w:eastAsiaTheme="minorHAnsi" w:hAnsi="Arial" w:cs="Arial"/>
                <w:b/>
                <w:sz w:val="22"/>
                <w:szCs w:val="22"/>
                <w:lang w:eastAsia="en-US"/>
              </w:rPr>
              <w:t>prevenci nemocí (primární i sekundární) a podporu zdraví</w:t>
            </w:r>
            <w:r w:rsidR="00B57EE3" w:rsidRPr="00E86883" w:rsidDel="00B57EE3">
              <w:rPr>
                <w:rFonts w:ascii="Arial" w:eastAsiaTheme="minorHAnsi" w:hAnsi="Arial" w:cs="Arial"/>
                <w:b/>
                <w:sz w:val="22"/>
                <w:szCs w:val="22"/>
                <w:lang w:eastAsia="en-US"/>
              </w:rPr>
              <w:t xml:space="preserve"> </w:t>
            </w:r>
            <w:r w:rsidRPr="00E86883">
              <w:rPr>
                <w:rFonts w:ascii="Arial" w:eastAsiaTheme="minorHAnsi" w:hAnsi="Arial" w:cs="Arial"/>
                <w:b/>
                <w:sz w:val="22"/>
                <w:szCs w:val="22"/>
                <w:lang w:eastAsia="en-US"/>
              </w:rPr>
              <w:t>v absolutním vyjádření a jako podíl na veřejných výdajích na zdravotnictví celkem</w:t>
            </w:r>
          </w:p>
        </w:tc>
      </w:tr>
      <w:tr w:rsidR="00E86883" w:rsidRPr="00E86883" w14:paraId="31C73332" w14:textId="77777777" w:rsidTr="008D14FE">
        <w:tc>
          <w:tcPr>
            <w:tcW w:w="2802" w:type="dxa"/>
          </w:tcPr>
          <w:p w14:paraId="1E4A2121"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Stručná definice: </w:t>
            </w:r>
          </w:p>
        </w:tc>
        <w:tc>
          <w:tcPr>
            <w:tcW w:w="6486" w:type="dxa"/>
          </w:tcPr>
          <w:p w14:paraId="1CE5AA69" w14:textId="2570A6EA" w:rsidR="00E86883" w:rsidRPr="00A362A5" w:rsidRDefault="00691FB5" w:rsidP="00FB6CF6">
            <w:pPr>
              <w:spacing w:line="276" w:lineRule="auto"/>
              <w:jc w:val="both"/>
              <w:rPr>
                <w:rFonts w:ascii="Arial" w:hAnsi="Arial" w:cs="Arial"/>
                <w:sz w:val="22"/>
                <w:szCs w:val="22"/>
              </w:rPr>
            </w:pPr>
            <w:r w:rsidRPr="00C54BB7">
              <w:rPr>
                <w:rFonts w:ascii="Arial" w:hAnsi="Arial" w:cs="Arial"/>
                <w:sz w:val="22"/>
              </w:rPr>
              <w:t xml:space="preserve">Veřejné výdaje na prevenci zahrnují (zejména) výdaje na zvyšování zdravotní gramotnosti, osvětu, vzdělávání a poradenství, očkovací programy, sledování zdravotního stavu (primární prevence) a výdaje na </w:t>
            </w:r>
            <w:proofErr w:type="spellStart"/>
            <w:r w:rsidRPr="00C54BB7">
              <w:rPr>
                <w:rFonts w:ascii="Arial" w:hAnsi="Arial" w:cs="Arial"/>
                <w:sz w:val="22"/>
              </w:rPr>
              <w:t>screeningy</w:t>
            </w:r>
            <w:proofErr w:type="spellEnd"/>
            <w:r w:rsidRPr="00C54BB7">
              <w:rPr>
                <w:rFonts w:ascii="Arial" w:hAnsi="Arial" w:cs="Arial"/>
                <w:sz w:val="22"/>
              </w:rPr>
              <w:t>, diagnostické testy a lékařské prohlídky (sekundární prevence). Výdaje v</w:t>
            </w:r>
            <w:r w:rsidRPr="00C54BB7">
              <w:rPr>
                <w:rFonts w:ascii="Arial" w:eastAsiaTheme="minorHAnsi" w:hAnsi="Arial" w:cs="Arial"/>
                <w:sz w:val="22"/>
                <w:lang w:eastAsia="en-US"/>
              </w:rPr>
              <w:t> absolutním vyjádření a jako podíl na veřejných výdajích na zdravotnictví celkem.</w:t>
            </w:r>
          </w:p>
        </w:tc>
      </w:tr>
      <w:tr w:rsidR="00E86883" w:rsidRPr="00E86883" w14:paraId="0D24FFF8" w14:textId="77777777" w:rsidTr="008D14FE">
        <w:tc>
          <w:tcPr>
            <w:tcW w:w="2802" w:type="dxa"/>
          </w:tcPr>
          <w:p w14:paraId="4203CFB8"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Jednotka:</w:t>
            </w:r>
          </w:p>
        </w:tc>
        <w:tc>
          <w:tcPr>
            <w:tcW w:w="6486" w:type="dxa"/>
          </w:tcPr>
          <w:p w14:paraId="2744956B" w14:textId="77777777" w:rsidR="00E86883" w:rsidRPr="00A362A5" w:rsidRDefault="00E86883" w:rsidP="00FB6CF6">
            <w:pPr>
              <w:spacing w:line="276" w:lineRule="auto"/>
              <w:jc w:val="both"/>
              <w:rPr>
                <w:rFonts w:ascii="Arial" w:hAnsi="Arial" w:cs="Arial"/>
                <w:sz w:val="22"/>
                <w:szCs w:val="22"/>
              </w:rPr>
            </w:pPr>
            <w:r w:rsidRPr="00A362A5">
              <w:rPr>
                <w:rFonts w:ascii="Arial" w:hAnsi="Arial" w:cs="Arial"/>
                <w:sz w:val="22"/>
                <w:szCs w:val="22"/>
              </w:rPr>
              <w:t>Kč, podíl (v %)</w:t>
            </w:r>
          </w:p>
        </w:tc>
      </w:tr>
      <w:tr w:rsidR="00E86883" w:rsidRPr="00E86883" w14:paraId="74E6D403" w14:textId="77777777" w:rsidTr="008D14FE">
        <w:tc>
          <w:tcPr>
            <w:tcW w:w="2802" w:type="dxa"/>
          </w:tcPr>
          <w:p w14:paraId="5F7C7541"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Gestor: </w:t>
            </w:r>
          </w:p>
        </w:tc>
        <w:tc>
          <w:tcPr>
            <w:tcW w:w="6486" w:type="dxa"/>
          </w:tcPr>
          <w:p w14:paraId="44AB263D" w14:textId="77777777" w:rsidR="00E86883" w:rsidRPr="00A362A5" w:rsidRDefault="00E86883" w:rsidP="00FB6CF6">
            <w:pPr>
              <w:spacing w:line="276" w:lineRule="auto"/>
              <w:jc w:val="both"/>
              <w:rPr>
                <w:rFonts w:ascii="Arial" w:hAnsi="Arial" w:cs="Arial"/>
                <w:sz w:val="22"/>
                <w:szCs w:val="22"/>
              </w:rPr>
            </w:pPr>
            <w:r w:rsidRPr="00A362A5">
              <w:rPr>
                <w:rFonts w:ascii="Arial" w:hAnsi="Arial" w:cs="Arial"/>
                <w:sz w:val="22"/>
                <w:szCs w:val="22"/>
                <w:lang w:eastAsia="en-US"/>
              </w:rPr>
              <w:t>Český statistický úřad</w:t>
            </w:r>
            <w:r w:rsidRPr="00A362A5">
              <w:rPr>
                <w:rFonts w:ascii="Arial" w:hAnsi="Arial" w:cs="Arial"/>
                <w:sz w:val="22"/>
                <w:szCs w:val="22"/>
              </w:rPr>
              <w:t>, Ústav zdravotnických informací a statistiky ČR</w:t>
            </w:r>
          </w:p>
        </w:tc>
      </w:tr>
      <w:tr w:rsidR="00E86883" w:rsidRPr="00E86883" w14:paraId="72F79D2A" w14:textId="77777777" w:rsidTr="008D14FE">
        <w:tc>
          <w:tcPr>
            <w:tcW w:w="2802" w:type="dxa"/>
          </w:tcPr>
          <w:p w14:paraId="56607FD5"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Význam indikátoru: </w:t>
            </w:r>
          </w:p>
        </w:tc>
        <w:tc>
          <w:tcPr>
            <w:tcW w:w="6486" w:type="dxa"/>
          </w:tcPr>
          <w:p w14:paraId="4F14FB40" w14:textId="1BA6DDDD" w:rsidR="00E86883" w:rsidRPr="00A362A5" w:rsidRDefault="00691FB5" w:rsidP="00FB6CF6">
            <w:pPr>
              <w:spacing w:line="276" w:lineRule="auto"/>
              <w:jc w:val="both"/>
              <w:rPr>
                <w:rFonts w:ascii="Arial" w:hAnsi="Arial" w:cs="Arial"/>
                <w:sz w:val="22"/>
                <w:szCs w:val="22"/>
              </w:rPr>
            </w:pPr>
            <w:r w:rsidRPr="00C54BB7">
              <w:rPr>
                <w:rFonts w:ascii="Arial" w:hAnsi="Arial" w:cs="Arial"/>
                <w:sz w:val="22"/>
              </w:rPr>
              <w:t>Kvantifikuje důraz na preventivní přístup ve zdravotnictví a ukazuje tak finanční poměry v rámci jednoho z determinantů zdraví. Ukazatel je složen z položek vztahujících se jak k primární, tak k sekundární prevenci, které zahrnují velmi rozdílné typy aktivit. Proto je nutné posuzovat vývoj jednotlivých dílčích složek ukazatele a sledovat i výdaje na primární a sekundární prevenci odděleně.</w:t>
            </w:r>
          </w:p>
        </w:tc>
      </w:tr>
      <w:tr w:rsidR="00E86883" w:rsidRPr="00E86883" w14:paraId="106CFC04" w14:textId="77777777" w:rsidTr="008D14FE">
        <w:tc>
          <w:tcPr>
            <w:tcW w:w="2802" w:type="dxa"/>
          </w:tcPr>
          <w:p w14:paraId="20554913"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Časová řada: </w:t>
            </w:r>
          </w:p>
        </w:tc>
        <w:tc>
          <w:tcPr>
            <w:tcW w:w="6486" w:type="dxa"/>
          </w:tcPr>
          <w:p w14:paraId="02E11847" w14:textId="77777777" w:rsidR="00E86883" w:rsidRPr="00E86883" w:rsidRDefault="00E86883" w:rsidP="00FB6CF6">
            <w:pPr>
              <w:spacing w:line="276" w:lineRule="auto"/>
              <w:jc w:val="both"/>
              <w:rPr>
                <w:rFonts w:ascii="Arial" w:hAnsi="Arial" w:cs="Arial"/>
                <w:sz w:val="22"/>
                <w:szCs w:val="22"/>
              </w:rPr>
            </w:pPr>
            <w:r w:rsidRPr="00E86883">
              <w:rPr>
                <w:rFonts w:ascii="Arial" w:hAnsi="Arial" w:cs="Arial"/>
                <w:sz w:val="22"/>
                <w:szCs w:val="22"/>
              </w:rPr>
              <w:t xml:space="preserve">Od </w:t>
            </w:r>
            <w:r w:rsidR="009038C4">
              <w:rPr>
                <w:rFonts w:ascii="Arial" w:hAnsi="Arial" w:cs="Arial"/>
                <w:sz w:val="22"/>
                <w:szCs w:val="22"/>
              </w:rPr>
              <w:t xml:space="preserve">roku </w:t>
            </w:r>
            <w:r w:rsidRPr="00E86883">
              <w:rPr>
                <w:rFonts w:ascii="Arial" w:hAnsi="Arial" w:cs="Arial"/>
                <w:sz w:val="22"/>
                <w:szCs w:val="22"/>
              </w:rPr>
              <w:t>2010</w:t>
            </w:r>
          </w:p>
        </w:tc>
      </w:tr>
      <w:tr w:rsidR="00E86883" w:rsidRPr="00E86883" w14:paraId="61F16422" w14:textId="77777777" w:rsidTr="008D14FE">
        <w:tc>
          <w:tcPr>
            <w:tcW w:w="2802" w:type="dxa"/>
          </w:tcPr>
          <w:p w14:paraId="400CDCFA"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Frekvence výstupu: </w:t>
            </w:r>
          </w:p>
        </w:tc>
        <w:tc>
          <w:tcPr>
            <w:tcW w:w="6486" w:type="dxa"/>
          </w:tcPr>
          <w:p w14:paraId="48864427" w14:textId="77777777" w:rsidR="00E86883" w:rsidRPr="00E86883" w:rsidRDefault="00E86883" w:rsidP="00FB6CF6">
            <w:pPr>
              <w:spacing w:line="276" w:lineRule="auto"/>
              <w:jc w:val="both"/>
              <w:rPr>
                <w:rFonts w:ascii="Arial" w:hAnsi="Arial" w:cs="Arial"/>
                <w:sz w:val="22"/>
                <w:szCs w:val="22"/>
              </w:rPr>
            </w:pPr>
            <w:r w:rsidRPr="00E86883">
              <w:rPr>
                <w:rFonts w:ascii="Arial" w:hAnsi="Arial" w:cs="Arial"/>
                <w:sz w:val="22"/>
                <w:szCs w:val="22"/>
              </w:rPr>
              <w:t>Ročně</w:t>
            </w:r>
          </w:p>
        </w:tc>
      </w:tr>
      <w:tr w:rsidR="00E86883" w:rsidRPr="00E86883" w14:paraId="30C7F492" w14:textId="77777777" w:rsidTr="008D14FE">
        <w:trPr>
          <w:trHeight w:val="70"/>
        </w:trPr>
        <w:tc>
          <w:tcPr>
            <w:tcW w:w="2802" w:type="dxa"/>
          </w:tcPr>
          <w:p w14:paraId="049B4FA3"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Členění indikátoru: </w:t>
            </w:r>
          </w:p>
        </w:tc>
        <w:tc>
          <w:tcPr>
            <w:tcW w:w="6486" w:type="dxa"/>
          </w:tcPr>
          <w:p w14:paraId="554AC72D" w14:textId="12B3B47F" w:rsidR="00E86883" w:rsidRPr="00E86883" w:rsidRDefault="00B57EE3" w:rsidP="00FB6CF6">
            <w:pPr>
              <w:spacing w:line="276" w:lineRule="auto"/>
              <w:jc w:val="both"/>
              <w:rPr>
                <w:rFonts w:ascii="Arial" w:hAnsi="Arial" w:cs="Arial"/>
                <w:sz w:val="22"/>
                <w:szCs w:val="22"/>
              </w:rPr>
            </w:pPr>
            <w:r w:rsidRPr="004D14DC">
              <w:rPr>
                <w:rFonts w:ascii="Arial" w:hAnsi="Arial" w:cs="Arial"/>
                <w:sz w:val="22"/>
                <w:szCs w:val="22"/>
              </w:rPr>
              <w:t>Výdaje na dílčí typy prevence dle kategorií SHA 2011</w:t>
            </w:r>
          </w:p>
        </w:tc>
      </w:tr>
      <w:tr w:rsidR="00E86883" w:rsidRPr="00E86883" w14:paraId="714ADA94" w14:textId="77777777" w:rsidTr="008D14FE">
        <w:trPr>
          <w:trHeight w:val="70"/>
        </w:trPr>
        <w:tc>
          <w:tcPr>
            <w:tcW w:w="2802" w:type="dxa"/>
          </w:tcPr>
          <w:p w14:paraId="01FE5C1C"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Mezinárodní srovnání:</w:t>
            </w:r>
          </w:p>
        </w:tc>
        <w:tc>
          <w:tcPr>
            <w:tcW w:w="6486" w:type="dxa"/>
          </w:tcPr>
          <w:p w14:paraId="16205433" w14:textId="77777777" w:rsidR="00E86883" w:rsidRPr="00E86883" w:rsidRDefault="00E86883" w:rsidP="00FB6CF6">
            <w:pPr>
              <w:spacing w:line="276" w:lineRule="auto"/>
              <w:jc w:val="both"/>
              <w:rPr>
                <w:rFonts w:ascii="Arial" w:hAnsi="Arial" w:cs="Arial"/>
                <w:sz w:val="22"/>
                <w:szCs w:val="22"/>
              </w:rPr>
            </w:pPr>
            <w:r w:rsidRPr="00E86883">
              <w:rPr>
                <w:rFonts w:ascii="Arial" w:hAnsi="Arial" w:cs="Arial"/>
                <w:sz w:val="22"/>
                <w:szCs w:val="22"/>
              </w:rPr>
              <w:t>OECD</w:t>
            </w:r>
          </w:p>
        </w:tc>
      </w:tr>
    </w:tbl>
    <w:p w14:paraId="5FB05D7E" w14:textId="65EA5BFA" w:rsidR="00E86883" w:rsidRDefault="00735419" w:rsidP="00ED673D">
      <w:pPr>
        <w:pStyle w:val="r2030podcle"/>
        <w:numPr>
          <w:ilvl w:val="1"/>
          <w:numId w:val="17"/>
        </w:numPr>
        <w:ind w:left="567" w:hanging="425"/>
        <w:jc w:val="both"/>
      </w:pPr>
      <w:r w:rsidRPr="00735419">
        <w:rPr>
          <w:rFonts w:eastAsiaTheme="minorHAnsi"/>
          <w:lang w:eastAsia="en-US"/>
        </w:rPr>
        <w:t>Snižuje se konzumace návykových látek i zátěž obyvatel zdravotně rizikovými látkami a hlukem prostřednictvím lepší kvality životního prostředí</w:t>
      </w:r>
      <w:r>
        <w:rPr>
          <w:rFonts w:eastAsiaTheme="minorHAnsi"/>
          <w:lang w:eastAsia="en-US"/>
        </w:rPr>
        <w:t>.</w:t>
      </w:r>
      <w:r w:rsidRPr="00735419">
        <w:rPr>
          <w:rFonts w:eastAsiaTheme="minorHAnsi"/>
          <w:lang w:eastAsia="en-US"/>
        </w:rPr>
        <w:t xml:space="preserve"> </w:t>
      </w:r>
      <w:r w:rsidR="00B57EE3" w:rsidRPr="004D0878">
        <w:rPr>
          <w:rFonts w:eastAsiaTheme="minorHAnsi"/>
          <w:lang w:eastAsia="en-US"/>
        </w:rPr>
        <w:t>Příslušné limity škodlivých látek a hluku nejsou překračovány.</w:t>
      </w:r>
    </w:p>
    <w:tbl>
      <w:tblPr>
        <w:tblStyle w:val="Mkatabulky"/>
        <w:tblW w:w="0" w:type="auto"/>
        <w:tblLook w:val="04A0" w:firstRow="1" w:lastRow="0" w:firstColumn="1" w:lastColumn="0" w:noHBand="0" w:noVBand="1"/>
      </w:tblPr>
      <w:tblGrid>
        <w:gridCol w:w="2802"/>
        <w:gridCol w:w="6486"/>
      </w:tblGrid>
      <w:tr w:rsidR="00E86883" w:rsidRPr="00E86883" w14:paraId="28B75889" w14:textId="77777777" w:rsidTr="008D14FE">
        <w:tc>
          <w:tcPr>
            <w:tcW w:w="2802" w:type="dxa"/>
          </w:tcPr>
          <w:p w14:paraId="0BFFA330"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Název a označení indikátoru: </w:t>
            </w:r>
          </w:p>
        </w:tc>
        <w:tc>
          <w:tcPr>
            <w:tcW w:w="6486" w:type="dxa"/>
          </w:tcPr>
          <w:p w14:paraId="692417F1" w14:textId="77777777" w:rsidR="00E86883" w:rsidRPr="00E86883" w:rsidRDefault="00E86883" w:rsidP="00C51B65">
            <w:pPr>
              <w:spacing w:line="276" w:lineRule="auto"/>
              <w:contextualSpacing/>
              <w:rPr>
                <w:rFonts w:ascii="Arial" w:hAnsi="Arial" w:cs="Arial"/>
                <w:b/>
                <w:sz w:val="22"/>
                <w:szCs w:val="22"/>
              </w:rPr>
            </w:pPr>
            <w:r w:rsidRPr="00E86883">
              <w:rPr>
                <w:rFonts w:ascii="Arial" w:hAnsi="Arial" w:cs="Arial"/>
                <w:b/>
                <w:sz w:val="22"/>
                <w:szCs w:val="22"/>
              </w:rPr>
              <w:t>5.5.1 Podíl osob s rizikovou konzumací alkoholu</w:t>
            </w:r>
          </w:p>
        </w:tc>
      </w:tr>
      <w:tr w:rsidR="00E86883" w:rsidRPr="00E86883" w14:paraId="00FDA82F" w14:textId="77777777" w:rsidTr="008D14FE">
        <w:tc>
          <w:tcPr>
            <w:tcW w:w="2802" w:type="dxa"/>
          </w:tcPr>
          <w:p w14:paraId="1CCC4D66"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Stručná definice: </w:t>
            </w:r>
          </w:p>
        </w:tc>
        <w:tc>
          <w:tcPr>
            <w:tcW w:w="6486" w:type="dxa"/>
          </w:tcPr>
          <w:p w14:paraId="64C1FC6C" w14:textId="6C7552B9" w:rsidR="00E86883" w:rsidRPr="005869A0" w:rsidRDefault="00E86883" w:rsidP="00ED673D">
            <w:pPr>
              <w:spacing w:line="276" w:lineRule="auto"/>
              <w:jc w:val="both"/>
              <w:rPr>
                <w:rFonts w:ascii="Arial" w:hAnsi="Arial" w:cs="Arial"/>
                <w:iCs/>
                <w:sz w:val="22"/>
                <w:szCs w:val="22"/>
              </w:rPr>
            </w:pPr>
            <w:r w:rsidRPr="00E86883">
              <w:rPr>
                <w:rFonts w:ascii="Arial" w:hAnsi="Arial" w:cs="Arial"/>
                <w:iCs/>
                <w:sz w:val="22"/>
                <w:szCs w:val="22"/>
              </w:rPr>
              <w:t>Podíl osob</w:t>
            </w:r>
            <w:r w:rsidR="00550B46">
              <w:rPr>
                <w:rFonts w:ascii="Arial" w:hAnsi="Arial" w:cs="Arial"/>
                <w:iCs/>
                <w:sz w:val="22"/>
                <w:szCs w:val="22"/>
              </w:rPr>
              <w:t xml:space="preserve"> starších 15 let</w:t>
            </w:r>
            <w:r w:rsidRPr="00E86883">
              <w:rPr>
                <w:rFonts w:ascii="Arial" w:hAnsi="Arial" w:cs="Arial"/>
                <w:iCs/>
                <w:sz w:val="22"/>
                <w:szCs w:val="22"/>
              </w:rPr>
              <w:t>, které uvedly nárazové pití vysokého množství alkoholu (požití alespoň 60 g čistého alkoholu při jedné příležitosti) alespoň jednou měsíčně v posle</w:t>
            </w:r>
            <w:r w:rsidR="005869A0">
              <w:rPr>
                <w:rFonts w:ascii="Arial" w:hAnsi="Arial" w:cs="Arial"/>
                <w:iCs/>
                <w:sz w:val="22"/>
                <w:szCs w:val="22"/>
              </w:rPr>
              <w:t>dní</w:t>
            </w:r>
            <w:r w:rsidR="006572B8">
              <w:rPr>
                <w:rFonts w:ascii="Arial" w:hAnsi="Arial" w:cs="Arial"/>
                <w:iCs/>
                <w:sz w:val="22"/>
                <w:szCs w:val="22"/>
              </w:rPr>
              <w:t>m</w:t>
            </w:r>
            <w:r w:rsidR="005869A0">
              <w:rPr>
                <w:rFonts w:ascii="Arial" w:hAnsi="Arial" w:cs="Arial"/>
                <w:iCs/>
                <w:sz w:val="22"/>
                <w:szCs w:val="22"/>
              </w:rPr>
              <w:t xml:space="preserve"> </w:t>
            </w:r>
            <w:r w:rsidR="009F25FB">
              <w:rPr>
                <w:rFonts w:ascii="Arial" w:hAnsi="Arial" w:cs="Arial"/>
                <w:iCs/>
                <w:sz w:val="22"/>
                <w:szCs w:val="22"/>
              </w:rPr>
              <w:t>roce</w:t>
            </w:r>
            <w:r w:rsidR="00ED673D">
              <w:rPr>
                <w:rFonts w:ascii="Arial" w:hAnsi="Arial" w:cs="Arial"/>
                <w:iCs/>
                <w:sz w:val="22"/>
                <w:szCs w:val="22"/>
              </w:rPr>
              <w:t>.</w:t>
            </w:r>
          </w:p>
        </w:tc>
      </w:tr>
      <w:tr w:rsidR="00E86883" w:rsidRPr="00E86883" w14:paraId="0344EC2F" w14:textId="77777777" w:rsidTr="008D14FE">
        <w:tc>
          <w:tcPr>
            <w:tcW w:w="2802" w:type="dxa"/>
          </w:tcPr>
          <w:p w14:paraId="1E29CA99"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Jednotka:</w:t>
            </w:r>
          </w:p>
        </w:tc>
        <w:tc>
          <w:tcPr>
            <w:tcW w:w="6486" w:type="dxa"/>
          </w:tcPr>
          <w:p w14:paraId="444E19EA" w14:textId="77777777" w:rsidR="00E86883" w:rsidRPr="00E86883" w:rsidRDefault="00E86883" w:rsidP="00ED673D">
            <w:pPr>
              <w:spacing w:line="276" w:lineRule="auto"/>
              <w:jc w:val="both"/>
              <w:rPr>
                <w:rFonts w:ascii="Arial" w:hAnsi="Arial" w:cs="Arial"/>
                <w:sz w:val="22"/>
                <w:szCs w:val="22"/>
              </w:rPr>
            </w:pPr>
            <w:r w:rsidRPr="00E86883">
              <w:rPr>
                <w:rFonts w:ascii="Arial" w:hAnsi="Arial" w:cs="Arial"/>
                <w:sz w:val="22"/>
                <w:szCs w:val="22"/>
              </w:rPr>
              <w:t>Podíl (v %)</w:t>
            </w:r>
          </w:p>
        </w:tc>
      </w:tr>
      <w:tr w:rsidR="00E86883" w:rsidRPr="00E86883" w14:paraId="6FA5D18C" w14:textId="77777777" w:rsidTr="008D14FE">
        <w:tc>
          <w:tcPr>
            <w:tcW w:w="2802" w:type="dxa"/>
          </w:tcPr>
          <w:p w14:paraId="06256B7E"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Gestor: </w:t>
            </w:r>
          </w:p>
        </w:tc>
        <w:tc>
          <w:tcPr>
            <w:tcW w:w="6486" w:type="dxa"/>
          </w:tcPr>
          <w:p w14:paraId="64997EE4" w14:textId="77777777" w:rsidR="00E86883" w:rsidRPr="00E86883" w:rsidRDefault="00E86883" w:rsidP="00ED673D">
            <w:pPr>
              <w:spacing w:line="276" w:lineRule="auto"/>
              <w:jc w:val="both"/>
              <w:rPr>
                <w:rFonts w:ascii="Arial" w:hAnsi="Arial" w:cs="Arial"/>
                <w:sz w:val="22"/>
                <w:szCs w:val="22"/>
              </w:rPr>
            </w:pPr>
            <w:r w:rsidRPr="00E86883">
              <w:rPr>
                <w:rFonts w:ascii="Arial" w:hAnsi="Arial" w:cs="Arial"/>
                <w:sz w:val="22"/>
                <w:szCs w:val="22"/>
              </w:rPr>
              <w:t>Ústav zdravotnických informací a statistiky ČR</w:t>
            </w:r>
          </w:p>
        </w:tc>
      </w:tr>
      <w:tr w:rsidR="00E86883" w:rsidRPr="00E86883" w14:paraId="4F5F699A" w14:textId="77777777" w:rsidTr="008D14FE">
        <w:tc>
          <w:tcPr>
            <w:tcW w:w="2802" w:type="dxa"/>
          </w:tcPr>
          <w:p w14:paraId="4764EBE2"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Význam indikátoru: </w:t>
            </w:r>
          </w:p>
        </w:tc>
        <w:tc>
          <w:tcPr>
            <w:tcW w:w="6486" w:type="dxa"/>
          </w:tcPr>
          <w:p w14:paraId="05BA190B" w14:textId="77777777" w:rsidR="00E86883" w:rsidRPr="00E86883" w:rsidRDefault="00E86883" w:rsidP="00ED673D">
            <w:pPr>
              <w:spacing w:line="276" w:lineRule="auto"/>
              <w:jc w:val="both"/>
              <w:rPr>
                <w:rFonts w:ascii="Arial" w:hAnsi="Arial" w:cs="Arial"/>
                <w:sz w:val="22"/>
                <w:szCs w:val="22"/>
              </w:rPr>
            </w:pPr>
            <w:r w:rsidRPr="00E86883">
              <w:rPr>
                <w:rFonts w:ascii="Arial" w:hAnsi="Arial" w:cs="Arial"/>
                <w:sz w:val="22"/>
                <w:szCs w:val="22"/>
              </w:rPr>
              <w:t>Kvantifikuje rizikové faktory životního stylu (jednoho z determinantů zdraví).</w:t>
            </w:r>
          </w:p>
        </w:tc>
      </w:tr>
      <w:tr w:rsidR="00E86883" w:rsidRPr="00E86883" w14:paraId="54B38EC8" w14:textId="77777777" w:rsidTr="008D14FE">
        <w:tc>
          <w:tcPr>
            <w:tcW w:w="2802" w:type="dxa"/>
          </w:tcPr>
          <w:p w14:paraId="1A63120A"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Časová řada: </w:t>
            </w:r>
          </w:p>
        </w:tc>
        <w:tc>
          <w:tcPr>
            <w:tcW w:w="6486" w:type="dxa"/>
          </w:tcPr>
          <w:p w14:paraId="65B7BBFC" w14:textId="6C5F40D3" w:rsidR="00E86883" w:rsidRPr="00E86883" w:rsidRDefault="009F25FB" w:rsidP="00ED673D">
            <w:pPr>
              <w:spacing w:line="276" w:lineRule="auto"/>
              <w:jc w:val="both"/>
              <w:rPr>
                <w:rFonts w:ascii="Arial" w:hAnsi="Arial" w:cs="Arial"/>
                <w:sz w:val="22"/>
                <w:szCs w:val="22"/>
              </w:rPr>
            </w:pPr>
            <w:r>
              <w:rPr>
                <w:rFonts w:ascii="Arial" w:hAnsi="Arial" w:cs="Arial"/>
                <w:sz w:val="22"/>
                <w:szCs w:val="22"/>
              </w:rPr>
              <w:t xml:space="preserve">V roce </w:t>
            </w:r>
            <w:r w:rsidR="00E86883" w:rsidRPr="00E86883">
              <w:rPr>
                <w:rFonts w:ascii="Arial" w:hAnsi="Arial" w:cs="Arial"/>
                <w:sz w:val="22"/>
                <w:szCs w:val="22"/>
              </w:rPr>
              <w:t>2008, 2014</w:t>
            </w:r>
          </w:p>
        </w:tc>
      </w:tr>
      <w:tr w:rsidR="00E86883" w:rsidRPr="00E86883" w14:paraId="067F5807" w14:textId="77777777" w:rsidTr="008D14FE">
        <w:tc>
          <w:tcPr>
            <w:tcW w:w="2802" w:type="dxa"/>
          </w:tcPr>
          <w:p w14:paraId="07797F81"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lastRenderedPageBreak/>
              <w:t xml:space="preserve">Frekvence výstupu: </w:t>
            </w:r>
          </w:p>
        </w:tc>
        <w:tc>
          <w:tcPr>
            <w:tcW w:w="6486" w:type="dxa"/>
          </w:tcPr>
          <w:p w14:paraId="5B1D1A1B" w14:textId="77777777" w:rsidR="00E86883" w:rsidRPr="00E86883" w:rsidRDefault="005869A0" w:rsidP="00ED673D">
            <w:pPr>
              <w:spacing w:line="276" w:lineRule="auto"/>
              <w:jc w:val="both"/>
              <w:rPr>
                <w:rFonts w:ascii="Arial" w:hAnsi="Arial" w:cs="Arial"/>
                <w:sz w:val="22"/>
                <w:szCs w:val="22"/>
              </w:rPr>
            </w:pPr>
            <w:r>
              <w:rPr>
                <w:rFonts w:ascii="Arial" w:hAnsi="Arial" w:cs="Arial"/>
                <w:sz w:val="22"/>
                <w:szCs w:val="22"/>
              </w:rPr>
              <w:t xml:space="preserve">Jednou za 5 – </w:t>
            </w:r>
            <w:r w:rsidR="00E86883" w:rsidRPr="00E86883">
              <w:rPr>
                <w:rFonts w:ascii="Arial" w:hAnsi="Arial" w:cs="Arial"/>
                <w:sz w:val="22"/>
                <w:szCs w:val="22"/>
              </w:rPr>
              <w:t>6 let</w:t>
            </w:r>
          </w:p>
        </w:tc>
      </w:tr>
      <w:tr w:rsidR="00E86883" w:rsidRPr="00E86883" w14:paraId="097332DC" w14:textId="77777777" w:rsidTr="008D14FE">
        <w:trPr>
          <w:trHeight w:val="70"/>
        </w:trPr>
        <w:tc>
          <w:tcPr>
            <w:tcW w:w="2802" w:type="dxa"/>
          </w:tcPr>
          <w:p w14:paraId="5E60AC54"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Členění indikátoru: </w:t>
            </w:r>
          </w:p>
        </w:tc>
        <w:tc>
          <w:tcPr>
            <w:tcW w:w="6486" w:type="dxa"/>
          </w:tcPr>
          <w:p w14:paraId="3DBFFDAA" w14:textId="26E98846" w:rsidR="00E86883" w:rsidRPr="00E86883" w:rsidRDefault="00EB2BE3" w:rsidP="00ED673D">
            <w:pPr>
              <w:spacing w:line="276" w:lineRule="auto"/>
              <w:jc w:val="both"/>
              <w:rPr>
                <w:rFonts w:ascii="Arial" w:hAnsi="Arial" w:cs="Arial"/>
                <w:sz w:val="22"/>
                <w:szCs w:val="22"/>
              </w:rPr>
            </w:pPr>
            <w:r>
              <w:rPr>
                <w:rFonts w:ascii="Arial" w:hAnsi="Arial" w:cs="Arial"/>
                <w:sz w:val="22"/>
                <w:szCs w:val="22"/>
              </w:rPr>
              <w:t>Dle v</w:t>
            </w:r>
            <w:r w:rsidR="00E86883" w:rsidRPr="00E86883">
              <w:rPr>
                <w:rFonts w:ascii="Arial" w:hAnsi="Arial" w:cs="Arial"/>
                <w:sz w:val="22"/>
                <w:szCs w:val="22"/>
              </w:rPr>
              <w:t>ěk</w:t>
            </w:r>
            <w:r>
              <w:rPr>
                <w:rFonts w:ascii="Arial" w:hAnsi="Arial" w:cs="Arial"/>
                <w:sz w:val="22"/>
                <w:szCs w:val="22"/>
              </w:rPr>
              <w:t>u</w:t>
            </w:r>
            <w:r w:rsidR="00E86883" w:rsidRPr="00E86883">
              <w:rPr>
                <w:rFonts w:ascii="Arial" w:hAnsi="Arial" w:cs="Arial"/>
                <w:sz w:val="22"/>
                <w:szCs w:val="22"/>
              </w:rPr>
              <w:t>, pohlaví, vzdělání</w:t>
            </w:r>
          </w:p>
        </w:tc>
      </w:tr>
      <w:tr w:rsidR="00E86883" w:rsidRPr="00E86883" w14:paraId="7E1F383A" w14:textId="77777777" w:rsidTr="008D14FE">
        <w:trPr>
          <w:trHeight w:val="70"/>
        </w:trPr>
        <w:tc>
          <w:tcPr>
            <w:tcW w:w="2802" w:type="dxa"/>
          </w:tcPr>
          <w:p w14:paraId="2372DC11"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Mezinárodní srovnání:</w:t>
            </w:r>
          </w:p>
        </w:tc>
        <w:tc>
          <w:tcPr>
            <w:tcW w:w="6486" w:type="dxa"/>
          </w:tcPr>
          <w:p w14:paraId="08715038" w14:textId="77777777" w:rsidR="00E86883" w:rsidRPr="00E86883" w:rsidRDefault="00E86883" w:rsidP="00ED673D">
            <w:pPr>
              <w:spacing w:line="276" w:lineRule="auto"/>
              <w:jc w:val="both"/>
              <w:rPr>
                <w:rFonts w:ascii="Arial" w:hAnsi="Arial" w:cs="Arial"/>
                <w:sz w:val="22"/>
                <w:szCs w:val="22"/>
              </w:rPr>
            </w:pPr>
            <w:proofErr w:type="spellStart"/>
            <w:r w:rsidRPr="00E86883">
              <w:rPr>
                <w:rFonts w:ascii="Arial" w:hAnsi="Arial" w:cs="Arial"/>
                <w:sz w:val="22"/>
                <w:szCs w:val="22"/>
              </w:rPr>
              <w:t>Eurostat</w:t>
            </w:r>
            <w:proofErr w:type="spellEnd"/>
          </w:p>
        </w:tc>
      </w:tr>
    </w:tbl>
    <w:p w14:paraId="0EBCF8A4" w14:textId="77777777" w:rsidR="00E86883" w:rsidRPr="00E86883" w:rsidRDefault="00E86883" w:rsidP="00C51B65">
      <w:pPr>
        <w:spacing w:line="276" w:lineRule="auto"/>
        <w:jc w:val="both"/>
        <w:rPr>
          <w:rFonts w:ascii="Arial" w:eastAsiaTheme="minorHAnsi" w:hAnsi="Arial" w:cs="Arial"/>
          <w:sz w:val="22"/>
          <w:szCs w:val="22"/>
          <w:lang w:eastAsia="en-US"/>
        </w:rPr>
      </w:pPr>
    </w:p>
    <w:tbl>
      <w:tblPr>
        <w:tblStyle w:val="Mkatabulky"/>
        <w:tblW w:w="0" w:type="auto"/>
        <w:tblLook w:val="04A0" w:firstRow="1" w:lastRow="0" w:firstColumn="1" w:lastColumn="0" w:noHBand="0" w:noVBand="1"/>
      </w:tblPr>
      <w:tblGrid>
        <w:gridCol w:w="2802"/>
        <w:gridCol w:w="6486"/>
      </w:tblGrid>
      <w:tr w:rsidR="00E86883" w:rsidRPr="00E86883" w14:paraId="4DE7F6D8" w14:textId="77777777" w:rsidTr="008D14FE">
        <w:tc>
          <w:tcPr>
            <w:tcW w:w="2802" w:type="dxa"/>
          </w:tcPr>
          <w:p w14:paraId="029B70E4"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Název a označení indikátoru: </w:t>
            </w:r>
          </w:p>
        </w:tc>
        <w:tc>
          <w:tcPr>
            <w:tcW w:w="6486" w:type="dxa"/>
          </w:tcPr>
          <w:p w14:paraId="20468EFB" w14:textId="77777777" w:rsidR="00E86883" w:rsidRPr="00E86883" w:rsidRDefault="00E86883" w:rsidP="00C51B65">
            <w:pPr>
              <w:spacing w:line="276" w:lineRule="auto"/>
              <w:contextualSpacing/>
              <w:rPr>
                <w:rFonts w:ascii="Arial" w:hAnsi="Arial" w:cs="Arial"/>
                <w:b/>
                <w:sz w:val="22"/>
                <w:szCs w:val="22"/>
              </w:rPr>
            </w:pPr>
            <w:r w:rsidRPr="00E86883">
              <w:rPr>
                <w:rFonts w:ascii="Arial" w:hAnsi="Arial" w:cs="Arial"/>
                <w:b/>
                <w:sz w:val="22"/>
                <w:szCs w:val="22"/>
              </w:rPr>
              <w:t>5.5.2 Podíl denních kuřáků</w:t>
            </w:r>
          </w:p>
        </w:tc>
      </w:tr>
      <w:tr w:rsidR="00E86883" w:rsidRPr="00E86883" w14:paraId="18086D23" w14:textId="77777777" w:rsidTr="008D14FE">
        <w:tc>
          <w:tcPr>
            <w:tcW w:w="2802" w:type="dxa"/>
          </w:tcPr>
          <w:p w14:paraId="56F5AE22"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Stručná definice: </w:t>
            </w:r>
          </w:p>
        </w:tc>
        <w:tc>
          <w:tcPr>
            <w:tcW w:w="6486" w:type="dxa"/>
          </w:tcPr>
          <w:p w14:paraId="2A263D3F" w14:textId="77777777" w:rsidR="00E86883" w:rsidRPr="00E86883" w:rsidRDefault="00E86883" w:rsidP="00FB6CF6">
            <w:pPr>
              <w:spacing w:line="276" w:lineRule="auto"/>
              <w:jc w:val="both"/>
              <w:rPr>
                <w:rFonts w:ascii="Arial" w:hAnsi="Arial" w:cs="Arial"/>
                <w:sz w:val="22"/>
                <w:szCs w:val="22"/>
              </w:rPr>
            </w:pPr>
            <w:r w:rsidRPr="00E86883">
              <w:rPr>
                <w:rFonts w:ascii="Arial" w:hAnsi="Arial" w:cs="Arial"/>
                <w:sz w:val="22"/>
                <w:szCs w:val="22"/>
              </w:rPr>
              <w:t>Podíl osob, které kouří denně</w:t>
            </w:r>
          </w:p>
        </w:tc>
      </w:tr>
      <w:tr w:rsidR="00E86883" w:rsidRPr="00E86883" w14:paraId="60D33C63" w14:textId="77777777" w:rsidTr="008D14FE">
        <w:tc>
          <w:tcPr>
            <w:tcW w:w="2802" w:type="dxa"/>
          </w:tcPr>
          <w:p w14:paraId="164F83A0"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Jednotka:</w:t>
            </w:r>
          </w:p>
        </w:tc>
        <w:tc>
          <w:tcPr>
            <w:tcW w:w="6486" w:type="dxa"/>
          </w:tcPr>
          <w:p w14:paraId="0379558A" w14:textId="77777777" w:rsidR="00E86883" w:rsidRPr="00E86883" w:rsidRDefault="00E86883" w:rsidP="00FB6CF6">
            <w:pPr>
              <w:spacing w:line="276" w:lineRule="auto"/>
              <w:jc w:val="both"/>
              <w:rPr>
                <w:rFonts w:ascii="Arial" w:hAnsi="Arial" w:cs="Arial"/>
                <w:sz w:val="22"/>
                <w:szCs w:val="22"/>
              </w:rPr>
            </w:pPr>
            <w:r w:rsidRPr="00E86883">
              <w:rPr>
                <w:rFonts w:ascii="Arial" w:hAnsi="Arial" w:cs="Arial"/>
                <w:sz w:val="22"/>
                <w:szCs w:val="22"/>
              </w:rPr>
              <w:t>Podíl (v %)</w:t>
            </w:r>
          </w:p>
        </w:tc>
      </w:tr>
      <w:tr w:rsidR="00E86883" w:rsidRPr="00E86883" w14:paraId="6B2D67D1" w14:textId="77777777" w:rsidTr="008D14FE">
        <w:tc>
          <w:tcPr>
            <w:tcW w:w="2802" w:type="dxa"/>
          </w:tcPr>
          <w:p w14:paraId="22C09714"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Gestor: </w:t>
            </w:r>
          </w:p>
        </w:tc>
        <w:tc>
          <w:tcPr>
            <w:tcW w:w="6486" w:type="dxa"/>
          </w:tcPr>
          <w:p w14:paraId="5170B06F" w14:textId="77777777" w:rsidR="00E86883" w:rsidRPr="00E86883" w:rsidRDefault="00E86883" w:rsidP="00FB6CF6">
            <w:pPr>
              <w:spacing w:line="276" w:lineRule="auto"/>
              <w:jc w:val="both"/>
              <w:rPr>
                <w:rFonts w:ascii="Arial" w:hAnsi="Arial" w:cs="Arial"/>
                <w:sz w:val="22"/>
                <w:szCs w:val="22"/>
              </w:rPr>
            </w:pPr>
            <w:r w:rsidRPr="00E86883">
              <w:rPr>
                <w:rFonts w:ascii="Arial" w:hAnsi="Arial" w:cs="Arial"/>
                <w:sz w:val="22"/>
                <w:szCs w:val="22"/>
              </w:rPr>
              <w:t>Státní zdravotní ústav</w:t>
            </w:r>
          </w:p>
        </w:tc>
      </w:tr>
      <w:tr w:rsidR="00E86883" w:rsidRPr="00E86883" w14:paraId="49E4FCA9" w14:textId="77777777" w:rsidTr="008D14FE">
        <w:tc>
          <w:tcPr>
            <w:tcW w:w="2802" w:type="dxa"/>
          </w:tcPr>
          <w:p w14:paraId="47F4A06E"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Význam indikátoru: </w:t>
            </w:r>
          </w:p>
        </w:tc>
        <w:tc>
          <w:tcPr>
            <w:tcW w:w="6486" w:type="dxa"/>
          </w:tcPr>
          <w:p w14:paraId="0EBB7E32" w14:textId="77777777" w:rsidR="00E86883" w:rsidRPr="00E86883" w:rsidRDefault="00E86883" w:rsidP="00FB6CF6">
            <w:pPr>
              <w:spacing w:line="276" w:lineRule="auto"/>
              <w:jc w:val="both"/>
              <w:rPr>
                <w:rFonts w:ascii="Arial" w:hAnsi="Arial" w:cs="Arial"/>
                <w:sz w:val="22"/>
                <w:szCs w:val="22"/>
              </w:rPr>
            </w:pPr>
            <w:r w:rsidRPr="00E86883">
              <w:rPr>
                <w:rFonts w:ascii="Arial" w:hAnsi="Arial" w:cs="Arial"/>
                <w:sz w:val="22"/>
                <w:szCs w:val="22"/>
              </w:rPr>
              <w:t>Kvantifikuje rizikové faktory životního stylu (jednoho z determinantů zdraví).</w:t>
            </w:r>
          </w:p>
        </w:tc>
      </w:tr>
      <w:tr w:rsidR="00E86883" w:rsidRPr="00E86883" w14:paraId="52432F63" w14:textId="77777777" w:rsidTr="008D14FE">
        <w:tc>
          <w:tcPr>
            <w:tcW w:w="2802" w:type="dxa"/>
          </w:tcPr>
          <w:p w14:paraId="70BDB795"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Časová řada: </w:t>
            </w:r>
          </w:p>
        </w:tc>
        <w:tc>
          <w:tcPr>
            <w:tcW w:w="6486" w:type="dxa"/>
          </w:tcPr>
          <w:p w14:paraId="3938C751" w14:textId="6542BE4E" w:rsidR="00E86883" w:rsidRPr="00E86883" w:rsidRDefault="00C10C29" w:rsidP="00FB6CF6">
            <w:pPr>
              <w:spacing w:line="276" w:lineRule="auto"/>
              <w:jc w:val="both"/>
              <w:rPr>
                <w:rFonts w:ascii="Arial" w:hAnsi="Arial" w:cs="Arial"/>
                <w:sz w:val="22"/>
                <w:szCs w:val="22"/>
              </w:rPr>
            </w:pPr>
            <w:r>
              <w:rPr>
                <w:rFonts w:ascii="Arial" w:hAnsi="Arial" w:cs="Arial"/>
                <w:sz w:val="22"/>
                <w:szCs w:val="22"/>
              </w:rPr>
              <w:t xml:space="preserve">Od roku </w:t>
            </w:r>
            <w:r w:rsidR="00E86883" w:rsidRPr="00E86883">
              <w:rPr>
                <w:rFonts w:ascii="Arial" w:hAnsi="Arial" w:cs="Arial"/>
                <w:sz w:val="22"/>
                <w:szCs w:val="22"/>
              </w:rPr>
              <w:t>2003</w:t>
            </w:r>
          </w:p>
        </w:tc>
      </w:tr>
      <w:tr w:rsidR="00E86883" w:rsidRPr="00E86883" w14:paraId="7B06C1AE" w14:textId="77777777" w:rsidTr="008D14FE">
        <w:tc>
          <w:tcPr>
            <w:tcW w:w="2802" w:type="dxa"/>
          </w:tcPr>
          <w:p w14:paraId="767DD54F"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Frekvence výstupu: </w:t>
            </w:r>
          </w:p>
        </w:tc>
        <w:tc>
          <w:tcPr>
            <w:tcW w:w="6486" w:type="dxa"/>
          </w:tcPr>
          <w:p w14:paraId="546D2A90" w14:textId="77777777" w:rsidR="00E86883" w:rsidRPr="00E86883" w:rsidRDefault="00E86883" w:rsidP="00FB6CF6">
            <w:pPr>
              <w:spacing w:line="276" w:lineRule="auto"/>
              <w:jc w:val="both"/>
              <w:rPr>
                <w:rFonts w:ascii="Arial" w:hAnsi="Arial" w:cs="Arial"/>
                <w:sz w:val="22"/>
                <w:szCs w:val="22"/>
              </w:rPr>
            </w:pPr>
            <w:r w:rsidRPr="00E86883">
              <w:rPr>
                <w:rFonts w:ascii="Arial" w:hAnsi="Arial" w:cs="Arial"/>
                <w:sz w:val="22"/>
                <w:szCs w:val="22"/>
              </w:rPr>
              <w:t>Ročně</w:t>
            </w:r>
          </w:p>
        </w:tc>
      </w:tr>
      <w:tr w:rsidR="00E86883" w:rsidRPr="00E86883" w14:paraId="7ED373CE" w14:textId="77777777" w:rsidTr="008D14FE">
        <w:trPr>
          <w:trHeight w:val="70"/>
        </w:trPr>
        <w:tc>
          <w:tcPr>
            <w:tcW w:w="2802" w:type="dxa"/>
          </w:tcPr>
          <w:p w14:paraId="4D413B94"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Členění indikátoru: </w:t>
            </w:r>
          </w:p>
        </w:tc>
        <w:tc>
          <w:tcPr>
            <w:tcW w:w="6486" w:type="dxa"/>
          </w:tcPr>
          <w:p w14:paraId="5A9770E9" w14:textId="6BB4CBB2" w:rsidR="00E86883" w:rsidRPr="00E86883" w:rsidRDefault="00EB2BE3" w:rsidP="00FB6CF6">
            <w:pPr>
              <w:spacing w:line="276" w:lineRule="auto"/>
              <w:jc w:val="both"/>
              <w:rPr>
                <w:rFonts w:ascii="Arial" w:hAnsi="Arial" w:cs="Arial"/>
                <w:sz w:val="22"/>
                <w:szCs w:val="22"/>
              </w:rPr>
            </w:pPr>
            <w:r>
              <w:rPr>
                <w:rFonts w:ascii="Arial" w:hAnsi="Arial" w:cs="Arial"/>
                <w:sz w:val="22"/>
                <w:szCs w:val="22"/>
              </w:rPr>
              <w:t>Dle v</w:t>
            </w:r>
            <w:r w:rsidR="00E86883" w:rsidRPr="00E86883">
              <w:rPr>
                <w:rFonts w:ascii="Arial" w:hAnsi="Arial" w:cs="Arial"/>
                <w:sz w:val="22"/>
                <w:szCs w:val="22"/>
              </w:rPr>
              <w:t>ěk</w:t>
            </w:r>
            <w:r>
              <w:rPr>
                <w:rFonts w:ascii="Arial" w:hAnsi="Arial" w:cs="Arial"/>
                <w:sz w:val="22"/>
                <w:szCs w:val="22"/>
              </w:rPr>
              <w:t>u</w:t>
            </w:r>
            <w:r w:rsidR="00E86883" w:rsidRPr="00E86883">
              <w:rPr>
                <w:rFonts w:ascii="Arial" w:hAnsi="Arial" w:cs="Arial"/>
                <w:sz w:val="22"/>
                <w:szCs w:val="22"/>
              </w:rPr>
              <w:t xml:space="preserve">, pohlaví </w:t>
            </w:r>
          </w:p>
        </w:tc>
      </w:tr>
      <w:tr w:rsidR="00E86883" w:rsidRPr="00E86883" w14:paraId="37D77012" w14:textId="77777777" w:rsidTr="008D14FE">
        <w:trPr>
          <w:trHeight w:val="70"/>
        </w:trPr>
        <w:tc>
          <w:tcPr>
            <w:tcW w:w="2802" w:type="dxa"/>
          </w:tcPr>
          <w:p w14:paraId="110EABE3"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Mezinárodní srovnání:</w:t>
            </w:r>
          </w:p>
        </w:tc>
        <w:tc>
          <w:tcPr>
            <w:tcW w:w="6486" w:type="dxa"/>
          </w:tcPr>
          <w:p w14:paraId="7AE4D54A" w14:textId="77777777" w:rsidR="00E86883" w:rsidRPr="00E86883" w:rsidRDefault="00E86883" w:rsidP="00FB6CF6">
            <w:pPr>
              <w:spacing w:line="276" w:lineRule="auto"/>
              <w:jc w:val="both"/>
              <w:rPr>
                <w:rFonts w:ascii="Arial" w:hAnsi="Arial" w:cs="Arial"/>
                <w:sz w:val="22"/>
                <w:szCs w:val="22"/>
              </w:rPr>
            </w:pPr>
            <w:r w:rsidRPr="00E86883">
              <w:rPr>
                <w:rFonts w:ascii="Arial" w:hAnsi="Arial" w:cs="Arial"/>
                <w:sz w:val="22"/>
                <w:szCs w:val="22"/>
              </w:rPr>
              <w:t>OECD</w:t>
            </w:r>
          </w:p>
        </w:tc>
      </w:tr>
    </w:tbl>
    <w:p w14:paraId="5EF32380" w14:textId="77777777" w:rsidR="00E86883" w:rsidRPr="00E86883" w:rsidRDefault="00E86883" w:rsidP="00C51B65">
      <w:pPr>
        <w:spacing w:line="276" w:lineRule="auto"/>
        <w:jc w:val="both"/>
        <w:rPr>
          <w:rFonts w:ascii="Arial" w:eastAsiaTheme="minorHAnsi" w:hAnsi="Arial" w:cs="Arial"/>
          <w:sz w:val="22"/>
          <w:szCs w:val="22"/>
          <w:lang w:eastAsia="en-US"/>
        </w:rPr>
      </w:pPr>
    </w:p>
    <w:tbl>
      <w:tblPr>
        <w:tblStyle w:val="Mkatabulky"/>
        <w:tblW w:w="0" w:type="auto"/>
        <w:tblLook w:val="04A0" w:firstRow="1" w:lastRow="0" w:firstColumn="1" w:lastColumn="0" w:noHBand="0" w:noVBand="1"/>
      </w:tblPr>
      <w:tblGrid>
        <w:gridCol w:w="2802"/>
        <w:gridCol w:w="6486"/>
      </w:tblGrid>
      <w:tr w:rsidR="008C1375" w:rsidRPr="0007074B" w14:paraId="230123A2" w14:textId="77777777" w:rsidTr="007A7991">
        <w:tc>
          <w:tcPr>
            <w:tcW w:w="2802" w:type="dxa"/>
          </w:tcPr>
          <w:p w14:paraId="54D453F2" w14:textId="77777777" w:rsidR="008C1375" w:rsidRPr="0007074B" w:rsidRDefault="008C1375" w:rsidP="007A7991">
            <w:pPr>
              <w:spacing w:line="276" w:lineRule="auto"/>
              <w:rPr>
                <w:rFonts w:ascii="Arial" w:hAnsi="Arial" w:cs="Arial"/>
                <w:sz w:val="22"/>
                <w:szCs w:val="22"/>
              </w:rPr>
            </w:pPr>
            <w:r w:rsidRPr="0007074B">
              <w:rPr>
                <w:rFonts w:ascii="Arial" w:hAnsi="Arial" w:cs="Arial"/>
                <w:sz w:val="22"/>
                <w:szCs w:val="22"/>
              </w:rPr>
              <w:t xml:space="preserve">Název a označení indikátoru: </w:t>
            </w:r>
          </w:p>
        </w:tc>
        <w:tc>
          <w:tcPr>
            <w:tcW w:w="6486" w:type="dxa"/>
          </w:tcPr>
          <w:p w14:paraId="70A54E31" w14:textId="12F2DC9A" w:rsidR="008C1375" w:rsidRPr="00457014" w:rsidRDefault="008C1375" w:rsidP="007A7991">
            <w:pPr>
              <w:spacing w:line="276" w:lineRule="auto"/>
              <w:rPr>
                <w:rFonts w:ascii="Arial" w:eastAsia="Calibri" w:hAnsi="Arial" w:cs="Arial"/>
                <w:b/>
                <w:sz w:val="22"/>
                <w:szCs w:val="22"/>
              </w:rPr>
            </w:pPr>
            <w:r>
              <w:rPr>
                <w:rFonts w:ascii="Arial" w:eastAsia="Calibri" w:hAnsi="Arial" w:cs="Arial"/>
                <w:b/>
                <w:sz w:val="22"/>
                <w:szCs w:val="22"/>
              </w:rPr>
              <w:t>5.5.</w:t>
            </w:r>
            <w:r w:rsidR="001F6803">
              <w:rPr>
                <w:rFonts w:ascii="Arial" w:eastAsia="Calibri" w:hAnsi="Arial" w:cs="Arial"/>
                <w:b/>
                <w:sz w:val="22"/>
                <w:szCs w:val="22"/>
              </w:rPr>
              <w:t>3</w:t>
            </w:r>
            <w:r w:rsidRPr="00457014">
              <w:rPr>
                <w:rFonts w:ascii="Arial" w:eastAsia="Calibri" w:hAnsi="Arial" w:cs="Arial"/>
                <w:b/>
                <w:sz w:val="22"/>
                <w:szCs w:val="22"/>
              </w:rPr>
              <w:t xml:space="preserve"> Rozloha oblastí ČR s překročeným imisním limitem</w:t>
            </w:r>
          </w:p>
          <w:p w14:paraId="10B5A17E" w14:textId="77777777" w:rsidR="008C1375" w:rsidRPr="0007074B" w:rsidRDefault="008C1375" w:rsidP="007A7991">
            <w:pPr>
              <w:spacing w:line="276" w:lineRule="auto"/>
              <w:rPr>
                <w:rFonts w:ascii="Arial" w:eastAsia="Arial" w:hAnsi="Arial" w:cs="Arial"/>
                <w:color w:val="000000"/>
                <w:sz w:val="22"/>
                <w:szCs w:val="22"/>
              </w:rPr>
            </w:pPr>
          </w:p>
        </w:tc>
      </w:tr>
      <w:tr w:rsidR="008C1375" w:rsidRPr="0007074B" w14:paraId="635D45F7" w14:textId="77777777" w:rsidTr="007A7991">
        <w:tc>
          <w:tcPr>
            <w:tcW w:w="2802" w:type="dxa"/>
          </w:tcPr>
          <w:p w14:paraId="7DC0D4EA" w14:textId="77777777" w:rsidR="008C1375" w:rsidRPr="0007074B" w:rsidRDefault="008C1375" w:rsidP="007A7991">
            <w:pPr>
              <w:spacing w:line="276" w:lineRule="auto"/>
              <w:rPr>
                <w:rFonts w:ascii="Arial" w:hAnsi="Arial" w:cs="Arial"/>
                <w:sz w:val="22"/>
                <w:szCs w:val="22"/>
              </w:rPr>
            </w:pPr>
            <w:r w:rsidRPr="0007074B">
              <w:rPr>
                <w:rFonts w:ascii="Arial" w:hAnsi="Arial" w:cs="Arial"/>
                <w:sz w:val="22"/>
                <w:szCs w:val="22"/>
              </w:rPr>
              <w:t xml:space="preserve">Stručná definice: </w:t>
            </w:r>
          </w:p>
        </w:tc>
        <w:tc>
          <w:tcPr>
            <w:tcW w:w="6486" w:type="dxa"/>
          </w:tcPr>
          <w:p w14:paraId="69B517C1" w14:textId="77777777" w:rsidR="008C1375" w:rsidRPr="00375C6C" w:rsidRDefault="008C1375" w:rsidP="00FB6CF6">
            <w:pPr>
              <w:spacing w:line="276" w:lineRule="auto"/>
              <w:jc w:val="both"/>
              <w:rPr>
                <w:rFonts w:ascii="Arial" w:hAnsi="Arial" w:cs="Arial"/>
                <w:sz w:val="22"/>
                <w:szCs w:val="22"/>
              </w:rPr>
            </w:pPr>
            <w:r w:rsidRPr="00375C6C">
              <w:rPr>
                <w:rFonts w:ascii="Arial" w:hAnsi="Arial" w:cs="Arial"/>
                <w:sz w:val="22"/>
                <w:szCs w:val="22"/>
              </w:rPr>
              <w:t>Překračování imisních limitů stanovených platnou legislativou a vymezení podílu území a obyvatelstva žijících v těchto oblastech.</w:t>
            </w:r>
          </w:p>
        </w:tc>
      </w:tr>
      <w:tr w:rsidR="008C1375" w:rsidRPr="0007074B" w14:paraId="7F1C4487" w14:textId="77777777" w:rsidTr="007A7991">
        <w:tc>
          <w:tcPr>
            <w:tcW w:w="2802" w:type="dxa"/>
          </w:tcPr>
          <w:p w14:paraId="0C52026E" w14:textId="77777777" w:rsidR="008C1375" w:rsidRPr="0007074B" w:rsidRDefault="008C1375" w:rsidP="007A7991">
            <w:pPr>
              <w:spacing w:line="276" w:lineRule="auto"/>
              <w:rPr>
                <w:rFonts w:ascii="Arial" w:hAnsi="Arial" w:cs="Arial"/>
                <w:sz w:val="22"/>
                <w:szCs w:val="22"/>
              </w:rPr>
            </w:pPr>
            <w:r w:rsidRPr="0007074B">
              <w:rPr>
                <w:rFonts w:ascii="Arial" w:hAnsi="Arial" w:cs="Arial"/>
                <w:sz w:val="22"/>
                <w:szCs w:val="22"/>
              </w:rPr>
              <w:t>Jednotka:</w:t>
            </w:r>
          </w:p>
        </w:tc>
        <w:tc>
          <w:tcPr>
            <w:tcW w:w="6486" w:type="dxa"/>
          </w:tcPr>
          <w:p w14:paraId="4133E671" w14:textId="77777777" w:rsidR="008C1375" w:rsidRPr="00375C6C" w:rsidRDefault="008C1375" w:rsidP="00FB6CF6">
            <w:pPr>
              <w:spacing w:line="276" w:lineRule="auto"/>
              <w:jc w:val="both"/>
              <w:rPr>
                <w:rFonts w:ascii="Arial" w:hAnsi="Arial" w:cs="Arial"/>
                <w:sz w:val="22"/>
                <w:szCs w:val="22"/>
              </w:rPr>
            </w:pPr>
            <w:r>
              <w:rPr>
                <w:rFonts w:ascii="Arial" w:hAnsi="Arial" w:cs="Arial"/>
                <w:sz w:val="22"/>
                <w:szCs w:val="22"/>
              </w:rPr>
              <w:t xml:space="preserve">Podíl (v </w:t>
            </w:r>
            <w:r w:rsidRPr="00375C6C">
              <w:rPr>
                <w:rFonts w:ascii="Arial" w:hAnsi="Arial" w:cs="Arial"/>
                <w:sz w:val="22"/>
                <w:szCs w:val="22"/>
              </w:rPr>
              <w:t>%</w:t>
            </w:r>
            <w:r>
              <w:rPr>
                <w:rFonts w:ascii="Arial" w:hAnsi="Arial" w:cs="Arial"/>
                <w:sz w:val="22"/>
                <w:szCs w:val="22"/>
              </w:rPr>
              <w:t>)</w:t>
            </w:r>
          </w:p>
        </w:tc>
      </w:tr>
      <w:tr w:rsidR="008C1375" w:rsidRPr="0007074B" w14:paraId="1B832C53" w14:textId="77777777" w:rsidTr="007A7991">
        <w:tc>
          <w:tcPr>
            <w:tcW w:w="2802" w:type="dxa"/>
          </w:tcPr>
          <w:p w14:paraId="7A7DFA2E" w14:textId="77777777" w:rsidR="008C1375" w:rsidRPr="0007074B" w:rsidRDefault="008C1375" w:rsidP="007A7991">
            <w:pPr>
              <w:spacing w:line="276" w:lineRule="auto"/>
              <w:rPr>
                <w:rFonts w:ascii="Arial" w:hAnsi="Arial" w:cs="Arial"/>
                <w:sz w:val="22"/>
                <w:szCs w:val="22"/>
              </w:rPr>
            </w:pPr>
            <w:r w:rsidRPr="0007074B">
              <w:rPr>
                <w:rFonts w:ascii="Arial" w:hAnsi="Arial" w:cs="Arial"/>
                <w:sz w:val="22"/>
                <w:szCs w:val="22"/>
              </w:rPr>
              <w:t xml:space="preserve">Gestor: </w:t>
            </w:r>
          </w:p>
        </w:tc>
        <w:tc>
          <w:tcPr>
            <w:tcW w:w="6486" w:type="dxa"/>
          </w:tcPr>
          <w:p w14:paraId="4DF3C2C0" w14:textId="77777777" w:rsidR="008C1375" w:rsidRPr="00375C6C" w:rsidRDefault="008C1375" w:rsidP="00FB6CF6">
            <w:pPr>
              <w:spacing w:line="276" w:lineRule="auto"/>
              <w:jc w:val="both"/>
              <w:rPr>
                <w:rFonts w:ascii="Arial" w:hAnsi="Arial" w:cs="Arial"/>
                <w:sz w:val="22"/>
                <w:szCs w:val="22"/>
              </w:rPr>
            </w:pPr>
            <w:r>
              <w:rPr>
                <w:rFonts w:ascii="Arial" w:hAnsi="Arial" w:cs="Arial"/>
                <w:sz w:val="22"/>
                <w:szCs w:val="22"/>
              </w:rPr>
              <w:t xml:space="preserve">Ministerstvo životního prostředí </w:t>
            </w:r>
            <w:r w:rsidRPr="00375C6C">
              <w:rPr>
                <w:rFonts w:ascii="Arial" w:hAnsi="Arial" w:cs="Arial"/>
                <w:sz w:val="22"/>
                <w:szCs w:val="22"/>
              </w:rPr>
              <w:t>(</w:t>
            </w:r>
            <w:r w:rsidRPr="00D22265">
              <w:rPr>
                <w:rFonts w:ascii="Arial" w:hAnsi="Arial" w:cs="Arial"/>
                <w:sz w:val="22"/>
                <w:szCs w:val="22"/>
              </w:rPr>
              <w:t>Český hydrometeorologický ústav</w:t>
            </w:r>
            <w:r w:rsidRPr="00375C6C">
              <w:rPr>
                <w:rFonts w:ascii="Arial" w:hAnsi="Arial" w:cs="Arial"/>
                <w:sz w:val="22"/>
                <w:szCs w:val="22"/>
              </w:rPr>
              <w:t>)</w:t>
            </w:r>
          </w:p>
        </w:tc>
      </w:tr>
      <w:tr w:rsidR="008C1375" w:rsidRPr="0007074B" w14:paraId="2FB6063E" w14:textId="77777777" w:rsidTr="007A7991">
        <w:tc>
          <w:tcPr>
            <w:tcW w:w="2802" w:type="dxa"/>
          </w:tcPr>
          <w:p w14:paraId="12482733" w14:textId="77777777" w:rsidR="008C1375" w:rsidRPr="0007074B" w:rsidRDefault="008C1375" w:rsidP="007A7991">
            <w:pPr>
              <w:spacing w:line="276" w:lineRule="auto"/>
              <w:rPr>
                <w:rFonts w:ascii="Arial" w:hAnsi="Arial" w:cs="Arial"/>
                <w:sz w:val="22"/>
                <w:szCs w:val="22"/>
              </w:rPr>
            </w:pPr>
            <w:r w:rsidRPr="0007074B">
              <w:rPr>
                <w:rFonts w:ascii="Arial" w:hAnsi="Arial" w:cs="Arial"/>
                <w:sz w:val="22"/>
                <w:szCs w:val="22"/>
              </w:rPr>
              <w:t xml:space="preserve">Význam indikátoru: </w:t>
            </w:r>
          </w:p>
        </w:tc>
        <w:tc>
          <w:tcPr>
            <w:tcW w:w="6486" w:type="dxa"/>
          </w:tcPr>
          <w:p w14:paraId="75148818" w14:textId="77777777" w:rsidR="008C1375" w:rsidRPr="00375C6C" w:rsidRDefault="008C1375" w:rsidP="00FB6CF6">
            <w:pPr>
              <w:spacing w:line="276" w:lineRule="auto"/>
              <w:jc w:val="both"/>
              <w:rPr>
                <w:rFonts w:ascii="Arial" w:hAnsi="Arial" w:cs="Arial"/>
                <w:sz w:val="22"/>
                <w:szCs w:val="22"/>
              </w:rPr>
            </w:pPr>
            <w:r w:rsidRPr="00375C6C">
              <w:rPr>
                <w:rFonts w:ascii="Arial" w:hAnsi="Arial" w:cs="Arial"/>
                <w:sz w:val="22"/>
                <w:szCs w:val="22"/>
              </w:rPr>
              <w:t>Překračování imisních limitů úzce souvisí s produkcí emisí znečišťujících látek z jednotlivých zdrojů znečišťování, přičemž významnou roli hrají meteorologické a rozptylové podmínky. V oblastech, kde dochází k překračování imisních limitů</w:t>
            </w:r>
            <w:r>
              <w:rPr>
                <w:rFonts w:ascii="Arial" w:hAnsi="Arial" w:cs="Arial"/>
                <w:sz w:val="22"/>
                <w:szCs w:val="22"/>
              </w:rPr>
              <w:t>,</w:t>
            </w:r>
            <w:r w:rsidRPr="00375C6C">
              <w:rPr>
                <w:rFonts w:ascii="Arial" w:hAnsi="Arial" w:cs="Arial"/>
                <w:sz w:val="22"/>
                <w:szCs w:val="22"/>
              </w:rPr>
              <w:t xml:space="preserve"> jsou evidovány negativní účinky na lidské zdraví (kardiovaskulární, respirační potíže, karcinogenní rizika, atd.)</w:t>
            </w:r>
          </w:p>
        </w:tc>
      </w:tr>
      <w:tr w:rsidR="008C1375" w:rsidRPr="0007074B" w14:paraId="0EAEB28A" w14:textId="77777777" w:rsidTr="007A7991">
        <w:tc>
          <w:tcPr>
            <w:tcW w:w="2802" w:type="dxa"/>
          </w:tcPr>
          <w:p w14:paraId="751A465F" w14:textId="77777777" w:rsidR="008C1375" w:rsidRPr="0007074B" w:rsidRDefault="008C1375" w:rsidP="007A7991">
            <w:pPr>
              <w:spacing w:line="276" w:lineRule="auto"/>
              <w:rPr>
                <w:rFonts w:ascii="Arial" w:hAnsi="Arial" w:cs="Arial"/>
                <w:sz w:val="22"/>
                <w:szCs w:val="22"/>
              </w:rPr>
            </w:pPr>
            <w:r w:rsidRPr="0007074B">
              <w:rPr>
                <w:rFonts w:ascii="Arial" w:hAnsi="Arial" w:cs="Arial"/>
                <w:sz w:val="22"/>
                <w:szCs w:val="22"/>
              </w:rPr>
              <w:t xml:space="preserve">Časová řada: </w:t>
            </w:r>
          </w:p>
        </w:tc>
        <w:tc>
          <w:tcPr>
            <w:tcW w:w="6486" w:type="dxa"/>
          </w:tcPr>
          <w:p w14:paraId="0C0AA027" w14:textId="77777777" w:rsidR="008C1375" w:rsidRPr="00375C6C" w:rsidRDefault="008C1375" w:rsidP="00FB6CF6">
            <w:pPr>
              <w:spacing w:line="276" w:lineRule="auto"/>
              <w:jc w:val="both"/>
              <w:rPr>
                <w:rFonts w:ascii="Arial" w:hAnsi="Arial" w:cs="Arial"/>
                <w:sz w:val="22"/>
                <w:szCs w:val="22"/>
              </w:rPr>
            </w:pPr>
            <w:r>
              <w:rPr>
                <w:rFonts w:ascii="Arial" w:hAnsi="Arial" w:cs="Arial"/>
                <w:sz w:val="22"/>
                <w:szCs w:val="22"/>
              </w:rPr>
              <w:t>Od roku</w:t>
            </w:r>
            <w:r w:rsidRPr="00375C6C">
              <w:rPr>
                <w:rFonts w:ascii="Arial" w:hAnsi="Arial" w:cs="Arial"/>
                <w:sz w:val="22"/>
                <w:szCs w:val="22"/>
              </w:rPr>
              <w:t xml:space="preserve"> 2012</w:t>
            </w:r>
          </w:p>
        </w:tc>
      </w:tr>
      <w:tr w:rsidR="008C1375" w:rsidRPr="0007074B" w14:paraId="7A1B5079" w14:textId="77777777" w:rsidTr="007A7991">
        <w:tc>
          <w:tcPr>
            <w:tcW w:w="2802" w:type="dxa"/>
          </w:tcPr>
          <w:p w14:paraId="5F041EB7" w14:textId="77777777" w:rsidR="008C1375" w:rsidRPr="0007074B" w:rsidRDefault="008C1375" w:rsidP="007A7991">
            <w:pPr>
              <w:spacing w:line="276" w:lineRule="auto"/>
              <w:rPr>
                <w:rFonts w:ascii="Arial" w:hAnsi="Arial" w:cs="Arial"/>
                <w:sz w:val="22"/>
                <w:szCs w:val="22"/>
              </w:rPr>
            </w:pPr>
            <w:r w:rsidRPr="0007074B">
              <w:rPr>
                <w:rFonts w:ascii="Arial" w:hAnsi="Arial" w:cs="Arial"/>
                <w:sz w:val="22"/>
                <w:szCs w:val="22"/>
              </w:rPr>
              <w:t xml:space="preserve">Frekvence výstupu: </w:t>
            </w:r>
          </w:p>
        </w:tc>
        <w:tc>
          <w:tcPr>
            <w:tcW w:w="6486" w:type="dxa"/>
          </w:tcPr>
          <w:p w14:paraId="3C1B305E" w14:textId="77777777" w:rsidR="008C1375" w:rsidRPr="00375C6C" w:rsidRDefault="008C1375" w:rsidP="00FB6CF6">
            <w:pPr>
              <w:spacing w:line="276" w:lineRule="auto"/>
              <w:jc w:val="both"/>
              <w:rPr>
                <w:rFonts w:ascii="Arial" w:hAnsi="Arial" w:cs="Arial"/>
                <w:sz w:val="22"/>
                <w:szCs w:val="22"/>
              </w:rPr>
            </w:pPr>
            <w:r w:rsidRPr="00375C6C">
              <w:rPr>
                <w:rFonts w:ascii="Arial" w:hAnsi="Arial" w:cs="Arial"/>
                <w:sz w:val="22"/>
                <w:szCs w:val="22"/>
              </w:rPr>
              <w:t>Ročně</w:t>
            </w:r>
          </w:p>
        </w:tc>
      </w:tr>
      <w:tr w:rsidR="008C1375" w:rsidRPr="0007074B" w14:paraId="6A88C970" w14:textId="77777777" w:rsidTr="007A7991">
        <w:trPr>
          <w:trHeight w:val="70"/>
        </w:trPr>
        <w:tc>
          <w:tcPr>
            <w:tcW w:w="2802" w:type="dxa"/>
          </w:tcPr>
          <w:p w14:paraId="04EB395B" w14:textId="77777777" w:rsidR="008C1375" w:rsidRPr="0007074B" w:rsidRDefault="008C1375" w:rsidP="007A7991">
            <w:pPr>
              <w:spacing w:line="276" w:lineRule="auto"/>
              <w:rPr>
                <w:rFonts w:ascii="Arial" w:hAnsi="Arial" w:cs="Arial"/>
                <w:sz w:val="22"/>
                <w:szCs w:val="22"/>
              </w:rPr>
            </w:pPr>
            <w:r w:rsidRPr="0007074B">
              <w:rPr>
                <w:rFonts w:ascii="Arial" w:hAnsi="Arial" w:cs="Arial"/>
                <w:sz w:val="22"/>
                <w:szCs w:val="22"/>
              </w:rPr>
              <w:t xml:space="preserve">Členění indikátoru: </w:t>
            </w:r>
          </w:p>
        </w:tc>
        <w:tc>
          <w:tcPr>
            <w:tcW w:w="6486" w:type="dxa"/>
          </w:tcPr>
          <w:p w14:paraId="4F04143A" w14:textId="26A7D1A8" w:rsidR="008C1375" w:rsidRPr="00375C6C" w:rsidRDefault="00FB6CF6" w:rsidP="00FB6CF6">
            <w:pPr>
              <w:spacing w:line="276" w:lineRule="auto"/>
              <w:jc w:val="both"/>
              <w:rPr>
                <w:rFonts w:ascii="Arial" w:hAnsi="Arial" w:cs="Arial"/>
                <w:sz w:val="22"/>
                <w:szCs w:val="22"/>
              </w:rPr>
            </w:pPr>
            <w:r>
              <w:rPr>
                <w:rFonts w:ascii="Arial" w:hAnsi="Arial" w:cs="Arial"/>
                <w:sz w:val="22"/>
                <w:szCs w:val="22"/>
              </w:rPr>
              <w:t>Celostátně; o</w:t>
            </w:r>
            <w:r w:rsidR="008C1375" w:rsidRPr="00375C6C">
              <w:rPr>
                <w:rFonts w:ascii="Arial" w:hAnsi="Arial" w:cs="Arial"/>
                <w:sz w:val="22"/>
                <w:szCs w:val="22"/>
              </w:rPr>
              <w:t>blasti s překročeným imisním limitem pro jednotlivé látky dle platných právních předpisů (Oblasti s překročeným imisním limitem bez zahrnutí přízemního ozonu, se</w:t>
            </w:r>
            <w:r>
              <w:rPr>
                <w:rFonts w:ascii="Arial" w:hAnsi="Arial" w:cs="Arial"/>
                <w:sz w:val="22"/>
                <w:szCs w:val="22"/>
              </w:rPr>
              <w:t xml:space="preserve"> zahrnutím přízemního ozonu)</w:t>
            </w:r>
          </w:p>
        </w:tc>
      </w:tr>
      <w:tr w:rsidR="008C1375" w:rsidRPr="0007074B" w14:paraId="51C76F59" w14:textId="77777777" w:rsidTr="007A7991">
        <w:trPr>
          <w:trHeight w:val="70"/>
        </w:trPr>
        <w:tc>
          <w:tcPr>
            <w:tcW w:w="2802" w:type="dxa"/>
          </w:tcPr>
          <w:p w14:paraId="1CA4BBC2" w14:textId="77777777" w:rsidR="008C1375" w:rsidRPr="0007074B" w:rsidRDefault="008C1375" w:rsidP="007A7991">
            <w:pPr>
              <w:spacing w:line="276" w:lineRule="auto"/>
              <w:rPr>
                <w:rFonts w:ascii="Arial" w:hAnsi="Arial" w:cs="Arial"/>
                <w:sz w:val="22"/>
                <w:szCs w:val="22"/>
              </w:rPr>
            </w:pPr>
            <w:r w:rsidRPr="0007074B">
              <w:rPr>
                <w:rFonts w:ascii="Arial" w:hAnsi="Arial" w:cs="Arial"/>
                <w:sz w:val="22"/>
                <w:szCs w:val="22"/>
              </w:rPr>
              <w:t>Mezinárodní srovnání:</w:t>
            </w:r>
          </w:p>
        </w:tc>
        <w:tc>
          <w:tcPr>
            <w:tcW w:w="6486" w:type="dxa"/>
          </w:tcPr>
          <w:p w14:paraId="76C3D4CB" w14:textId="77777777" w:rsidR="008C1375" w:rsidRPr="00375C6C" w:rsidRDefault="008C1375" w:rsidP="00FB6CF6">
            <w:pPr>
              <w:spacing w:line="276" w:lineRule="auto"/>
              <w:jc w:val="both"/>
              <w:rPr>
                <w:rFonts w:ascii="Arial" w:hAnsi="Arial" w:cs="Arial"/>
                <w:sz w:val="22"/>
                <w:szCs w:val="22"/>
              </w:rPr>
            </w:pPr>
            <w:r w:rsidRPr="00D22265">
              <w:rPr>
                <w:rFonts w:ascii="Arial" w:hAnsi="Arial" w:cs="Arial"/>
                <w:sz w:val="22"/>
                <w:szCs w:val="22"/>
              </w:rPr>
              <w:t>Evropská agentura pro životní prostředí</w:t>
            </w:r>
          </w:p>
        </w:tc>
      </w:tr>
    </w:tbl>
    <w:p w14:paraId="6B07900E" w14:textId="77777777" w:rsidR="008C1375" w:rsidRPr="0007074B" w:rsidRDefault="008C1375" w:rsidP="008C1375">
      <w:pPr>
        <w:spacing w:line="276" w:lineRule="auto"/>
        <w:ind w:left="709"/>
        <w:jc w:val="both"/>
        <w:rPr>
          <w:rFonts w:ascii="Arial" w:eastAsia="Calibri" w:hAnsi="Arial" w:cs="Arial"/>
          <w:i/>
          <w:sz w:val="22"/>
          <w:szCs w:val="22"/>
        </w:rPr>
      </w:pPr>
    </w:p>
    <w:tbl>
      <w:tblPr>
        <w:tblStyle w:val="Mkatabulky"/>
        <w:tblW w:w="0" w:type="auto"/>
        <w:tblLook w:val="04A0" w:firstRow="1" w:lastRow="0" w:firstColumn="1" w:lastColumn="0" w:noHBand="0" w:noVBand="1"/>
      </w:tblPr>
      <w:tblGrid>
        <w:gridCol w:w="2802"/>
        <w:gridCol w:w="6486"/>
      </w:tblGrid>
      <w:tr w:rsidR="008C1375" w:rsidRPr="0007074B" w14:paraId="305CCE14" w14:textId="77777777" w:rsidTr="007A7991">
        <w:tc>
          <w:tcPr>
            <w:tcW w:w="2802" w:type="dxa"/>
          </w:tcPr>
          <w:p w14:paraId="1C2E6A6A" w14:textId="77777777" w:rsidR="008C1375" w:rsidRPr="0007074B" w:rsidRDefault="008C1375" w:rsidP="007A7991">
            <w:pPr>
              <w:spacing w:line="276" w:lineRule="auto"/>
              <w:rPr>
                <w:rFonts w:ascii="Arial" w:hAnsi="Arial" w:cs="Arial"/>
                <w:sz w:val="22"/>
                <w:szCs w:val="22"/>
              </w:rPr>
            </w:pPr>
            <w:r w:rsidRPr="0007074B">
              <w:rPr>
                <w:rFonts w:ascii="Arial" w:hAnsi="Arial" w:cs="Arial"/>
                <w:sz w:val="22"/>
                <w:szCs w:val="22"/>
              </w:rPr>
              <w:t xml:space="preserve">Název a označení indikátoru: </w:t>
            </w:r>
          </w:p>
        </w:tc>
        <w:tc>
          <w:tcPr>
            <w:tcW w:w="6486" w:type="dxa"/>
          </w:tcPr>
          <w:p w14:paraId="3BB52BC4" w14:textId="0A05B9A5" w:rsidR="008C1375" w:rsidRPr="00375C6C" w:rsidRDefault="008C1375" w:rsidP="007A7991">
            <w:pPr>
              <w:spacing w:line="276" w:lineRule="auto"/>
              <w:rPr>
                <w:rFonts w:ascii="Arial" w:eastAsia="Arial" w:hAnsi="Arial" w:cs="Arial"/>
                <w:b/>
                <w:color w:val="000000"/>
                <w:sz w:val="22"/>
                <w:szCs w:val="22"/>
              </w:rPr>
            </w:pPr>
            <w:r>
              <w:rPr>
                <w:rFonts w:ascii="Arial" w:eastAsia="Calibri" w:hAnsi="Arial" w:cs="Arial"/>
                <w:b/>
                <w:sz w:val="22"/>
                <w:szCs w:val="22"/>
              </w:rPr>
              <w:t>5.5.</w:t>
            </w:r>
            <w:r w:rsidR="001F6803">
              <w:rPr>
                <w:rFonts w:ascii="Arial" w:eastAsia="Calibri" w:hAnsi="Arial" w:cs="Arial"/>
                <w:b/>
                <w:sz w:val="22"/>
                <w:szCs w:val="22"/>
              </w:rPr>
              <w:t>4</w:t>
            </w:r>
            <w:r w:rsidRPr="00375C6C">
              <w:rPr>
                <w:rFonts w:ascii="Arial" w:eastAsia="Calibri" w:hAnsi="Arial" w:cs="Arial"/>
                <w:b/>
                <w:sz w:val="22"/>
                <w:szCs w:val="22"/>
              </w:rPr>
              <w:t xml:space="preserve"> Podíl obyvatel ČR žijících na území, kde jsou překračovány mezní hodnoty hlukových indikátorů </w:t>
            </w:r>
            <w:proofErr w:type="spellStart"/>
            <w:r w:rsidRPr="00375C6C">
              <w:rPr>
                <w:rFonts w:ascii="Arial" w:eastAsia="Calibri" w:hAnsi="Arial" w:cs="Arial"/>
                <w:b/>
                <w:sz w:val="22"/>
                <w:szCs w:val="22"/>
              </w:rPr>
              <w:t>Ldvn</w:t>
            </w:r>
            <w:proofErr w:type="spellEnd"/>
            <w:r w:rsidRPr="00375C6C">
              <w:rPr>
                <w:rFonts w:ascii="Arial" w:eastAsia="Calibri" w:hAnsi="Arial" w:cs="Arial"/>
                <w:b/>
                <w:sz w:val="22"/>
                <w:szCs w:val="22"/>
              </w:rPr>
              <w:t xml:space="preserve"> a </w:t>
            </w:r>
            <w:proofErr w:type="spellStart"/>
            <w:r w:rsidRPr="00375C6C">
              <w:rPr>
                <w:rFonts w:ascii="Arial" w:eastAsia="Calibri" w:hAnsi="Arial" w:cs="Arial"/>
                <w:b/>
                <w:sz w:val="22"/>
                <w:szCs w:val="22"/>
              </w:rPr>
              <w:t>Ln</w:t>
            </w:r>
            <w:proofErr w:type="spellEnd"/>
            <w:r w:rsidRPr="00375C6C">
              <w:rPr>
                <w:rFonts w:ascii="Arial" w:eastAsia="Calibri" w:hAnsi="Arial" w:cs="Arial"/>
                <w:b/>
                <w:sz w:val="22"/>
                <w:szCs w:val="22"/>
              </w:rPr>
              <w:t xml:space="preserve"> pro silniční dopravu</w:t>
            </w:r>
            <w:r w:rsidRPr="00375C6C">
              <w:rPr>
                <w:rFonts w:ascii="Arial" w:eastAsia="Arial" w:hAnsi="Arial" w:cs="Arial"/>
                <w:b/>
                <w:color w:val="000000"/>
                <w:sz w:val="22"/>
                <w:szCs w:val="22"/>
              </w:rPr>
              <w:t xml:space="preserve"> </w:t>
            </w:r>
          </w:p>
        </w:tc>
      </w:tr>
      <w:tr w:rsidR="008C1375" w:rsidRPr="0007074B" w14:paraId="2F3160D9" w14:textId="77777777" w:rsidTr="007A7991">
        <w:tc>
          <w:tcPr>
            <w:tcW w:w="2802" w:type="dxa"/>
          </w:tcPr>
          <w:p w14:paraId="735AA0DE" w14:textId="77777777" w:rsidR="008C1375" w:rsidRPr="0007074B" w:rsidRDefault="008C1375" w:rsidP="007A7991">
            <w:pPr>
              <w:spacing w:line="276" w:lineRule="auto"/>
              <w:rPr>
                <w:rFonts w:ascii="Arial" w:hAnsi="Arial" w:cs="Arial"/>
                <w:sz w:val="22"/>
                <w:szCs w:val="22"/>
              </w:rPr>
            </w:pPr>
            <w:r w:rsidRPr="0007074B">
              <w:rPr>
                <w:rFonts w:ascii="Arial" w:hAnsi="Arial" w:cs="Arial"/>
                <w:sz w:val="22"/>
                <w:szCs w:val="22"/>
              </w:rPr>
              <w:t xml:space="preserve">Stručná definice: </w:t>
            </w:r>
          </w:p>
        </w:tc>
        <w:tc>
          <w:tcPr>
            <w:tcW w:w="6486" w:type="dxa"/>
          </w:tcPr>
          <w:p w14:paraId="76DA490D" w14:textId="77777777" w:rsidR="008C1375" w:rsidRPr="00375C6C" w:rsidRDefault="008C1375" w:rsidP="00ED673D">
            <w:pPr>
              <w:spacing w:line="276" w:lineRule="auto"/>
              <w:jc w:val="both"/>
              <w:rPr>
                <w:rFonts w:ascii="Arial" w:hAnsi="Arial" w:cs="Arial"/>
                <w:sz w:val="22"/>
                <w:szCs w:val="22"/>
              </w:rPr>
            </w:pPr>
            <w:r w:rsidRPr="00375C6C">
              <w:rPr>
                <w:rFonts w:ascii="Arial" w:hAnsi="Arial" w:cs="Arial"/>
                <w:sz w:val="22"/>
                <w:szCs w:val="22"/>
              </w:rPr>
              <w:t xml:space="preserve">Počet obyvatel exponovaných stanoveným úrovním hlukové </w:t>
            </w:r>
            <w:r>
              <w:rPr>
                <w:rFonts w:ascii="Arial" w:hAnsi="Arial" w:cs="Arial"/>
                <w:sz w:val="22"/>
                <w:szCs w:val="22"/>
              </w:rPr>
              <w:t xml:space="preserve">zátěže dle indikátorů </w:t>
            </w:r>
            <w:proofErr w:type="spellStart"/>
            <w:r>
              <w:rPr>
                <w:rFonts w:ascii="Arial" w:hAnsi="Arial" w:cs="Arial"/>
                <w:sz w:val="22"/>
                <w:szCs w:val="22"/>
              </w:rPr>
              <w:t>Ldvn</w:t>
            </w:r>
            <w:proofErr w:type="spellEnd"/>
            <w:r>
              <w:rPr>
                <w:rFonts w:ascii="Arial" w:hAnsi="Arial" w:cs="Arial"/>
                <w:sz w:val="22"/>
                <w:szCs w:val="22"/>
              </w:rPr>
              <w:t xml:space="preserve"> a </w:t>
            </w:r>
            <w:proofErr w:type="spellStart"/>
            <w:r>
              <w:rPr>
                <w:rFonts w:ascii="Arial" w:hAnsi="Arial" w:cs="Arial"/>
                <w:sz w:val="22"/>
                <w:szCs w:val="22"/>
              </w:rPr>
              <w:t>Ln</w:t>
            </w:r>
            <w:proofErr w:type="spellEnd"/>
            <w:r w:rsidRPr="00375C6C">
              <w:rPr>
                <w:rFonts w:ascii="Arial" w:hAnsi="Arial" w:cs="Arial"/>
                <w:sz w:val="22"/>
                <w:szCs w:val="22"/>
              </w:rPr>
              <w:t>,</w:t>
            </w:r>
            <w:r>
              <w:rPr>
                <w:rFonts w:ascii="Arial" w:hAnsi="Arial" w:cs="Arial"/>
                <w:sz w:val="22"/>
                <w:szCs w:val="22"/>
              </w:rPr>
              <w:t xml:space="preserve"> </w:t>
            </w:r>
            <w:r w:rsidRPr="00375C6C">
              <w:rPr>
                <w:rFonts w:ascii="Arial" w:hAnsi="Arial" w:cs="Arial"/>
                <w:sz w:val="22"/>
                <w:szCs w:val="22"/>
              </w:rPr>
              <w:t>počet obyvatel vystavených hluku, který přesahuje mezní hodnoty těchto indikátorů</w:t>
            </w:r>
          </w:p>
        </w:tc>
      </w:tr>
      <w:tr w:rsidR="008C1375" w:rsidRPr="0007074B" w14:paraId="52A2A6AB" w14:textId="77777777" w:rsidTr="007A7991">
        <w:tc>
          <w:tcPr>
            <w:tcW w:w="2802" w:type="dxa"/>
          </w:tcPr>
          <w:p w14:paraId="145D38AE" w14:textId="77777777" w:rsidR="008C1375" w:rsidRPr="0007074B" w:rsidRDefault="008C1375" w:rsidP="007A7991">
            <w:pPr>
              <w:spacing w:line="276" w:lineRule="auto"/>
              <w:rPr>
                <w:rFonts w:ascii="Arial" w:hAnsi="Arial" w:cs="Arial"/>
                <w:sz w:val="22"/>
                <w:szCs w:val="22"/>
              </w:rPr>
            </w:pPr>
            <w:r w:rsidRPr="0007074B">
              <w:rPr>
                <w:rFonts w:ascii="Arial" w:hAnsi="Arial" w:cs="Arial"/>
                <w:sz w:val="22"/>
                <w:szCs w:val="22"/>
              </w:rPr>
              <w:t>Jednotka:</w:t>
            </w:r>
          </w:p>
        </w:tc>
        <w:tc>
          <w:tcPr>
            <w:tcW w:w="6486" w:type="dxa"/>
          </w:tcPr>
          <w:p w14:paraId="57542880" w14:textId="77777777" w:rsidR="008C1375" w:rsidRPr="00375C6C" w:rsidRDefault="008C1375" w:rsidP="00ED673D">
            <w:pPr>
              <w:spacing w:line="276" w:lineRule="auto"/>
              <w:jc w:val="both"/>
              <w:rPr>
                <w:rFonts w:ascii="Arial" w:hAnsi="Arial" w:cs="Arial"/>
                <w:sz w:val="22"/>
                <w:szCs w:val="22"/>
              </w:rPr>
            </w:pPr>
            <w:r>
              <w:rPr>
                <w:rFonts w:ascii="Arial" w:hAnsi="Arial" w:cs="Arial"/>
                <w:sz w:val="22"/>
                <w:szCs w:val="22"/>
              </w:rPr>
              <w:t xml:space="preserve">Podíl (v </w:t>
            </w:r>
            <w:r w:rsidRPr="00375C6C">
              <w:rPr>
                <w:rFonts w:ascii="Arial" w:hAnsi="Arial" w:cs="Arial"/>
                <w:sz w:val="22"/>
                <w:szCs w:val="22"/>
              </w:rPr>
              <w:t>%</w:t>
            </w:r>
            <w:r>
              <w:rPr>
                <w:rFonts w:ascii="Arial" w:hAnsi="Arial" w:cs="Arial"/>
                <w:sz w:val="22"/>
                <w:szCs w:val="22"/>
              </w:rPr>
              <w:t>)</w:t>
            </w:r>
          </w:p>
        </w:tc>
      </w:tr>
      <w:tr w:rsidR="008C1375" w:rsidRPr="0007074B" w14:paraId="56A861B9" w14:textId="77777777" w:rsidTr="007A7991">
        <w:tc>
          <w:tcPr>
            <w:tcW w:w="2802" w:type="dxa"/>
          </w:tcPr>
          <w:p w14:paraId="44E0C4BD" w14:textId="77777777" w:rsidR="008C1375" w:rsidRPr="0007074B" w:rsidRDefault="008C1375" w:rsidP="007A7991">
            <w:pPr>
              <w:spacing w:line="276" w:lineRule="auto"/>
              <w:rPr>
                <w:rFonts w:ascii="Arial" w:hAnsi="Arial" w:cs="Arial"/>
                <w:sz w:val="22"/>
                <w:szCs w:val="22"/>
              </w:rPr>
            </w:pPr>
            <w:r w:rsidRPr="0007074B">
              <w:rPr>
                <w:rFonts w:ascii="Arial" w:hAnsi="Arial" w:cs="Arial"/>
                <w:sz w:val="22"/>
                <w:szCs w:val="22"/>
              </w:rPr>
              <w:lastRenderedPageBreak/>
              <w:t xml:space="preserve">Gestor: </w:t>
            </w:r>
          </w:p>
        </w:tc>
        <w:tc>
          <w:tcPr>
            <w:tcW w:w="6486" w:type="dxa"/>
          </w:tcPr>
          <w:p w14:paraId="7DE85F99" w14:textId="79E7E65F" w:rsidR="008C1375" w:rsidRPr="00375C6C" w:rsidRDefault="008C1375" w:rsidP="00ED673D">
            <w:pPr>
              <w:spacing w:line="276" w:lineRule="auto"/>
              <w:jc w:val="both"/>
              <w:rPr>
                <w:rFonts w:ascii="Arial" w:hAnsi="Arial" w:cs="Arial"/>
                <w:sz w:val="22"/>
                <w:szCs w:val="22"/>
              </w:rPr>
            </w:pPr>
            <w:r>
              <w:rPr>
                <w:rFonts w:ascii="Arial" w:hAnsi="Arial" w:cs="Arial"/>
                <w:sz w:val="22"/>
                <w:szCs w:val="22"/>
              </w:rPr>
              <w:t>Ministerstvo zdravotnictví (</w:t>
            </w:r>
            <w:r w:rsidR="00EB2BE3" w:rsidRPr="00EB2BE3">
              <w:rPr>
                <w:rFonts w:ascii="Arial" w:hAnsi="Arial" w:cs="Arial"/>
                <w:sz w:val="22"/>
                <w:szCs w:val="22"/>
              </w:rPr>
              <w:t>Národní referenční laboratoř</w:t>
            </w:r>
            <w:r w:rsidR="00EB2BE3">
              <w:rPr>
                <w:rFonts w:ascii="Arial" w:hAnsi="Arial" w:cs="Arial"/>
                <w:sz w:val="22"/>
                <w:szCs w:val="22"/>
              </w:rPr>
              <w:t xml:space="preserve"> pro komunální hluk</w:t>
            </w:r>
            <w:r>
              <w:rPr>
                <w:rFonts w:ascii="Arial" w:hAnsi="Arial" w:cs="Arial"/>
                <w:sz w:val="22"/>
                <w:szCs w:val="22"/>
              </w:rPr>
              <w:t>) / Ministerstvo životního prostředí (CENIA</w:t>
            </w:r>
            <w:r w:rsidRPr="00375C6C">
              <w:rPr>
                <w:rFonts w:ascii="Arial" w:hAnsi="Arial" w:cs="Arial"/>
                <w:sz w:val="22"/>
                <w:szCs w:val="22"/>
              </w:rPr>
              <w:t>)</w:t>
            </w:r>
          </w:p>
        </w:tc>
      </w:tr>
      <w:tr w:rsidR="008C1375" w:rsidRPr="0007074B" w14:paraId="46E1528D" w14:textId="77777777" w:rsidTr="007A7991">
        <w:tc>
          <w:tcPr>
            <w:tcW w:w="2802" w:type="dxa"/>
          </w:tcPr>
          <w:p w14:paraId="14B9DAD7" w14:textId="77777777" w:rsidR="008C1375" w:rsidRPr="0007074B" w:rsidRDefault="008C1375" w:rsidP="007A7991">
            <w:pPr>
              <w:spacing w:line="276" w:lineRule="auto"/>
              <w:rPr>
                <w:rFonts w:ascii="Arial" w:hAnsi="Arial" w:cs="Arial"/>
                <w:sz w:val="22"/>
                <w:szCs w:val="22"/>
              </w:rPr>
            </w:pPr>
            <w:r w:rsidRPr="0007074B">
              <w:rPr>
                <w:rFonts w:ascii="Arial" w:hAnsi="Arial" w:cs="Arial"/>
                <w:sz w:val="22"/>
                <w:szCs w:val="22"/>
              </w:rPr>
              <w:t xml:space="preserve">Význam indikátoru: </w:t>
            </w:r>
          </w:p>
        </w:tc>
        <w:tc>
          <w:tcPr>
            <w:tcW w:w="6486" w:type="dxa"/>
          </w:tcPr>
          <w:p w14:paraId="390D1B69" w14:textId="77777777" w:rsidR="008C1375" w:rsidRPr="00375C6C" w:rsidRDefault="008C1375" w:rsidP="00ED673D">
            <w:pPr>
              <w:spacing w:line="276" w:lineRule="auto"/>
              <w:jc w:val="both"/>
              <w:rPr>
                <w:rFonts w:ascii="Arial" w:hAnsi="Arial" w:cs="Arial"/>
                <w:sz w:val="22"/>
                <w:szCs w:val="22"/>
              </w:rPr>
            </w:pPr>
            <w:r w:rsidRPr="00375C6C">
              <w:rPr>
                <w:rFonts w:ascii="Arial" w:hAnsi="Arial" w:cs="Arial"/>
                <w:sz w:val="22"/>
                <w:szCs w:val="22"/>
              </w:rPr>
              <w:t>V současné době patří hluk k významným ukazatelům kvality životního prostředí a faktorům ovlivňujícím zdraví obyvatel.</w:t>
            </w:r>
          </w:p>
        </w:tc>
      </w:tr>
      <w:tr w:rsidR="008C1375" w:rsidRPr="0007074B" w14:paraId="2FD802A5" w14:textId="77777777" w:rsidTr="007A7991">
        <w:tc>
          <w:tcPr>
            <w:tcW w:w="2802" w:type="dxa"/>
          </w:tcPr>
          <w:p w14:paraId="4D28C908" w14:textId="77777777" w:rsidR="008C1375" w:rsidRPr="0007074B" w:rsidRDefault="008C1375" w:rsidP="007A7991">
            <w:pPr>
              <w:spacing w:line="276" w:lineRule="auto"/>
              <w:rPr>
                <w:rFonts w:ascii="Arial" w:hAnsi="Arial" w:cs="Arial"/>
                <w:sz w:val="22"/>
                <w:szCs w:val="22"/>
              </w:rPr>
            </w:pPr>
            <w:r w:rsidRPr="0007074B">
              <w:rPr>
                <w:rFonts w:ascii="Arial" w:hAnsi="Arial" w:cs="Arial"/>
                <w:sz w:val="22"/>
                <w:szCs w:val="22"/>
              </w:rPr>
              <w:t xml:space="preserve">Časová řada: </w:t>
            </w:r>
          </w:p>
        </w:tc>
        <w:tc>
          <w:tcPr>
            <w:tcW w:w="6486" w:type="dxa"/>
          </w:tcPr>
          <w:p w14:paraId="30B521A2" w14:textId="77777777" w:rsidR="008C1375" w:rsidRPr="00375C6C" w:rsidRDefault="008C1375" w:rsidP="00ED673D">
            <w:pPr>
              <w:spacing w:line="276" w:lineRule="auto"/>
              <w:jc w:val="both"/>
              <w:rPr>
                <w:rFonts w:ascii="Arial" w:hAnsi="Arial" w:cs="Arial"/>
                <w:sz w:val="22"/>
                <w:szCs w:val="22"/>
              </w:rPr>
            </w:pPr>
            <w:r w:rsidRPr="00375C6C">
              <w:rPr>
                <w:rFonts w:ascii="Arial" w:hAnsi="Arial" w:cs="Arial"/>
                <w:sz w:val="22"/>
                <w:szCs w:val="22"/>
              </w:rPr>
              <w:t>Aktuálně dostupná data Strategického hlukového mapování neumožňují hodnotit trendy hlukové zátěže, jelikož nejsou pořízena v delší časové řadě a dle jednotné metodiky ve více obdobích</w:t>
            </w:r>
          </w:p>
        </w:tc>
      </w:tr>
      <w:tr w:rsidR="008C1375" w:rsidRPr="0007074B" w14:paraId="3ADDFEDC" w14:textId="77777777" w:rsidTr="007A7991">
        <w:tc>
          <w:tcPr>
            <w:tcW w:w="2802" w:type="dxa"/>
          </w:tcPr>
          <w:p w14:paraId="0CEA2FAA" w14:textId="77777777" w:rsidR="008C1375" w:rsidRPr="0007074B" w:rsidRDefault="008C1375" w:rsidP="007A7991">
            <w:pPr>
              <w:spacing w:line="276" w:lineRule="auto"/>
              <w:rPr>
                <w:rFonts w:ascii="Arial" w:hAnsi="Arial" w:cs="Arial"/>
                <w:sz w:val="22"/>
                <w:szCs w:val="22"/>
              </w:rPr>
            </w:pPr>
            <w:r w:rsidRPr="0007074B">
              <w:rPr>
                <w:rFonts w:ascii="Arial" w:hAnsi="Arial" w:cs="Arial"/>
                <w:sz w:val="22"/>
                <w:szCs w:val="22"/>
              </w:rPr>
              <w:t xml:space="preserve">Frekvence výstupu: </w:t>
            </w:r>
          </w:p>
        </w:tc>
        <w:tc>
          <w:tcPr>
            <w:tcW w:w="6486" w:type="dxa"/>
          </w:tcPr>
          <w:p w14:paraId="0F333752" w14:textId="77777777" w:rsidR="008C1375" w:rsidRPr="00375C6C" w:rsidRDefault="008C1375" w:rsidP="00ED673D">
            <w:pPr>
              <w:spacing w:line="276" w:lineRule="auto"/>
              <w:jc w:val="both"/>
              <w:rPr>
                <w:rFonts w:ascii="Arial" w:hAnsi="Arial" w:cs="Arial"/>
                <w:sz w:val="22"/>
                <w:szCs w:val="22"/>
              </w:rPr>
            </w:pPr>
            <w:r w:rsidRPr="00375C6C">
              <w:rPr>
                <w:rFonts w:ascii="Arial" w:hAnsi="Arial" w:cs="Arial"/>
                <w:sz w:val="22"/>
                <w:szCs w:val="22"/>
              </w:rPr>
              <w:t>Dle ukončených fází Strategického hlukového mapování.</w:t>
            </w:r>
          </w:p>
        </w:tc>
      </w:tr>
      <w:tr w:rsidR="008C1375" w:rsidRPr="0007074B" w14:paraId="58BFC6D8" w14:textId="77777777" w:rsidTr="007A7991">
        <w:trPr>
          <w:trHeight w:val="70"/>
        </w:trPr>
        <w:tc>
          <w:tcPr>
            <w:tcW w:w="2802" w:type="dxa"/>
          </w:tcPr>
          <w:p w14:paraId="71870EFE" w14:textId="77777777" w:rsidR="008C1375" w:rsidRPr="0007074B" w:rsidRDefault="008C1375" w:rsidP="007A7991">
            <w:pPr>
              <w:spacing w:line="276" w:lineRule="auto"/>
              <w:rPr>
                <w:rFonts w:ascii="Arial" w:hAnsi="Arial" w:cs="Arial"/>
                <w:sz w:val="22"/>
                <w:szCs w:val="22"/>
              </w:rPr>
            </w:pPr>
            <w:r w:rsidRPr="0007074B">
              <w:rPr>
                <w:rFonts w:ascii="Arial" w:hAnsi="Arial" w:cs="Arial"/>
                <w:sz w:val="22"/>
                <w:szCs w:val="22"/>
              </w:rPr>
              <w:t xml:space="preserve">Členění indikátoru: </w:t>
            </w:r>
          </w:p>
        </w:tc>
        <w:tc>
          <w:tcPr>
            <w:tcW w:w="6486" w:type="dxa"/>
          </w:tcPr>
          <w:p w14:paraId="655714A4" w14:textId="77777777" w:rsidR="008C1375" w:rsidRPr="00375C6C" w:rsidRDefault="008C1375" w:rsidP="00ED673D">
            <w:pPr>
              <w:spacing w:line="276" w:lineRule="auto"/>
              <w:jc w:val="both"/>
              <w:rPr>
                <w:rFonts w:ascii="Arial" w:hAnsi="Arial" w:cs="Arial"/>
                <w:sz w:val="22"/>
                <w:szCs w:val="22"/>
              </w:rPr>
            </w:pPr>
            <w:r w:rsidRPr="00375C6C">
              <w:rPr>
                <w:rFonts w:ascii="Arial" w:hAnsi="Arial" w:cs="Arial"/>
                <w:sz w:val="22"/>
                <w:szCs w:val="22"/>
              </w:rPr>
              <w:t>Pro jednotlivé kategorie zdrojů hluku (silniční doprava, železniční doprava, letecká doprava, integrovaná zařízení), v městských aglomeracích a mimo aglomerace.</w:t>
            </w:r>
          </w:p>
        </w:tc>
      </w:tr>
      <w:tr w:rsidR="008C1375" w:rsidRPr="0007074B" w14:paraId="42F9E4AE" w14:textId="77777777" w:rsidTr="007A7991">
        <w:trPr>
          <w:trHeight w:val="70"/>
        </w:trPr>
        <w:tc>
          <w:tcPr>
            <w:tcW w:w="2802" w:type="dxa"/>
          </w:tcPr>
          <w:p w14:paraId="503C428E" w14:textId="77777777" w:rsidR="008C1375" w:rsidRPr="0007074B" w:rsidRDefault="008C1375" w:rsidP="007A7991">
            <w:pPr>
              <w:spacing w:line="276" w:lineRule="auto"/>
              <w:rPr>
                <w:rFonts w:ascii="Arial" w:hAnsi="Arial" w:cs="Arial"/>
                <w:sz w:val="22"/>
                <w:szCs w:val="22"/>
              </w:rPr>
            </w:pPr>
            <w:r w:rsidRPr="0007074B">
              <w:rPr>
                <w:rFonts w:ascii="Arial" w:hAnsi="Arial" w:cs="Arial"/>
                <w:sz w:val="22"/>
                <w:szCs w:val="22"/>
              </w:rPr>
              <w:t>Mezinárodní srovnání:</w:t>
            </w:r>
          </w:p>
        </w:tc>
        <w:tc>
          <w:tcPr>
            <w:tcW w:w="6486" w:type="dxa"/>
          </w:tcPr>
          <w:p w14:paraId="32D2259E" w14:textId="77777777" w:rsidR="008C1375" w:rsidRPr="00375C6C" w:rsidRDefault="008C1375" w:rsidP="00ED673D">
            <w:pPr>
              <w:spacing w:line="276" w:lineRule="auto"/>
              <w:jc w:val="both"/>
              <w:rPr>
                <w:rFonts w:ascii="Arial" w:hAnsi="Arial" w:cs="Arial"/>
                <w:sz w:val="22"/>
                <w:szCs w:val="22"/>
              </w:rPr>
            </w:pPr>
            <w:r w:rsidRPr="00D22265">
              <w:rPr>
                <w:rFonts w:ascii="Arial" w:hAnsi="Arial" w:cs="Arial"/>
                <w:sz w:val="22"/>
                <w:szCs w:val="22"/>
              </w:rPr>
              <w:t>Evropská agentura pro životní prostředí</w:t>
            </w:r>
          </w:p>
        </w:tc>
      </w:tr>
    </w:tbl>
    <w:p w14:paraId="4EA59D4B" w14:textId="77777777" w:rsidR="00E86883" w:rsidRDefault="00550B46" w:rsidP="00ED673D">
      <w:pPr>
        <w:pStyle w:val="r2030cle"/>
        <w:numPr>
          <w:ilvl w:val="0"/>
          <w:numId w:val="17"/>
        </w:numPr>
        <w:ind w:left="567" w:hanging="425"/>
        <w:jc w:val="both"/>
      </w:pPr>
      <w:r>
        <w:t>Vyšší v</w:t>
      </w:r>
      <w:r w:rsidR="00735419">
        <w:t xml:space="preserve">eřejné investice podporují klíčové funkce kultury a rovný přístup ke kultuře a kreativitě. </w:t>
      </w:r>
    </w:p>
    <w:p w14:paraId="4290349E" w14:textId="4D230CD8" w:rsidR="00E86883" w:rsidRDefault="00F47B27" w:rsidP="00ED673D">
      <w:pPr>
        <w:pStyle w:val="r2030podcle"/>
        <w:numPr>
          <w:ilvl w:val="1"/>
          <w:numId w:val="17"/>
        </w:numPr>
        <w:ind w:left="567" w:hanging="425"/>
        <w:jc w:val="both"/>
        <w:rPr>
          <w:b/>
        </w:rPr>
      </w:pPr>
      <w:r w:rsidRPr="00F47B27">
        <w:t xml:space="preserve">Do oblasti kultury směřují vyšší veřejné výdaje a posilují možnosti dlouhodobého finančního plánování kulturních </w:t>
      </w:r>
      <w:r w:rsidR="001731DC">
        <w:t>organizací</w:t>
      </w:r>
      <w:r w:rsidRPr="00F47B27">
        <w:t xml:space="preserve">. </w:t>
      </w:r>
    </w:p>
    <w:tbl>
      <w:tblPr>
        <w:tblStyle w:val="Mkatabulky"/>
        <w:tblW w:w="0" w:type="auto"/>
        <w:tblLook w:val="04A0" w:firstRow="1" w:lastRow="0" w:firstColumn="1" w:lastColumn="0" w:noHBand="0" w:noVBand="1"/>
      </w:tblPr>
      <w:tblGrid>
        <w:gridCol w:w="2802"/>
        <w:gridCol w:w="6486"/>
      </w:tblGrid>
      <w:tr w:rsidR="00E86883" w:rsidRPr="00E86883" w14:paraId="3DDEE397" w14:textId="77777777" w:rsidTr="008D14FE">
        <w:tc>
          <w:tcPr>
            <w:tcW w:w="2802" w:type="dxa"/>
          </w:tcPr>
          <w:p w14:paraId="313F5A3B"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Název a označení indikátoru: </w:t>
            </w:r>
          </w:p>
        </w:tc>
        <w:tc>
          <w:tcPr>
            <w:tcW w:w="6486" w:type="dxa"/>
          </w:tcPr>
          <w:p w14:paraId="66755230" w14:textId="77777777" w:rsidR="00E86883" w:rsidRPr="00E86883" w:rsidRDefault="00E86883" w:rsidP="00C51B65">
            <w:pPr>
              <w:spacing w:line="276" w:lineRule="auto"/>
              <w:contextualSpacing/>
              <w:rPr>
                <w:rFonts w:ascii="Arial" w:hAnsi="Arial" w:cs="Arial"/>
                <w:b/>
                <w:sz w:val="22"/>
                <w:szCs w:val="22"/>
              </w:rPr>
            </w:pPr>
            <w:r w:rsidRPr="00E86883">
              <w:rPr>
                <w:rFonts w:ascii="Arial" w:hAnsi="Arial" w:cs="Arial"/>
                <w:b/>
                <w:sz w:val="22"/>
                <w:szCs w:val="22"/>
              </w:rPr>
              <w:t xml:space="preserve">6.1.1 Veřejné výdaje do oblasti kultury </w:t>
            </w:r>
          </w:p>
        </w:tc>
      </w:tr>
      <w:tr w:rsidR="00E86883" w:rsidRPr="00E86883" w14:paraId="359BB4B7" w14:textId="77777777" w:rsidTr="008D14FE">
        <w:tc>
          <w:tcPr>
            <w:tcW w:w="2802" w:type="dxa"/>
          </w:tcPr>
          <w:p w14:paraId="2ACDDDC4"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Stručná definice: </w:t>
            </w:r>
          </w:p>
        </w:tc>
        <w:tc>
          <w:tcPr>
            <w:tcW w:w="6486" w:type="dxa"/>
          </w:tcPr>
          <w:p w14:paraId="36C16DBD" w14:textId="77777777" w:rsidR="00E86883" w:rsidRPr="00E86883" w:rsidRDefault="00E86883" w:rsidP="00ED673D">
            <w:pPr>
              <w:spacing w:line="276" w:lineRule="auto"/>
              <w:jc w:val="both"/>
              <w:rPr>
                <w:rFonts w:ascii="Arial" w:hAnsi="Arial" w:cs="Arial"/>
                <w:sz w:val="22"/>
                <w:szCs w:val="22"/>
              </w:rPr>
            </w:pPr>
            <w:r w:rsidRPr="00E86883">
              <w:rPr>
                <w:rFonts w:ascii="Arial" w:hAnsi="Arial" w:cs="Arial"/>
                <w:sz w:val="22"/>
                <w:szCs w:val="22"/>
              </w:rPr>
              <w:t>Objem finančních prostředků vynaložených veřejnou správou na podporu kultury</w:t>
            </w:r>
          </w:p>
        </w:tc>
      </w:tr>
      <w:tr w:rsidR="00E86883" w:rsidRPr="00E86883" w14:paraId="7A3DE9AD" w14:textId="77777777" w:rsidTr="008D14FE">
        <w:tc>
          <w:tcPr>
            <w:tcW w:w="2802" w:type="dxa"/>
          </w:tcPr>
          <w:p w14:paraId="3170AE24"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Jednotka:</w:t>
            </w:r>
          </w:p>
        </w:tc>
        <w:tc>
          <w:tcPr>
            <w:tcW w:w="6486" w:type="dxa"/>
          </w:tcPr>
          <w:p w14:paraId="4AD576DD" w14:textId="77777777" w:rsidR="00E86883" w:rsidRPr="00E86883" w:rsidRDefault="000E1278" w:rsidP="00ED673D">
            <w:pPr>
              <w:spacing w:line="276" w:lineRule="auto"/>
              <w:jc w:val="both"/>
              <w:rPr>
                <w:rFonts w:ascii="Arial" w:hAnsi="Arial" w:cs="Arial"/>
                <w:sz w:val="22"/>
                <w:szCs w:val="22"/>
              </w:rPr>
            </w:pPr>
            <w:r>
              <w:rPr>
                <w:rFonts w:ascii="Arial" w:hAnsi="Arial" w:cs="Arial"/>
                <w:sz w:val="22"/>
                <w:szCs w:val="22"/>
              </w:rPr>
              <w:t xml:space="preserve">Podíl (v %), </w:t>
            </w:r>
            <w:r w:rsidR="00E86883" w:rsidRPr="00E86883">
              <w:rPr>
                <w:rFonts w:ascii="Arial" w:hAnsi="Arial" w:cs="Arial"/>
                <w:sz w:val="22"/>
                <w:szCs w:val="22"/>
              </w:rPr>
              <w:t>Kč</w:t>
            </w:r>
          </w:p>
        </w:tc>
      </w:tr>
      <w:tr w:rsidR="00E86883" w:rsidRPr="00E86883" w14:paraId="61DC0F04" w14:textId="77777777" w:rsidTr="008D14FE">
        <w:tc>
          <w:tcPr>
            <w:tcW w:w="2802" w:type="dxa"/>
          </w:tcPr>
          <w:p w14:paraId="343A998B"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Gestor: </w:t>
            </w:r>
          </w:p>
        </w:tc>
        <w:tc>
          <w:tcPr>
            <w:tcW w:w="6486" w:type="dxa"/>
          </w:tcPr>
          <w:p w14:paraId="47214189" w14:textId="77777777" w:rsidR="00E86883" w:rsidRPr="00E86883" w:rsidRDefault="00E86883" w:rsidP="00ED673D">
            <w:pPr>
              <w:spacing w:line="276" w:lineRule="auto"/>
              <w:jc w:val="both"/>
              <w:rPr>
                <w:rFonts w:ascii="Arial" w:hAnsi="Arial" w:cs="Arial"/>
                <w:sz w:val="22"/>
                <w:szCs w:val="22"/>
              </w:rPr>
            </w:pPr>
            <w:r w:rsidRPr="00E86883">
              <w:rPr>
                <w:rFonts w:ascii="Arial" w:hAnsi="Arial" w:cs="Arial"/>
                <w:sz w:val="22"/>
                <w:szCs w:val="22"/>
              </w:rPr>
              <w:t>Národní informační a poradenské středisko pro kulturu</w:t>
            </w:r>
          </w:p>
        </w:tc>
      </w:tr>
      <w:tr w:rsidR="00E86883" w:rsidRPr="00E86883" w14:paraId="1B3FB10E" w14:textId="77777777" w:rsidTr="008D14FE">
        <w:tc>
          <w:tcPr>
            <w:tcW w:w="2802" w:type="dxa"/>
          </w:tcPr>
          <w:p w14:paraId="5238FC05"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Význam indikátoru: </w:t>
            </w:r>
          </w:p>
        </w:tc>
        <w:tc>
          <w:tcPr>
            <w:tcW w:w="6486" w:type="dxa"/>
          </w:tcPr>
          <w:p w14:paraId="6F293769" w14:textId="77777777" w:rsidR="00E86883" w:rsidRPr="00E86883" w:rsidRDefault="00E86883" w:rsidP="00ED673D">
            <w:pPr>
              <w:spacing w:line="276" w:lineRule="auto"/>
              <w:jc w:val="both"/>
              <w:rPr>
                <w:rFonts w:ascii="Arial" w:hAnsi="Arial" w:cs="Arial"/>
                <w:sz w:val="22"/>
                <w:szCs w:val="22"/>
              </w:rPr>
            </w:pPr>
            <w:r w:rsidRPr="00E86883">
              <w:rPr>
                <w:rFonts w:ascii="Arial" w:hAnsi="Arial" w:cs="Arial"/>
                <w:sz w:val="22"/>
                <w:szCs w:val="22"/>
              </w:rPr>
              <w:t>Výše veřejné podpory</w:t>
            </w:r>
          </w:p>
        </w:tc>
      </w:tr>
      <w:tr w:rsidR="00E86883" w:rsidRPr="00E86883" w14:paraId="49407159" w14:textId="77777777" w:rsidTr="008D14FE">
        <w:tc>
          <w:tcPr>
            <w:tcW w:w="2802" w:type="dxa"/>
          </w:tcPr>
          <w:p w14:paraId="75782DF0"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Časová řada: </w:t>
            </w:r>
          </w:p>
        </w:tc>
        <w:tc>
          <w:tcPr>
            <w:tcW w:w="6486" w:type="dxa"/>
          </w:tcPr>
          <w:p w14:paraId="1E8757CF" w14:textId="77777777" w:rsidR="00E86883" w:rsidRPr="00E86883" w:rsidRDefault="00550B46" w:rsidP="00ED673D">
            <w:pPr>
              <w:spacing w:line="276" w:lineRule="auto"/>
              <w:jc w:val="both"/>
              <w:rPr>
                <w:rFonts w:ascii="Arial" w:hAnsi="Arial" w:cs="Arial"/>
                <w:sz w:val="22"/>
                <w:szCs w:val="22"/>
              </w:rPr>
            </w:pPr>
            <w:r>
              <w:rPr>
                <w:rFonts w:ascii="Arial" w:hAnsi="Arial" w:cs="Arial"/>
                <w:sz w:val="22"/>
                <w:szCs w:val="22"/>
              </w:rPr>
              <w:t>O</w:t>
            </w:r>
            <w:r w:rsidR="00E86883" w:rsidRPr="00E86883">
              <w:rPr>
                <w:rFonts w:ascii="Arial" w:hAnsi="Arial" w:cs="Arial"/>
                <w:sz w:val="22"/>
                <w:szCs w:val="22"/>
              </w:rPr>
              <w:t xml:space="preserve">d </w:t>
            </w:r>
            <w:r>
              <w:rPr>
                <w:rFonts w:ascii="Arial" w:hAnsi="Arial" w:cs="Arial"/>
                <w:sz w:val="22"/>
                <w:szCs w:val="22"/>
              </w:rPr>
              <w:t xml:space="preserve">roku </w:t>
            </w:r>
            <w:r w:rsidR="00E86883" w:rsidRPr="00E86883">
              <w:rPr>
                <w:rFonts w:ascii="Arial" w:hAnsi="Arial" w:cs="Arial"/>
                <w:sz w:val="22"/>
                <w:szCs w:val="22"/>
              </w:rPr>
              <w:t>2009</w:t>
            </w:r>
          </w:p>
        </w:tc>
      </w:tr>
      <w:tr w:rsidR="00E86883" w:rsidRPr="00E86883" w14:paraId="33711647" w14:textId="77777777" w:rsidTr="008D14FE">
        <w:tc>
          <w:tcPr>
            <w:tcW w:w="2802" w:type="dxa"/>
          </w:tcPr>
          <w:p w14:paraId="4849324E"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Frekvence výstupu: </w:t>
            </w:r>
          </w:p>
        </w:tc>
        <w:tc>
          <w:tcPr>
            <w:tcW w:w="6486" w:type="dxa"/>
          </w:tcPr>
          <w:p w14:paraId="3B1BC569" w14:textId="77777777" w:rsidR="00E86883" w:rsidRPr="00E86883" w:rsidRDefault="00E86883" w:rsidP="00ED673D">
            <w:pPr>
              <w:spacing w:line="276" w:lineRule="auto"/>
              <w:jc w:val="both"/>
              <w:rPr>
                <w:rFonts w:ascii="Arial" w:hAnsi="Arial" w:cs="Arial"/>
                <w:sz w:val="22"/>
                <w:szCs w:val="22"/>
              </w:rPr>
            </w:pPr>
            <w:r w:rsidRPr="00E86883">
              <w:rPr>
                <w:rFonts w:ascii="Arial" w:hAnsi="Arial" w:cs="Arial"/>
                <w:sz w:val="22"/>
                <w:szCs w:val="22"/>
              </w:rPr>
              <w:t>Ročně</w:t>
            </w:r>
          </w:p>
        </w:tc>
      </w:tr>
      <w:tr w:rsidR="00E86883" w:rsidRPr="00E86883" w14:paraId="5012014E" w14:textId="77777777" w:rsidTr="00FB6CF6">
        <w:trPr>
          <w:trHeight w:val="78"/>
        </w:trPr>
        <w:tc>
          <w:tcPr>
            <w:tcW w:w="2802" w:type="dxa"/>
          </w:tcPr>
          <w:p w14:paraId="14706010" w14:textId="77777777" w:rsidR="00E86883" w:rsidRPr="00DC29DF" w:rsidRDefault="00E86883" w:rsidP="00C51B65">
            <w:pPr>
              <w:spacing w:line="276" w:lineRule="auto"/>
              <w:rPr>
                <w:rFonts w:ascii="Arial" w:hAnsi="Arial" w:cs="Arial"/>
                <w:sz w:val="22"/>
                <w:szCs w:val="22"/>
              </w:rPr>
            </w:pPr>
            <w:r w:rsidRPr="00DC29DF">
              <w:rPr>
                <w:rFonts w:ascii="Arial" w:hAnsi="Arial" w:cs="Arial"/>
                <w:sz w:val="22"/>
                <w:szCs w:val="22"/>
              </w:rPr>
              <w:t xml:space="preserve">Členění indikátoru: </w:t>
            </w:r>
          </w:p>
        </w:tc>
        <w:tc>
          <w:tcPr>
            <w:tcW w:w="6486" w:type="dxa"/>
          </w:tcPr>
          <w:p w14:paraId="3621F71E" w14:textId="77777777" w:rsidR="00E86883" w:rsidRPr="00DC29DF" w:rsidRDefault="00550B46" w:rsidP="00FB6CF6">
            <w:pPr>
              <w:spacing w:line="276" w:lineRule="auto"/>
              <w:jc w:val="both"/>
              <w:rPr>
                <w:rFonts w:ascii="Arial" w:hAnsi="Arial" w:cs="Arial"/>
                <w:sz w:val="22"/>
                <w:szCs w:val="22"/>
              </w:rPr>
            </w:pPr>
            <w:r>
              <w:rPr>
                <w:rFonts w:ascii="Arial" w:hAnsi="Arial" w:cs="Arial"/>
                <w:sz w:val="22"/>
                <w:szCs w:val="22"/>
              </w:rPr>
              <w:t>-</w:t>
            </w:r>
          </w:p>
        </w:tc>
      </w:tr>
      <w:tr w:rsidR="00E86883" w:rsidRPr="00E86883" w14:paraId="7B653468" w14:textId="77777777" w:rsidTr="008D14FE">
        <w:trPr>
          <w:trHeight w:val="70"/>
        </w:trPr>
        <w:tc>
          <w:tcPr>
            <w:tcW w:w="2802" w:type="dxa"/>
          </w:tcPr>
          <w:p w14:paraId="5DC8EB25" w14:textId="77777777" w:rsidR="00E86883" w:rsidRPr="00DC29DF" w:rsidRDefault="00E86883" w:rsidP="00C51B65">
            <w:pPr>
              <w:spacing w:line="276" w:lineRule="auto"/>
              <w:rPr>
                <w:rFonts w:ascii="Arial" w:hAnsi="Arial" w:cs="Arial"/>
                <w:sz w:val="22"/>
                <w:szCs w:val="22"/>
              </w:rPr>
            </w:pPr>
            <w:r w:rsidRPr="00DC29DF">
              <w:rPr>
                <w:rFonts w:ascii="Arial" w:hAnsi="Arial" w:cs="Arial"/>
                <w:sz w:val="22"/>
                <w:szCs w:val="22"/>
              </w:rPr>
              <w:t>Mezinárodní srovnání:</w:t>
            </w:r>
          </w:p>
        </w:tc>
        <w:tc>
          <w:tcPr>
            <w:tcW w:w="6486" w:type="dxa"/>
          </w:tcPr>
          <w:p w14:paraId="7FF1D429" w14:textId="77777777" w:rsidR="00E86883" w:rsidRPr="00DC29DF" w:rsidRDefault="00550B46" w:rsidP="00C51B65">
            <w:pPr>
              <w:spacing w:line="276" w:lineRule="auto"/>
              <w:rPr>
                <w:rFonts w:ascii="Arial" w:hAnsi="Arial" w:cs="Arial"/>
                <w:sz w:val="22"/>
                <w:szCs w:val="22"/>
              </w:rPr>
            </w:pPr>
            <w:r>
              <w:rPr>
                <w:rFonts w:ascii="Arial" w:hAnsi="Arial" w:cs="Arial"/>
                <w:sz w:val="22"/>
                <w:szCs w:val="22"/>
              </w:rPr>
              <w:t>-</w:t>
            </w:r>
          </w:p>
        </w:tc>
      </w:tr>
    </w:tbl>
    <w:p w14:paraId="123FC9D1" w14:textId="7F7E2674" w:rsidR="00E86883" w:rsidRPr="00C54BB7" w:rsidRDefault="00F47B27" w:rsidP="00ED673D">
      <w:pPr>
        <w:pStyle w:val="r2030podcle"/>
        <w:numPr>
          <w:ilvl w:val="1"/>
          <w:numId w:val="17"/>
        </w:numPr>
        <w:ind w:left="567" w:hanging="425"/>
        <w:jc w:val="both"/>
        <w:rPr>
          <w:szCs w:val="22"/>
        </w:rPr>
      </w:pPr>
      <w:r w:rsidRPr="00C54BB7">
        <w:rPr>
          <w:rFonts w:eastAsia="Arial"/>
        </w:rPr>
        <w:t xml:space="preserve">Podle potřeb měnící se společnosti je systémově podporován rozvoj i zakládání nových kulturních </w:t>
      </w:r>
      <w:r w:rsidR="0083173E" w:rsidRPr="00C54BB7">
        <w:rPr>
          <w:rFonts w:eastAsia="Arial"/>
        </w:rPr>
        <w:t>organizací</w:t>
      </w:r>
      <w:r w:rsidRPr="00C54BB7">
        <w:rPr>
          <w:rFonts w:eastAsia="Arial"/>
        </w:rPr>
        <w:t xml:space="preserve">. </w:t>
      </w:r>
    </w:p>
    <w:tbl>
      <w:tblPr>
        <w:tblStyle w:val="Mkatabulky"/>
        <w:tblW w:w="0" w:type="auto"/>
        <w:tblLook w:val="04A0" w:firstRow="1" w:lastRow="0" w:firstColumn="1" w:lastColumn="0" w:noHBand="0" w:noVBand="1"/>
      </w:tblPr>
      <w:tblGrid>
        <w:gridCol w:w="2802"/>
        <w:gridCol w:w="6486"/>
      </w:tblGrid>
      <w:tr w:rsidR="00E86883" w:rsidRPr="00E86883" w14:paraId="6003AB70" w14:textId="77777777" w:rsidTr="008D14FE">
        <w:tc>
          <w:tcPr>
            <w:tcW w:w="2802" w:type="dxa"/>
          </w:tcPr>
          <w:p w14:paraId="342E14E4"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Název a označení indikátoru: </w:t>
            </w:r>
          </w:p>
        </w:tc>
        <w:tc>
          <w:tcPr>
            <w:tcW w:w="6486" w:type="dxa"/>
          </w:tcPr>
          <w:p w14:paraId="66E450FB" w14:textId="5E1E01D0" w:rsidR="00E86883" w:rsidRPr="00E86883" w:rsidRDefault="00E86883" w:rsidP="00C51B65">
            <w:pPr>
              <w:spacing w:line="276" w:lineRule="auto"/>
              <w:contextualSpacing/>
              <w:rPr>
                <w:rFonts w:ascii="Arial" w:hAnsi="Arial" w:cs="Arial"/>
                <w:b/>
                <w:sz w:val="22"/>
                <w:szCs w:val="22"/>
              </w:rPr>
            </w:pPr>
            <w:r w:rsidRPr="00E86883">
              <w:rPr>
                <w:rFonts w:ascii="Arial" w:hAnsi="Arial" w:cs="Arial"/>
                <w:b/>
                <w:sz w:val="22"/>
                <w:szCs w:val="22"/>
              </w:rPr>
              <w:t>6.2.</w:t>
            </w:r>
            <w:r w:rsidR="0038535F">
              <w:rPr>
                <w:rFonts w:ascii="Arial" w:hAnsi="Arial" w:cs="Arial"/>
                <w:b/>
                <w:sz w:val="22"/>
                <w:szCs w:val="22"/>
              </w:rPr>
              <w:t>1</w:t>
            </w:r>
            <w:r w:rsidRPr="00E86883">
              <w:rPr>
                <w:rFonts w:ascii="Arial" w:hAnsi="Arial" w:cs="Arial"/>
                <w:b/>
                <w:sz w:val="22"/>
                <w:szCs w:val="22"/>
              </w:rPr>
              <w:t xml:space="preserve"> Investice do růstu sbírek současného umění</w:t>
            </w:r>
          </w:p>
        </w:tc>
      </w:tr>
      <w:tr w:rsidR="00E86883" w:rsidRPr="00E86883" w14:paraId="4C8DD143" w14:textId="77777777" w:rsidTr="008D14FE">
        <w:tc>
          <w:tcPr>
            <w:tcW w:w="2802" w:type="dxa"/>
          </w:tcPr>
          <w:p w14:paraId="07D4C401"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Stručná definice: </w:t>
            </w:r>
          </w:p>
        </w:tc>
        <w:tc>
          <w:tcPr>
            <w:tcW w:w="6486" w:type="dxa"/>
          </w:tcPr>
          <w:p w14:paraId="08700573" w14:textId="77777777" w:rsidR="00E86883" w:rsidRPr="00E86883" w:rsidRDefault="00E86883" w:rsidP="00ED673D">
            <w:pPr>
              <w:spacing w:line="276" w:lineRule="auto"/>
              <w:jc w:val="both"/>
              <w:rPr>
                <w:rFonts w:ascii="Arial" w:hAnsi="Arial" w:cs="Arial"/>
                <w:sz w:val="22"/>
                <w:szCs w:val="22"/>
              </w:rPr>
            </w:pPr>
            <w:r w:rsidRPr="00E86883">
              <w:rPr>
                <w:rFonts w:ascii="Arial" w:hAnsi="Arial" w:cs="Arial"/>
                <w:sz w:val="22"/>
                <w:szCs w:val="22"/>
              </w:rPr>
              <w:t>Objem prostředků vynaložených na rozšíření sbírek současného umění v příspěvkových institucích Ministerstva kultury</w:t>
            </w:r>
          </w:p>
        </w:tc>
      </w:tr>
      <w:tr w:rsidR="00E86883" w:rsidRPr="00E86883" w14:paraId="0162E2E7" w14:textId="77777777" w:rsidTr="008D14FE">
        <w:tc>
          <w:tcPr>
            <w:tcW w:w="2802" w:type="dxa"/>
          </w:tcPr>
          <w:p w14:paraId="77A1D1ED"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Jednotka:</w:t>
            </w:r>
          </w:p>
        </w:tc>
        <w:tc>
          <w:tcPr>
            <w:tcW w:w="6486" w:type="dxa"/>
          </w:tcPr>
          <w:p w14:paraId="15FF6218" w14:textId="77777777" w:rsidR="00E86883" w:rsidRPr="00E86883" w:rsidRDefault="00E86883" w:rsidP="00ED673D">
            <w:pPr>
              <w:spacing w:line="276" w:lineRule="auto"/>
              <w:jc w:val="both"/>
              <w:rPr>
                <w:rFonts w:ascii="Arial" w:hAnsi="Arial" w:cs="Arial"/>
                <w:sz w:val="22"/>
                <w:szCs w:val="22"/>
              </w:rPr>
            </w:pPr>
            <w:r w:rsidRPr="00E86883">
              <w:rPr>
                <w:rFonts w:ascii="Arial" w:hAnsi="Arial" w:cs="Arial"/>
                <w:sz w:val="22"/>
                <w:szCs w:val="22"/>
              </w:rPr>
              <w:t>Kč</w:t>
            </w:r>
          </w:p>
        </w:tc>
      </w:tr>
      <w:tr w:rsidR="00E86883" w:rsidRPr="00E86883" w14:paraId="230B0D1F" w14:textId="77777777" w:rsidTr="008D14FE">
        <w:tc>
          <w:tcPr>
            <w:tcW w:w="2802" w:type="dxa"/>
          </w:tcPr>
          <w:p w14:paraId="49A76387"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Gestor: </w:t>
            </w:r>
          </w:p>
        </w:tc>
        <w:tc>
          <w:tcPr>
            <w:tcW w:w="6486" w:type="dxa"/>
          </w:tcPr>
          <w:p w14:paraId="35A200F2" w14:textId="77777777" w:rsidR="00E86883" w:rsidRPr="00E86883" w:rsidRDefault="000E1278" w:rsidP="00ED673D">
            <w:pPr>
              <w:spacing w:line="276" w:lineRule="auto"/>
              <w:jc w:val="both"/>
              <w:rPr>
                <w:rFonts w:ascii="Arial" w:hAnsi="Arial" w:cs="Arial"/>
                <w:sz w:val="22"/>
                <w:szCs w:val="22"/>
              </w:rPr>
            </w:pPr>
            <w:r>
              <w:rPr>
                <w:rFonts w:ascii="Arial" w:hAnsi="Arial" w:cs="Arial"/>
                <w:sz w:val="22"/>
                <w:szCs w:val="22"/>
              </w:rPr>
              <w:t xml:space="preserve">Ministerstvo kultury </w:t>
            </w:r>
          </w:p>
        </w:tc>
      </w:tr>
      <w:tr w:rsidR="00E86883" w:rsidRPr="00E86883" w14:paraId="6A890B6E" w14:textId="77777777" w:rsidTr="008D14FE">
        <w:tc>
          <w:tcPr>
            <w:tcW w:w="2802" w:type="dxa"/>
          </w:tcPr>
          <w:p w14:paraId="7A03237E"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Význam indikátoru: </w:t>
            </w:r>
          </w:p>
        </w:tc>
        <w:tc>
          <w:tcPr>
            <w:tcW w:w="6486" w:type="dxa"/>
          </w:tcPr>
          <w:p w14:paraId="657592AE" w14:textId="77777777" w:rsidR="00E86883" w:rsidRPr="00E86883" w:rsidRDefault="00E86883" w:rsidP="00ED673D">
            <w:pPr>
              <w:spacing w:line="276" w:lineRule="auto"/>
              <w:jc w:val="both"/>
              <w:rPr>
                <w:rFonts w:ascii="Arial" w:hAnsi="Arial" w:cs="Arial"/>
                <w:sz w:val="22"/>
                <w:szCs w:val="22"/>
              </w:rPr>
            </w:pPr>
            <w:r w:rsidRPr="00E86883">
              <w:rPr>
                <w:rFonts w:ascii="Arial" w:hAnsi="Arial" w:cs="Arial"/>
                <w:sz w:val="22"/>
                <w:szCs w:val="22"/>
              </w:rPr>
              <w:t>Veřejné investice do rozvoje kultury reflektující současný vývoj společnosti</w:t>
            </w:r>
          </w:p>
        </w:tc>
      </w:tr>
      <w:tr w:rsidR="00E86883" w:rsidRPr="00E86883" w14:paraId="28A86E02" w14:textId="77777777" w:rsidTr="00DC29DF">
        <w:trPr>
          <w:trHeight w:val="166"/>
        </w:trPr>
        <w:tc>
          <w:tcPr>
            <w:tcW w:w="2802" w:type="dxa"/>
          </w:tcPr>
          <w:p w14:paraId="26885C38" w14:textId="77777777" w:rsidR="00E86883" w:rsidRPr="00DC29DF" w:rsidRDefault="00E86883" w:rsidP="00C51B65">
            <w:pPr>
              <w:spacing w:line="276" w:lineRule="auto"/>
              <w:rPr>
                <w:rFonts w:ascii="Arial" w:hAnsi="Arial" w:cs="Arial"/>
                <w:sz w:val="22"/>
                <w:szCs w:val="22"/>
              </w:rPr>
            </w:pPr>
            <w:r w:rsidRPr="00DC29DF">
              <w:rPr>
                <w:rFonts w:ascii="Arial" w:hAnsi="Arial" w:cs="Arial"/>
                <w:sz w:val="22"/>
                <w:szCs w:val="22"/>
              </w:rPr>
              <w:t xml:space="preserve">Časová řada: </w:t>
            </w:r>
          </w:p>
        </w:tc>
        <w:tc>
          <w:tcPr>
            <w:tcW w:w="6486" w:type="dxa"/>
          </w:tcPr>
          <w:p w14:paraId="5846A157" w14:textId="77777777" w:rsidR="00E86883" w:rsidRPr="00DC29DF" w:rsidRDefault="00E86883" w:rsidP="00ED673D">
            <w:pPr>
              <w:spacing w:line="276" w:lineRule="auto"/>
              <w:jc w:val="both"/>
              <w:rPr>
                <w:rFonts w:ascii="Arial" w:hAnsi="Arial" w:cs="Arial"/>
                <w:sz w:val="22"/>
                <w:szCs w:val="22"/>
              </w:rPr>
            </w:pPr>
          </w:p>
        </w:tc>
      </w:tr>
      <w:tr w:rsidR="00E86883" w:rsidRPr="00E86883" w14:paraId="57BAE287" w14:textId="77777777" w:rsidTr="008D14FE">
        <w:tc>
          <w:tcPr>
            <w:tcW w:w="2802" w:type="dxa"/>
          </w:tcPr>
          <w:p w14:paraId="60910FAD"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lastRenderedPageBreak/>
              <w:t xml:space="preserve">Frekvence výstupu: </w:t>
            </w:r>
          </w:p>
        </w:tc>
        <w:tc>
          <w:tcPr>
            <w:tcW w:w="6486" w:type="dxa"/>
          </w:tcPr>
          <w:p w14:paraId="38134E98" w14:textId="77777777" w:rsidR="00E86883" w:rsidRPr="00E86883" w:rsidRDefault="00E86883" w:rsidP="00ED673D">
            <w:pPr>
              <w:spacing w:line="276" w:lineRule="auto"/>
              <w:jc w:val="both"/>
              <w:rPr>
                <w:rFonts w:ascii="Arial" w:hAnsi="Arial" w:cs="Arial"/>
                <w:sz w:val="22"/>
                <w:szCs w:val="22"/>
              </w:rPr>
            </w:pPr>
            <w:r w:rsidRPr="00E86883">
              <w:rPr>
                <w:rFonts w:ascii="Arial" w:hAnsi="Arial" w:cs="Arial"/>
                <w:sz w:val="22"/>
                <w:szCs w:val="22"/>
              </w:rPr>
              <w:t>Ročně</w:t>
            </w:r>
          </w:p>
        </w:tc>
      </w:tr>
      <w:tr w:rsidR="00E86883" w:rsidRPr="00E86883" w14:paraId="6B86EF55" w14:textId="77777777" w:rsidTr="008D14FE">
        <w:trPr>
          <w:trHeight w:val="70"/>
        </w:trPr>
        <w:tc>
          <w:tcPr>
            <w:tcW w:w="2802" w:type="dxa"/>
          </w:tcPr>
          <w:p w14:paraId="37912F8F" w14:textId="77777777" w:rsidR="00E86883" w:rsidRPr="00DC29DF" w:rsidRDefault="00E86883" w:rsidP="00C51B65">
            <w:pPr>
              <w:spacing w:line="276" w:lineRule="auto"/>
              <w:rPr>
                <w:rFonts w:ascii="Arial" w:hAnsi="Arial" w:cs="Arial"/>
                <w:sz w:val="22"/>
                <w:szCs w:val="22"/>
              </w:rPr>
            </w:pPr>
            <w:r w:rsidRPr="00DC29DF">
              <w:rPr>
                <w:rFonts w:ascii="Arial" w:hAnsi="Arial" w:cs="Arial"/>
                <w:sz w:val="22"/>
                <w:szCs w:val="22"/>
              </w:rPr>
              <w:t xml:space="preserve">Členění indikátoru: </w:t>
            </w:r>
          </w:p>
        </w:tc>
        <w:tc>
          <w:tcPr>
            <w:tcW w:w="6486" w:type="dxa"/>
          </w:tcPr>
          <w:p w14:paraId="57DA449C" w14:textId="77777777" w:rsidR="00E86883" w:rsidRPr="00DC29DF" w:rsidRDefault="00550B46" w:rsidP="00ED673D">
            <w:pPr>
              <w:spacing w:line="276" w:lineRule="auto"/>
              <w:jc w:val="both"/>
              <w:rPr>
                <w:rFonts w:ascii="Arial" w:hAnsi="Arial" w:cs="Arial"/>
                <w:sz w:val="22"/>
                <w:szCs w:val="22"/>
              </w:rPr>
            </w:pPr>
            <w:r>
              <w:rPr>
                <w:rFonts w:ascii="Arial" w:hAnsi="Arial" w:cs="Arial"/>
                <w:sz w:val="22"/>
                <w:szCs w:val="22"/>
              </w:rPr>
              <w:t>-</w:t>
            </w:r>
          </w:p>
        </w:tc>
      </w:tr>
      <w:tr w:rsidR="00E86883" w:rsidRPr="00E86883" w14:paraId="38698E43" w14:textId="77777777" w:rsidTr="008D14FE">
        <w:trPr>
          <w:trHeight w:val="70"/>
        </w:trPr>
        <w:tc>
          <w:tcPr>
            <w:tcW w:w="2802" w:type="dxa"/>
          </w:tcPr>
          <w:p w14:paraId="329887D7" w14:textId="77777777" w:rsidR="00E86883" w:rsidRPr="00DC29DF" w:rsidRDefault="00E86883" w:rsidP="00C51B65">
            <w:pPr>
              <w:spacing w:line="276" w:lineRule="auto"/>
              <w:rPr>
                <w:rFonts w:ascii="Arial" w:hAnsi="Arial" w:cs="Arial"/>
                <w:sz w:val="22"/>
                <w:szCs w:val="22"/>
              </w:rPr>
            </w:pPr>
            <w:r w:rsidRPr="00DC29DF">
              <w:rPr>
                <w:rFonts w:ascii="Arial" w:hAnsi="Arial" w:cs="Arial"/>
                <w:sz w:val="22"/>
                <w:szCs w:val="22"/>
              </w:rPr>
              <w:t>Mezinárodní srovnání:</w:t>
            </w:r>
          </w:p>
        </w:tc>
        <w:tc>
          <w:tcPr>
            <w:tcW w:w="6486" w:type="dxa"/>
          </w:tcPr>
          <w:p w14:paraId="20A0159B" w14:textId="77777777" w:rsidR="00E86883" w:rsidRPr="00DC29DF" w:rsidRDefault="00550B46" w:rsidP="00ED673D">
            <w:pPr>
              <w:spacing w:line="276" w:lineRule="auto"/>
              <w:jc w:val="both"/>
              <w:rPr>
                <w:rFonts w:ascii="Arial" w:hAnsi="Arial" w:cs="Arial"/>
                <w:sz w:val="22"/>
                <w:szCs w:val="22"/>
              </w:rPr>
            </w:pPr>
            <w:r>
              <w:rPr>
                <w:rFonts w:ascii="Arial" w:hAnsi="Arial" w:cs="Arial"/>
                <w:sz w:val="22"/>
                <w:szCs w:val="22"/>
              </w:rPr>
              <w:t>-</w:t>
            </w:r>
          </w:p>
        </w:tc>
      </w:tr>
    </w:tbl>
    <w:p w14:paraId="44836799" w14:textId="77777777" w:rsidR="00E86883" w:rsidRDefault="00F47B27" w:rsidP="00ED673D">
      <w:pPr>
        <w:pStyle w:val="r2030podcle"/>
        <w:numPr>
          <w:ilvl w:val="1"/>
          <w:numId w:val="17"/>
        </w:numPr>
        <w:ind w:left="567" w:hanging="425"/>
        <w:rPr>
          <w:rFonts w:eastAsia="Arial"/>
        </w:rPr>
      </w:pPr>
      <w:r w:rsidRPr="00F47B27">
        <w:t>Kulturní a kreativní průmysly jsou podporovány jako příležitost pro rozvoj ekonomiky.</w:t>
      </w:r>
      <w:r>
        <w:t xml:space="preserve"> </w:t>
      </w:r>
    </w:p>
    <w:tbl>
      <w:tblPr>
        <w:tblStyle w:val="Mkatabulky"/>
        <w:tblW w:w="0" w:type="auto"/>
        <w:tblLook w:val="04A0" w:firstRow="1" w:lastRow="0" w:firstColumn="1" w:lastColumn="0" w:noHBand="0" w:noVBand="1"/>
      </w:tblPr>
      <w:tblGrid>
        <w:gridCol w:w="2802"/>
        <w:gridCol w:w="6486"/>
      </w:tblGrid>
      <w:tr w:rsidR="00E86883" w:rsidRPr="00E86883" w14:paraId="0E2EDC38" w14:textId="77777777" w:rsidTr="008D14FE">
        <w:tc>
          <w:tcPr>
            <w:tcW w:w="2802" w:type="dxa"/>
          </w:tcPr>
          <w:p w14:paraId="002A2876"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Název a označení indikátoru: </w:t>
            </w:r>
          </w:p>
        </w:tc>
        <w:tc>
          <w:tcPr>
            <w:tcW w:w="6486" w:type="dxa"/>
          </w:tcPr>
          <w:p w14:paraId="6C5EDC1B" w14:textId="77777777" w:rsidR="00E86883" w:rsidRPr="00E86883" w:rsidRDefault="00E86883" w:rsidP="00C51B65">
            <w:pPr>
              <w:spacing w:line="276" w:lineRule="auto"/>
              <w:contextualSpacing/>
              <w:rPr>
                <w:rFonts w:ascii="Arial" w:hAnsi="Arial" w:cs="Arial"/>
                <w:b/>
                <w:sz w:val="22"/>
                <w:szCs w:val="22"/>
              </w:rPr>
            </w:pPr>
            <w:r w:rsidRPr="00E86883">
              <w:rPr>
                <w:rFonts w:ascii="Arial" w:hAnsi="Arial" w:cs="Arial"/>
                <w:b/>
                <w:sz w:val="22"/>
                <w:szCs w:val="22"/>
              </w:rPr>
              <w:t>6.3.1 Veřejná podpora</w:t>
            </w:r>
            <w:r w:rsidR="00DE7A70">
              <w:rPr>
                <w:rFonts w:ascii="Arial" w:hAnsi="Arial" w:cs="Arial"/>
                <w:b/>
                <w:sz w:val="22"/>
                <w:szCs w:val="22"/>
              </w:rPr>
              <w:t xml:space="preserve"> kulturních a</w:t>
            </w:r>
            <w:r w:rsidRPr="00E86883">
              <w:rPr>
                <w:rFonts w:ascii="Arial" w:hAnsi="Arial" w:cs="Arial"/>
                <w:b/>
                <w:sz w:val="22"/>
                <w:szCs w:val="22"/>
              </w:rPr>
              <w:t xml:space="preserve"> kreativních průmyslů</w:t>
            </w:r>
          </w:p>
        </w:tc>
      </w:tr>
      <w:tr w:rsidR="00E86883" w:rsidRPr="00E86883" w14:paraId="4A8A9B70" w14:textId="77777777" w:rsidTr="008D14FE">
        <w:tc>
          <w:tcPr>
            <w:tcW w:w="2802" w:type="dxa"/>
          </w:tcPr>
          <w:p w14:paraId="36C2FB21"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Stručná definice: </w:t>
            </w:r>
          </w:p>
        </w:tc>
        <w:tc>
          <w:tcPr>
            <w:tcW w:w="6486" w:type="dxa"/>
          </w:tcPr>
          <w:p w14:paraId="7128EFF6" w14:textId="77777777" w:rsidR="00E86883" w:rsidRPr="00E86883" w:rsidRDefault="00E86883" w:rsidP="00ED673D">
            <w:pPr>
              <w:spacing w:line="276" w:lineRule="auto"/>
              <w:jc w:val="both"/>
              <w:rPr>
                <w:rFonts w:ascii="Arial" w:hAnsi="Arial" w:cs="Arial"/>
                <w:sz w:val="22"/>
                <w:szCs w:val="22"/>
              </w:rPr>
            </w:pPr>
            <w:r w:rsidRPr="00E86883">
              <w:rPr>
                <w:rFonts w:ascii="Arial" w:hAnsi="Arial" w:cs="Arial"/>
                <w:sz w:val="22"/>
                <w:szCs w:val="22"/>
              </w:rPr>
              <w:t>Objem finančních prostředků vynaložených veřejnou správou na podporu kulturních a kreativních průmyslů</w:t>
            </w:r>
          </w:p>
        </w:tc>
      </w:tr>
      <w:tr w:rsidR="00E86883" w:rsidRPr="00E86883" w14:paraId="5160CF29" w14:textId="77777777" w:rsidTr="008D14FE">
        <w:tc>
          <w:tcPr>
            <w:tcW w:w="2802" w:type="dxa"/>
          </w:tcPr>
          <w:p w14:paraId="427A0742"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Jednotka:</w:t>
            </w:r>
          </w:p>
        </w:tc>
        <w:tc>
          <w:tcPr>
            <w:tcW w:w="6486" w:type="dxa"/>
          </w:tcPr>
          <w:p w14:paraId="5E753435" w14:textId="77777777" w:rsidR="00E86883" w:rsidRPr="00E86883" w:rsidRDefault="00DE7A70" w:rsidP="00ED673D">
            <w:pPr>
              <w:spacing w:line="276" w:lineRule="auto"/>
              <w:jc w:val="both"/>
              <w:rPr>
                <w:rFonts w:ascii="Arial" w:hAnsi="Arial" w:cs="Arial"/>
                <w:sz w:val="22"/>
                <w:szCs w:val="22"/>
              </w:rPr>
            </w:pPr>
            <w:r>
              <w:rPr>
                <w:rFonts w:ascii="Arial" w:hAnsi="Arial" w:cs="Arial"/>
                <w:sz w:val="22"/>
                <w:szCs w:val="22"/>
              </w:rPr>
              <w:t xml:space="preserve">Podíl (v %), </w:t>
            </w:r>
            <w:r w:rsidR="00E86883" w:rsidRPr="00E86883">
              <w:rPr>
                <w:rFonts w:ascii="Arial" w:hAnsi="Arial" w:cs="Arial"/>
                <w:sz w:val="22"/>
                <w:szCs w:val="22"/>
              </w:rPr>
              <w:t>Kč</w:t>
            </w:r>
          </w:p>
        </w:tc>
      </w:tr>
      <w:tr w:rsidR="00E86883" w:rsidRPr="00E86883" w14:paraId="6A397DDA" w14:textId="77777777" w:rsidTr="008D14FE">
        <w:tc>
          <w:tcPr>
            <w:tcW w:w="2802" w:type="dxa"/>
          </w:tcPr>
          <w:p w14:paraId="09F8460B"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Gestor: </w:t>
            </w:r>
          </w:p>
        </w:tc>
        <w:tc>
          <w:tcPr>
            <w:tcW w:w="6486" w:type="dxa"/>
          </w:tcPr>
          <w:p w14:paraId="14A3C7ED" w14:textId="77777777" w:rsidR="00E86883" w:rsidRPr="00E86883" w:rsidRDefault="00E86883" w:rsidP="00ED673D">
            <w:pPr>
              <w:spacing w:line="276" w:lineRule="auto"/>
              <w:jc w:val="both"/>
              <w:rPr>
                <w:rFonts w:ascii="Arial" w:hAnsi="Arial" w:cs="Arial"/>
                <w:sz w:val="22"/>
                <w:szCs w:val="22"/>
              </w:rPr>
            </w:pPr>
            <w:r w:rsidRPr="00E86883">
              <w:rPr>
                <w:rFonts w:ascii="Arial" w:hAnsi="Arial" w:cs="Arial"/>
                <w:sz w:val="22"/>
                <w:szCs w:val="22"/>
              </w:rPr>
              <w:t>Národní informační a poradenské středisko pro kulturu</w:t>
            </w:r>
          </w:p>
        </w:tc>
      </w:tr>
      <w:tr w:rsidR="00E86883" w:rsidRPr="00E86883" w14:paraId="0AB0E3B3" w14:textId="77777777" w:rsidTr="008D14FE">
        <w:tc>
          <w:tcPr>
            <w:tcW w:w="2802" w:type="dxa"/>
          </w:tcPr>
          <w:p w14:paraId="3A9DFB39"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Význam indikátoru: </w:t>
            </w:r>
          </w:p>
        </w:tc>
        <w:tc>
          <w:tcPr>
            <w:tcW w:w="6486" w:type="dxa"/>
          </w:tcPr>
          <w:p w14:paraId="59BB8A2E" w14:textId="77777777" w:rsidR="00E86883" w:rsidRPr="00E86883" w:rsidRDefault="00E86883" w:rsidP="00ED673D">
            <w:pPr>
              <w:spacing w:line="276" w:lineRule="auto"/>
              <w:jc w:val="both"/>
              <w:rPr>
                <w:rFonts w:ascii="Arial" w:hAnsi="Arial" w:cs="Arial"/>
                <w:sz w:val="22"/>
                <w:szCs w:val="22"/>
              </w:rPr>
            </w:pPr>
            <w:r w:rsidRPr="00E86883">
              <w:rPr>
                <w:rFonts w:ascii="Arial" w:hAnsi="Arial" w:cs="Arial"/>
                <w:sz w:val="22"/>
                <w:szCs w:val="22"/>
              </w:rPr>
              <w:t>Znázorňuje míru veřejných investic do rozvoje kreativních průmyslů</w:t>
            </w:r>
          </w:p>
        </w:tc>
      </w:tr>
      <w:tr w:rsidR="00E86883" w:rsidRPr="00E86883" w14:paraId="75CBEEDE" w14:textId="77777777" w:rsidTr="008D14FE">
        <w:tc>
          <w:tcPr>
            <w:tcW w:w="2802" w:type="dxa"/>
          </w:tcPr>
          <w:p w14:paraId="3F1C0D77"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Časová řada: </w:t>
            </w:r>
          </w:p>
        </w:tc>
        <w:tc>
          <w:tcPr>
            <w:tcW w:w="6486" w:type="dxa"/>
          </w:tcPr>
          <w:p w14:paraId="323D53FD" w14:textId="77777777" w:rsidR="00E86883" w:rsidRPr="00E86883" w:rsidRDefault="00E86883" w:rsidP="00ED673D">
            <w:pPr>
              <w:spacing w:line="276" w:lineRule="auto"/>
              <w:jc w:val="both"/>
              <w:rPr>
                <w:rFonts w:ascii="Arial" w:hAnsi="Arial" w:cs="Arial"/>
                <w:sz w:val="22"/>
                <w:szCs w:val="22"/>
              </w:rPr>
            </w:pPr>
            <w:r w:rsidRPr="00E86883">
              <w:rPr>
                <w:rFonts w:ascii="Arial" w:hAnsi="Arial" w:cs="Arial"/>
                <w:sz w:val="22"/>
                <w:szCs w:val="22"/>
              </w:rPr>
              <w:t xml:space="preserve">Od </w:t>
            </w:r>
            <w:r w:rsidR="00550B46">
              <w:rPr>
                <w:rFonts w:ascii="Arial" w:hAnsi="Arial" w:cs="Arial"/>
                <w:sz w:val="22"/>
                <w:szCs w:val="22"/>
              </w:rPr>
              <w:t xml:space="preserve">roku </w:t>
            </w:r>
            <w:r w:rsidRPr="00E86883">
              <w:rPr>
                <w:rFonts w:ascii="Arial" w:hAnsi="Arial" w:cs="Arial"/>
                <w:sz w:val="22"/>
                <w:szCs w:val="22"/>
              </w:rPr>
              <w:t>2009</w:t>
            </w:r>
          </w:p>
        </w:tc>
      </w:tr>
      <w:tr w:rsidR="00E86883" w:rsidRPr="00E86883" w14:paraId="2436EC60" w14:textId="77777777" w:rsidTr="008D14FE">
        <w:tc>
          <w:tcPr>
            <w:tcW w:w="2802" w:type="dxa"/>
          </w:tcPr>
          <w:p w14:paraId="2B97B24F" w14:textId="77777777" w:rsidR="00E86883" w:rsidRPr="00DC29DF" w:rsidRDefault="00E86883" w:rsidP="00C51B65">
            <w:pPr>
              <w:spacing w:line="276" w:lineRule="auto"/>
              <w:rPr>
                <w:rFonts w:ascii="Arial" w:hAnsi="Arial" w:cs="Arial"/>
                <w:sz w:val="22"/>
                <w:szCs w:val="22"/>
              </w:rPr>
            </w:pPr>
            <w:r w:rsidRPr="00DC29DF">
              <w:rPr>
                <w:rFonts w:ascii="Arial" w:hAnsi="Arial" w:cs="Arial"/>
                <w:sz w:val="22"/>
                <w:szCs w:val="22"/>
              </w:rPr>
              <w:t xml:space="preserve">Frekvence výstupu: </w:t>
            </w:r>
          </w:p>
        </w:tc>
        <w:tc>
          <w:tcPr>
            <w:tcW w:w="6486" w:type="dxa"/>
          </w:tcPr>
          <w:p w14:paraId="75A05DAF" w14:textId="77777777" w:rsidR="00E86883" w:rsidRPr="00DC29DF" w:rsidRDefault="00E86883" w:rsidP="00ED673D">
            <w:pPr>
              <w:spacing w:line="276" w:lineRule="auto"/>
              <w:jc w:val="both"/>
              <w:rPr>
                <w:rFonts w:ascii="Arial" w:hAnsi="Arial" w:cs="Arial"/>
                <w:sz w:val="22"/>
                <w:szCs w:val="22"/>
              </w:rPr>
            </w:pPr>
            <w:r w:rsidRPr="00DC29DF">
              <w:rPr>
                <w:rFonts w:ascii="Arial" w:hAnsi="Arial" w:cs="Arial"/>
                <w:sz w:val="22"/>
                <w:szCs w:val="22"/>
              </w:rPr>
              <w:t>Ročně</w:t>
            </w:r>
          </w:p>
        </w:tc>
      </w:tr>
      <w:tr w:rsidR="00E86883" w:rsidRPr="00E86883" w14:paraId="494F14DC" w14:textId="77777777" w:rsidTr="008D14FE">
        <w:trPr>
          <w:trHeight w:val="70"/>
        </w:trPr>
        <w:tc>
          <w:tcPr>
            <w:tcW w:w="2802" w:type="dxa"/>
          </w:tcPr>
          <w:p w14:paraId="6A16E4A2" w14:textId="77777777" w:rsidR="00E86883" w:rsidRPr="00DC29DF" w:rsidRDefault="00E86883" w:rsidP="00C51B65">
            <w:pPr>
              <w:spacing w:line="276" w:lineRule="auto"/>
              <w:rPr>
                <w:rFonts w:ascii="Arial" w:hAnsi="Arial" w:cs="Arial"/>
                <w:sz w:val="22"/>
                <w:szCs w:val="22"/>
              </w:rPr>
            </w:pPr>
            <w:r w:rsidRPr="00DC29DF">
              <w:rPr>
                <w:rFonts w:ascii="Arial" w:hAnsi="Arial" w:cs="Arial"/>
                <w:sz w:val="22"/>
                <w:szCs w:val="22"/>
              </w:rPr>
              <w:t xml:space="preserve">Členění indikátoru: </w:t>
            </w:r>
          </w:p>
        </w:tc>
        <w:tc>
          <w:tcPr>
            <w:tcW w:w="6486" w:type="dxa"/>
          </w:tcPr>
          <w:p w14:paraId="0B4DF8D1" w14:textId="77777777" w:rsidR="00E86883" w:rsidRPr="00DC29DF" w:rsidRDefault="00550B46" w:rsidP="00FB6CF6">
            <w:pPr>
              <w:spacing w:line="276" w:lineRule="auto"/>
              <w:jc w:val="both"/>
              <w:rPr>
                <w:rFonts w:ascii="Arial" w:hAnsi="Arial" w:cs="Arial"/>
                <w:sz w:val="22"/>
                <w:szCs w:val="22"/>
              </w:rPr>
            </w:pPr>
            <w:r>
              <w:rPr>
                <w:rFonts w:ascii="Arial" w:hAnsi="Arial" w:cs="Arial"/>
                <w:sz w:val="22"/>
                <w:szCs w:val="22"/>
              </w:rPr>
              <w:t>-</w:t>
            </w:r>
          </w:p>
        </w:tc>
      </w:tr>
      <w:tr w:rsidR="00E86883" w:rsidRPr="00E86883" w14:paraId="2B9A8F93" w14:textId="77777777" w:rsidTr="008D14FE">
        <w:trPr>
          <w:trHeight w:val="70"/>
        </w:trPr>
        <w:tc>
          <w:tcPr>
            <w:tcW w:w="2802" w:type="dxa"/>
          </w:tcPr>
          <w:p w14:paraId="79E018D4" w14:textId="77777777" w:rsidR="00E86883" w:rsidRPr="00DC29DF" w:rsidRDefault="00E86883" w:rsidP="00C51B65">
            <w:pPr>
              <w:spacing w:line="276" w:lineRule="auto"/>
              <w:rPr>
                <w:rFonts w:ascii="Arial" w:hAnsi="Arial" w:cs="Arial"/>
                <w:sz w:val="22"/>
                <w:szCs w:val="22"/>
              </w:rPr>
            </w:pPr>
            <w:r w:rsidRPr="00DC29DF">
              <w:rPr>
                <w:rFonts w:ascii="Arial" w:hAnsi="Arial" w:cs="Arial"/>
                <w:sz w:val="22"/>
                <w:szCs w:val="22"/>
              </w:rPr>
              <w:t>Mezinárodní srovnání:</w:t>
            </w:r>
          </w:p>
        </w:tc>
        <w:tc>
          <w:tcPr>
            <w:tcW w:w="6486" w:type="dxa"/>
          </w:tcPr>
          <w:p w14:paraId="25258636" w14:textId="77777777" w:rsidR="00E86883" w:rsidRPr="00DC29DF" w:rsidRDefault="00550B46" w:rsidP="00C51B65">
            <w:pPr>
              <w:spacing w:line="276" w:lineRule="auto"/>
              <w:rPr>
                <w:rFonts w:ascii="Arial" w:hAnsi="Arial" w:cs="Arial"/>
                <w:sz w:val="22"/>
                <w:szCs w:val="22"/>
              </w:rPr>
            </w:pPr>
            <w:r>
              <w:rPr>
                <w:rFonts w:ascii="Arial" w:hAnsi="Arial" w:cs="Arial"/>
                <w:sz w:val="22"/>
                <w:szCs w:val="22"/>
              </w:rPr>
              <w:t>-</w:t>
            </w:r>
          </w:p>
        </w:tc>
      </w:tr>
    </w:tbl>
    <w:p w14:paraId="6382B897" w14:textId="77777777" w:rsidR="00E86883" w:rsidRPr="00E86883" w:rsidRDefault="00550B46" w:rsidP="00ED673D">
      <w:pPr>
        <w:pStyle w:val="r2030podcle"/>
        <w:numPr>
          <w:ilvl w:val="1"/>
          <w:numId w:val="17"/>
        </w:numPr>
        <w:ind w:left="567" w:hanging="425"/>
        <w:rPr>
          <w:rFonts w:eastAsia="Arial"/>
        </w:rPr>
      </w:pPr>
      <w:r w:rsidRPr="00550B46">
        <w:t>Pracovníci v kultuře jsou podporováni metodicky i finančně s cílem zvyšování jejich pr</w:t>
      </w:r>
      <w:r>
        <w:t>estiže a zlepšování podmínek po</w:t>
      </w:r>
      <w:r w:rsidRPr="00550B46">
        <w:t>třebných pro jejich kreativní a m</w:t>
      </w:r>
      <w:r>
        <w:t>otivační roli vůči dalším skupi</w:t>
      </w:r>
      <w:r w:rsidRPr="00550B46">
        <w:t>nám společnosti.</w:t>
      </w:r>
    </w:p>
    <w:tbl>
      <w:tblPr>
        <w:tblStyle w:val="Mkatabulky"/>
        <w:tblW w:w="0" w:type="auto"/>
        <w:tblLook w:val="04A0" w:firstRow="1" w:lastRow="0" w:firstColumn="1" w:lastColumn="0" w:noHBand="0" w:noVBand="1"/>
      </w:tblPr>
      <w:tblGrid>
        <w:gridCol w:w="2802"/>
        <w:gridCol w:w="6486"/>
      </w:tblGrid>
      <w:tr w:rsidR="00E86883" w:rsidRPr="00E86883" w14:paraId="13A635FE" w14:textId="77777777" w:rsidTr="008D14FE">
        <w:tc>
          <w:tcPr>
            <w:tcW w:w="2802" w:type="dxa"/>
          </w:tcPr>
          <w:p w14:paraId="28F06FEB"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Název a označení indikátoru: </w:t>
            </w:r>
          </w:p>
        </w:tc>
        <w:tc>
          <w:tcPr>
            <w:tcW w:w="6486" w:type="dxa"/>
          </w:tcPr>
          <w:p w14:paraId="2B0255E7" w14:textId="77777777" w:rsidR="00E86883" w:rsidRPr="00E86883" w:rsidRDefault="00E86883" w:rsidP="00C51B65">
            <w:pPr>
              <w:spacing w:line="276" w:lineRule="auto"/>
              <w:contextualSpacing/>
              <w:rPr>
                <w:rFonts w:ascii="Arial" w:hAnsi="Arial" w:cs="Arial"/>
                <w:b/>
                <w:sz w:val="22"/>
                <w:szCs w:val="22"/>
              </w:rPr>
            </w:pPr>
            <w:r w:rsidRPr="00E86883">
              <w:rPr>
                <w:rFonts w:ascii="Arial" w:hAnsi="Arial" w:cs="Arial"/>
                <w:b/>
                <w:sz w:val="22"/>
                <w:szCs w:val="22"/>
              </w:rPr>
              <w:t>6.4.1 Platy a mzdy v kulturním sektoru</w:t>
            </w:r>
          </w:p>
        </w:tc>
      </w:tr>
      <w:tr w:rsidR="00E86883" w:rsidRPr="00E86883" w14:paraId="7359294E" w14:textId="77777777" w:rsidTr="008D14FE">
        <w:tc>
          <w:tcPr>
            <w:tcW w:w="2802" w:type="dxa"/>
          </w:tcPr>
          <w:p w14:paraId="6A721827"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Stručná definice: </w:t>
            </w:r>
          </w:p>
        </w:tc>
        <w:tc>
          <w:tcPr>
            <w:tcW w:w="6486" w:type="dxa"/>
          </w:tcPr>
          <w:p w14:paraId="361589ED" w14:textId="77777777" w:rsidR="00E86883" w:rsidRPr="00E86883" w:rsidRDefault="00E86883" w:rsidP="00ED673D">
            <w:pPr>
              <w:spacing w:line="276" w:lineRule="auto"/>
              <w:jc w:val="both"/>
              <w:rPr>
                <w:rFonts w:ascii="Arial" w:hAnsi="Arial" w:cs="Arial"/>
                <w:sz w:val="22"/>
                <w:szCs w:val="22"/>
              </w:rPr>
            </w:pPr>
            <w:r w:rsidRPr="00E86883">
              <w:rPr>
                <w:rFonts w:ascii="Arial" w:hAnsi="Arial" w:cs="Arial"/>
                <w:sz w:val="22"/>
                <w:szCs w:val="22"/>
              </w:rPr>
              <w:t>Průměrné platy a mzdy v odvětví Kulturní, zábavní a rekreační činnosti</w:t>
            </w:r>
            <w:r w:rsidR="000612EA">
              <w:rPr>
                <w:rFonts w:ascii="Arial" w:hAnsi="Arial" w:cs="Arial"/>
                <w:sz w:val="22"/>
                <w:szCs w:val="22"/>
              </w:rPr>
              <w:t xml:space="preserve"> a jejich srovnání s průměrnou</w:t>
            </w:r>
            <w:r w:rsidR="009C08F3">
              <w:rPr>
                <w:rFonts w:ascii="Arial" w:hAnsi="Arial" w:cs="Arial"/>
                <w:sz w:val="22"/>
                <w:szCs w:val="22"/>
              </w:rPr>
              <w:t xml:space="preserve"> hrubou</w:t>
            </w:r>
            <w:r w:rsidR="000612EA">
              <w:rPr>
                <w:rFonts w:ascii="Arial" w:hAnsi="Arial" w:cs="Arial"/>
                <w:sz w:val="22"/>
                <w:szCs w:val="22"/>
              </w:rPr>
              <w:t xml:space="preserve"> mzdou</w:t>
            </w:r>
          </w:p>
        </w:tc>
      </w:tr>
      <w:tr w:rsidR="00E86883" w:rsidRPr="00E86883" w14:paraId="5E5FEB64" w14:textId="77777777" w:rsidTr="008D14FE">
        <w:tc>
          <w:tcPr>
            <w:tcW w:w="2802" w:type="dxa"/>
          </w:tcPr>
          <w:p w14:paraId="3E9277DE"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Jednotka:</w:t>
            </w:r>
          </w:p>
        </w:tc>
        <w:tc>
          <w:tcPr>
            <w:tcW w:w="6486" w:type="dxa"/>
          </w:tcPr>
          <w:p w14:paraId="140D5418" w14:textId="77777777" w:rsidR="00E86883" w:rsidRPr="00E86883" w:rsidRDefault="000612EA" w:rsidP="00ED673D">
            <w:pPr>
              <w:spacing w:line="276" w:lineRule="auto"/>
              <w:jc w:val="both"/>
              <w:rPr>
                <w:rFonts w:ascii="Arial" w:hAnsi="Arial" w:cs="Arial"/>
                <w:sz w:val="22"/>
                <w:szCs w:val="22"/>
              </w:rPr>
            </w:pPr>
            <w:r>
              <w:rPr>
                <w:rFonts w:ascii="Arial" w:hAnsi="Arial" w:cs="Arial"/>
                <w:sz w:val="22"/>
                <w:szCs w:val="22"/>
              </w:rPr>
              <w:t xml:space="preserve">Podíl (v %), </w:t>
            </w:r>
            <w:r w:rsidR="00E86883" w:rsidRPr="00E86883">
              <w:rPr>
                <w:rFonts w:ascii="Arial" w:hAnsi="Arial" w:cs="Arial"/>
                <w:sz w:val="22"/>
                <w:szCs w:val="22"/>
              </w:rPr>
              <w:t>Kč</w:t>
            </w:r>
          </w:p>
        </w:tc>
      </w:tr>
      <w:tr w:rsidR="00E86883" w:rsidRPr="00E86883" w14:paraId="271F162F" w14:textId="77777777" w:rsidTr="008D14FE">
        <w:tc>
          <w:tcPr>
            <w:tcW w:w="2802" w:type="dxa"/>
          </w:tcPr>
          <w:p w14:paraId="20D650E5"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Gestor: </w:t>
            </w:r>
          </w:p>
        </w:tc>
        <w:tc>
          <w:tcPr>
            <w:tcW w:w="6486" w:type="dxa"/>
          </w:tcPr>
          <w:p w14:paraId="58EA1471" w14:textId="77777777" w:rsidR="00E86883" w:rsidRPr="00E86883" w:rsidRDefault="00E86883" w:rsidP="00ED673D">
            <w:pPr>
              <w:spacing w:line="276" w:lineRule="auto"/>
              <w:jc w:val="both"/>
              <w:rPr>
                <w:rFonts w:ascii="Arial" w:hAnsi="Arial" w:cs="Arial"/>
                <w:sz w:val="22"/>
                <w:szCs w:val="22"/>
              </w:rPr>
            </w:pPr>
            <w:r w:rsidRPr="00E86883">
              <w:rPr>
                <w:rFonts w:ascii="Arial" w:hAnsi="Arial" w:cs="Arial"/>
                <w:sz w:val="22"/>
                <w:szCs w:val="22"/>
              </w:rPr>
              <w:t>Národní informační a poradenské středisko pro kulturu</w:t>
            </w:r>
          </w:p>
        </w:tc>
      </w:tr>
      <w:tr w:rsidR="00E86883" w:rsidRPr="00E86883" w14:paraId="44BD7545" w14:textId="77777777" w:rsidTr="008D14FE">
        <w:tc>
          <w:tcPr>
            <w:tcW w:w="2802" w:type="dxa"/>
          </w:tcPr>
          <w:p w14:paraId="6EA2C876"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Význam indikátoru: </w:t>
            </w:r>
          </w:p>
        </w:tc>
        <w:tc>
          <w:tcPr>
            <w:tcW w:w="6486" w:type="dxa"/>
          </w:tcPr>
          <w:p w14:paraId="75F14A54" w14:textId="77777777" w:rsidR="00E86883" w:rsidRPr="00E86883" w:rsidRDefault="00E86883" w:rsidP="00ED673D">
            <w:pPr>
              <w:spacing w:line="276" w:lineRule="auto"/>
              <w:jc w:val="both"/>
              <w:rPr>
                <w:rFonts w:ascii="Arial" w:hAnsi="Arial" w:cs="Arial"/>
                <w:sz w:val="22"/>
                <w:szCs w:val="22"/>
              </w:rPr>
            </w:pPr>
            <w:r w:rsidRPr="00E86883">
              <w:rPr>
                <w:rFonts w:ascii="Arial" w:hAnsi="Arial" w:cs="Arial"/>
                <w:sz w:val="22"/>
                <w:szCs w:val="22"/>
              </w:rPr>
              <w:t>Finanční podpora pracovníků v</w:t>
            </w:r>
            <w:r w:rsidR="00CB6A4B">
              <w:rPr>
                <w:rFonts w:ascii="Arial" w:hAnsi="Arial" w:cs="Arial"/>
                <w:sz w:val="22"/>
                <w:szCs w:val="22"/>
              </w:rPr>
              <w:t> </w:t>
            </w:r>
            <w:r w:rsidRPr="00E86883">
              <w:rPr>
                <w:rFonts w:ascii="Arial" w:hAnsi="Arial" w:cs="Arial"/>
                <w:sz w:val="22"/>
                <w:szCs w:val="22"/>
              </w:rPr>
              <w:t>kultuře</w:t>
            </w:r>
          </w:p>
        </w:tc>
      </w:tr>
      <w:tr w:rsidR="00E86883" w:rsidRPr="00E86883" w14:paraId="2A6857C2" w14:textId="77777777" w:rsidTr="008D14FE">
        <w:tc>
          <w:tcPr>
            <w:tcW w:w="2802" w:type="dxa"/>
          </w:tcPr>
          <w:p w14:paraId="3348C28A"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Časová řada: </w:t>
            </w:r>
          </w:p>
        </w:tc>
        <w:tc>
          <w:tcPr>
            <w:tcW w:w="6486" w:type="dxa"/>
          </w:tcPr>
          <w:p w14:paraId="095C063F" w14:textId="77777777" w:rsidR="00E86883" w:rsidRPr="00E86883" w:rsidRDefault="00E86883" w:rsidP="00ED673D">
            <w:pPr>
              <w:spacing w:line="276" w:lineRule="auto"/>
              <w:jc w:val="both"/>
              <w:rPr>
                <w:rFonts w:ascii="Arial" w:hAnsi="Arial" w:cs="Arial"/>
                <w:sz w:val="22"/>
                <w:szCs w:val="22"/>
              </w:rPr>
            </w:pPr>
            <w:r w:rsidRPr="00E86883">
              <w:rPr>
                <w:rFonts w:ascii="Arial" w:hAnsi="Arial" w:cs="Arial"/>
                <w:sz w:val="22"/>
                <w:szCs w:val="22"/>
              </w:rPr>
              <w:t xml:space="preserve">Od </w:t>
            </w:r>
            <w:r w:rsidR="00D064C6">
              <w:rPr>
                <w:rFonts w:ascii="Arial" w:hAnsi="Arial" w:cs="Arial"/>
                <w:sz w:val="22"/>
                <w:szCs w:val="22"/>
              </w:rPr>
              <w:t xml:space="preserve">roku </w:t>
            </w:r>
            <w:r w:rsidRPr="00E86883">
              <w:rPr>
                <w:rFonts w:ascii="Arial" w:hAnsi="Arial" w:cs="Arial"/>
                <w:sz w:val="22"/>
                <w:szCs w:val="22"/>
              </w:rPr>
              <w:t>2009</w:t>
            </w:r>
          </w:p>
        </w:tc>
      </w:tr>
      <w:tr w:rsidR="00E86883" w:rsidRPr="00E86883" w14:paraId="56AD0E17" w14:textId="77777777" w:rsidTr="008D14FE">
        <w:tc>
          <w:tcPr>
            <w:tcW w:w="2802" w:type="dxa"/>
          </w:tcPr>
          <w:p w14:paraId="7FFB8224" w14:textId="77777777" w:rsidR="00E86883" w:rsidRPr="00E86883" w:rsidRDefault="00E86883" w:rsidP="00C51B65">
            <w:pPr>
              <w:spacing w:line="276" w:lineRule="auto"/>
              <w:rPr>
                <w:rFonts w:ascii="Arial" w:hAnsi="Arial" w:cs="Arial"/>
                <w:sz w:val="22"/>
                <w:szCs w:val="22"/>
              </w:rPr>
            </w:pPr>
            <w:r w:rsidRPr="00E86883">
              <w:rPr>
                <w:rFonts w:ascii="Arial" w:hAnsi="Arial" w:cs="Arial"/>
                <w:sz w:val="22"/>
                <w:szCs w:val="22"/>
              </w:rPr>
              <w:t xml:space="preserve">Frekvence výstupu: </w:t>
            </w:r>
          </w:p>
        </w:tc>
        <w:tc>
          <w:tcPr>
            <w:tcW w:w="6486" w:type="dxa"/>
          </w:tcPr>
          <w:p w14:paraId="6EBCA905" w14:textId="77777777" w:rsidR="00E86883" w:rsidRPr="00E86883" w:rsidRDefault="00E86883" w:rsidP="00ED673D">
            <w:pPr>
              <w:spacing w:line="276" w:lineRule="auto"/>
              <w:jc w:val="both"/>
              <w:rPr>
                <w:rFonts w:ascii="Arial" w:hAnsi="Arial" w:cs="Arial"/>
                <w:sz w:val="22"/>
                <w:szCs w:val="22"/>
              </w:rPr>
            </w:pPr>
            <w:r w:rsidRPr="00E86883">
              <w:rPr>
                <w:rFonts w:ascii="Arial" w:hAnsi="Arial" w:cs="Arial"/>
                <w:sz w:val="22"/>
                <w:szCs w:val="22"/>
              </w:rPr>
              <w:t>Ročně</w:t>
            </w:r>
          </w:p>
        </w:tc>
      </w:tr>
      <w:tr w:rsidR="00E86883" w:rsidRPr="00E86883" w14:paraId="08A8688C" w14:textId="77777777" w:rsidTr="008D14FE">
        <w:trPr>
          <w:trHeight w:val="70"/>
        </w:trPr>
        <w:tc>
          <w:tcPr>
            <w:tcW w:w="2802" w:type="dxa"/>
          </w:tcPr>
          <w:p w14:paraId="48026A23" w14:textId="77777777" w:rsidR="00E86883" w:rsidRPr="00DC29DF" w:rsidRDefault="00E86883" w:rsidP="00C51B65">
            <w:pPr>
              <w:spacing w:line="276" w:lineRule="auto"/>
              <w:rPr>
                <w:rFonts w:ascii="Arial" w:hAnsi="Arial" w:cs="Arial"/>
                <w:sz w:val="22"/>
                <w:szCs w:val="22"/>
              </w:rPr>
            </w:pPr>
            <w:r w:rsidRPr="00DC29DF">
              <w:rPr>
                <w:rFonts w:ascii="Arial" w:hAnsi="Arial" w:cs="Arial"/>
                <w:sz w:val="22"/>
                <w:szCs w:val="22"/>
              </w:rPr>
              <w:t xml:space="preserve">Členění indikátoru: </w:t>
            </w:r>
          </w:p>
        </w:tc>
        <w:tc>
          <w:tcPr>
            <w:tcW w:w="6486" w:type="dxa"/>
          </w:tcPr>
          <w:p w14:paraId="1FAE9C21" w14:textId="77777777" w:rsidR="00E86883" w:rsidRPr="00DC29DF" w:rsidRDefault="00550B46" w:rsidP="00ED673D">
            <w:pPr>
              <w:spacing w:line="276" w:lineRule="auto"/>
              <w:jc w:val="both"/>
              <w:rPr>
                <w:rFonts w:ascii="Arial" w:hAnsi="Arial" w:cs="Arial"/>
                <w:sz w:val="22"/>
                <w:szCs w:val="22"/>
              </w:rPr>
            </w:pPr>
            <w:r>
              <w:rPr>
                <w:rFonts w:ascii="Arial" w:hAnsi="Arial" w:cs="Arial"/>
                <w:sz w:val="22"/>
                <w:szCs w:val="22"/>
              </w:rPr>
              <w:t>-</w:t>
            </w:r>
          </w:p>
        </w:tc>
      </w:tr>
      <w:tr w:rsidR="00E86883" w:rsidRPr="00E86883" w14:paraId="32014961" w14:textId="77777777" w:rsidTr="008D14FE">
        <w:trPr>
          <w:trHeight w:val="70"/>
        </w:trPr>
        <w:tc>
          <w:tcPr>
            <w:tcW w:w="2802" w:type="dxa"/>
          </w:tcPr>
          <w:p w14:paraId="3FBF6C12" w14:textId="77777777" w:rsidR="00E86883" w:rsidRPr="00DC29DF" w:rsidRDefault="00E86883" w:rsidP="00C51B65">
            <w:pPr>
              <w:spacing w:line="276" w:lineRule="auto"/>
              <w:rPr>
                <w:rFonts w:ascii="Arial" w:hAnsi="Arial" w:cs="Arial"/>
                <w:sz w:val="22"/>
                <w:szCs w:val="22"/>
              </w:rPr>
            </w:pPr>
            <w:r w:rsidRPr="00DC29DF">
              <w:rPr>
                <w:rFonts w:ascii="Arial" w:hAnsi="Arial" w:cs="Arial"/>
                <w:sz w:val="22"/>
                <w:szCs w:val="22"/>
              </w:rPr>
              <w:t>Mezinárodní srovnání:</w:t>
            </w:r>
          </w:p>
        </w:tc>
        <w:tc>
          <w:tcPr>
            <w:tcW w:w="6486" w:type="dxa"/>
          </w:tcPr>
          <w:p w14:paraId="2DA1C4A2" w14:textId="77777777" w:rsidR="00E86883" w:rsidRPr="00DC29DF" w:rsidRDefault="00550B46" w:rsidP="00FB6CF6">
            <w:pPr>
              <w:spacing w:line="276" w:lineRule="auto"/>
              <w:jc w:val="both"/>
              <w:rPr>
                <w:rFonts w:ascii="Arial" w:hAnsi="Arial" w:cs="Arial"/>
                <w:sz w:val="22"/>
                <w:szCs w:val="22"/>
              </w:rPr>
            </w:pPr>
            <w:r>
              <w:rPr>
                <w:rFonts w:ascii="Arial" w:hAnsi="Arial" w:cs="Arial"/>
                <w:sz w:val="22"/>
                <w:szCs w:val="22"/>
              </w:rPr>
              <w:t>-</w:t>
            </w:r>
          </w:p>
        </w:tc>
      </w:tr>
    </w:tbl>
    <w:p w14:paraId="6BF36403" w14:textId="063F6FA4" w:rsidR="00ED673D" w:rsidRDefault="00ED673D" w:rsidP="00ED673D">
      <w:pPr>
        <w:pStyle w:val="Nadpis1"/>
        <w:numPr>
          <w:ilvl w:val="0"/>
          <w:numId w:val="0"/>
        </w:numPr>
        <w:ind w:left="567"/>
      </w:pPr>
      <w:bookmarkStart w:id="2" w:name="_Toc476663536"/>
    </w:p>
    <w:p w14:paraId="4AAAA0A6" w14:textId="77777777" w:rsidR="00ED673D" w:rsidRDefault="00ED673D">
      <w:pPr>
        <w:spacing w:after="200" w:line="276" w:lineRule="auto"/>
        <w:rPr>
          <w:rFonts w:ascii="Arial" w:eastAsiaTheme="majorEastAsia" w:hAnsi="Arial" w:cs="Arial"/>
          <w:b/>
          <w:bCs/>
          <w:kern w:val="32"/>
          <w:sz w:val="28"/>
          <w:szCs w:val="32"/>
          <w:lang w:eastAsia="en-US"/>
        </w:rPr>
      </w:pPr>
      <w:r>
        <w:br w:type="page"/>
      </w:r>
    </w:p>
    <w:p w14:paraId="2DED435C" w14:textId="77777777" w:rsidR="00666033" w:rsidRDefault="00FC7B20" w:rsidP="00ED673D">
      <w:pPr>
        <w:pStyle w:val="Nadpis1"/>
        <w:ind w:hanging="425"/>
      </w:pPr>
      <w:r>
        <w:lastRenderedPageBreak/>
        <w:t>H</w:t>
      </w:r>
      <w:r w:rsidR="00666033" w:rsidRPr="00DA3A75">
        <w:t>ospodářský model</w:t>
      </w:r>
      <w:bookmarkEnd w:id="2"/>
    </w:p>
    <w:p w14:paraId="023DDC98" w14:textId="77777777" w:rsidR="00666033" w:rsidRPr="00682DAD" w:rsidRDefault="00D064C6" w:rsidP="00ED673D">
      <w:pPr>
        <w:pStyle w:val="r2030cle"/>
        <w:numPr>
          <w:ilvl w:val="0"/>
          <w:numId w:val="17"/>
        </w:numPr>
        <w:ind w:left="567" w:hanging="425"/>
      </w:pPr>
      <w:r>
        <w:t xml:space="preserve">Ekonomika </w:t>
      </w:r>
      <w:r w:rsidR="00550B46" w:rsidRPr="00550B46">
        <w:t>dlouhodobě roste a domácí sektor je silný.</w:t>
      </w:r>
    </w:p>
    <w:p w14:paraId="1A44613A" w14:textId="77777777" w:rsidR="00666033" w:rsidRPr="00D064C6" w:rsidRDefault="00D064C6" w:rsidP="00ED673D">
      <w:pPr>
        <w:pStyle w:val="r2030podcle"/>
        <w:numPr>
          <w:ilvl w:val="1"/>
          <w:numId w:val="17"/>
        </w:numPr>
        <w:ind w:left="567" w:hanging="425"/>
      </w:pPr>
      <w:r w:rsidRPr="00D064C6">
        <w:t>Domácí části ekonomiky se rozvíjejí.</w:t>
      </w:r>
    </w:p>
    <w:tbl>
      <w:tblPr>
        <w:tblStyle w:val="Mkatabulky"/>
        <w:tblW w:w="0" w:type="auto"/>
        <w:tblLook w:val="04A0" w:firstRow="1" w:lastRow="0" w:firstColumn="1" w:lastColumn="0" w:noHBand="0" w:noVBand="1"/>
      </w:tblPr>
      <w:tblGrid>
        <w:gridCol w:w="2802"/>
        <w:gridCol w:w="6486"/>
      </w:tblGrid>
      <w:tr w:rsidR="00666033" w:rsidRPr="00CA79AD" w14:paraId="5923E692" w14:textId="77777777" w:rsidTr="00666033">
        <w:tc>
          <w:tcPr>
            <w:tcW w:w="2802" w:type="dxa"/>
          </w:tcPr>
          <w:p w14:paraId="4C52B5C7"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Název a označení indikátoru: </w:t>
            </w:r>
          </w:p>
        </w:tc>
        <w:tc>
          <w:tcPr>
            <w:tcW w:w="6486" w:type="dxa"/>
          </w:tcPr>
          <w:p w14:paraId="1C147D9E" w14:textId="504EA221" w:rsidR="00666033" w:rsidRPr="00BF37CE" w:rsidRDefault="00666033" w:rsidP="00F850B4">
            <w:pPr>
              <w:spacing w:line="276" w:lineRule="auto"/>
              <w:rPr>
                <w:rFonts w:ascii="Arial" w:hAnsi="Arial" w:cs="Arial"/>
                <w:b/>
                <w:sz w:val="22"/>
                <w:szCs w:val="22"/>
              </w:rPr>
            </w:pPr>
            <w:r w:rsidRPr="00BF37CE">
              <w:rPr>
                <w:rFonts w:ascii="Arial" w:hAnsi="Arial" w:cs="Arial"/>
                <w:b/>
                <w:sz w:val="22"/>
                <w:szCs w:val="22"/>
              </w:rPr>
              <w:t xml:space="preserve">7.1.1 Hrubá přidaná hodnota </w:t>
            </w:r>
            <w:r>
              <w:rPr>
                <w:rFonts w:ascii="Arial" w:hAnsi="Arial" w:cs="Arial"/>
                <w:b/>
                <w:sz w:val="22"/>
                <w:szCs w:val="22"/>
              </w:rPr>
              <w:t>podniků</w:t>
            </w:r>
          </w:p>
        </w:tc>
      </w:tr>
      <w:tr w:rsidR="00666033" w:rsidRPr="00CA79AD" w14:paraId="5C632AA2" w14:textId="77777777" w:rsidTr="00666033">
        <w:tc>
          <w:tcPr>
            <w:tcW w:w="2802" w:type="dxa"/>
          </w:tcPr>
          <w:p w14:paraId="51515684"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Stručná definice: </w:t>
            </w:r>
          </w:p>
        </w:tc>
        <w:tc>
          <w:tcPr>
            <w:tcW w:w="6486" w:type="dxa"/>
          </w:tcPr>
          <w:p w14:paraId="3870D9E0" w14:textId="78C368AF" w:rsidR="00666033" w:rsidRPr="00CA79AD" w:rsidRDefault="00666033" w:rsidP="00ED673D">
            <w:pPr>
              <w:spacing w:line="276" w:lineRule="auto"/>
              <w:jc w:val="both"/>
              <w:rPr>
                <w:rFonts w:ascii="Arial" w:hAnsi="Arial" w:cs="Arial"/>
                <w:sz w:val="22"/>
                <w:szCs w:val="22"/>
              </w:rPr>
            </w:pPr>
            <w:r w:rsidRPr="00CA79AD">
              <w:rPr>
                <w:rFonts w:ascii="Arial" w:hAnsi="Arial" w:cs="Arial"/>
                <w:sz w:val="22"/>
                <w:szCs w:val="22"/>
              </w:rPr>
              <w:t xml:space="preserve">Hrubá přidaná hodnota je definována jako rozdíl produkce a </w:t>
            </w:r>
            <w:proofErr w:type="spellStart"/>
            <w:r w:rsidRPr="00CA79AD">
              <w:rPr>
                <w:rFonts w:ascii="Arial" w:hAnsi="Arial" w:cs="Arial"/>
                <w:sz w:val="22"/>
                <w:szCs w:val="22"/>
              </w:rPr>
              <w:t>mezispotřeby</w:t>
            </w:r>
            <w:proofErr w:type="spellEnd"/>
            <w:r w:rsidRPr="00CA79AD">
              <w:rPr>
                <w:rFonts w:ascii="Arial" w:hAnsi="Arial" w:cs="Arial"/>
                <w:sz w:val="22"/>
                <w:szCs w:val="22"/>
              </w:rPr>
              <w:t xml:space="preserve">. </w:t>
            </w:r>
          </w:p>
        </w:tc>
      </w:tr>
      <w:tr w:rsidR="00666033" w:rsidRPr="00CA79AD" w14:paraId="79C33A46" w14:textId="77777777" w:rsidTr="00666033">
        <w:tc>
          <w:tcPr>
            <w:tcW w:w="2802" w:type="dxa"/>
          </w:tcPr>
          <w:p w14:paraId="636774E5"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Jednotka:</w:t>
            </w:r>
          </w:p>
        </w:tc>
        <w:tc>
          <w:tcPr>
            <w:tcW w:w="6486" w:type="dxa"/>
          </w:tcPr>
          <w:p w14:paraId="12FC728D" w14:textId="77777777" w:rsidR="00666033" w:rsidRPr="00CA79AD" w:rsidRDefault="005869A0" w:rsidP="00ED673D">
            <w:pPr>
              <w:spacing w:line="276" w:lineRule="auto"/>
              <w:jc w:val="both"/>
              <w:rPr>
                <w:rFonts w:ascii="Arial" w:hAnsi="Arial" w:cs="Arial"/>
                <w:sz w:val="22"/>
                <w:szCs w:val="22"/>
              </w:rPr>
            </w:pPr>
            <w:r>
              <w:rPr>
                <w:rFonts w:ascii="Arial" w:hAnsi="Arial" w:cs="Arial"/>
                <w:sz w:val="22"/>
                <w:szCs w:val="22"/>
              </w:rPr>
              <w:t>m</w:t>
            </w:r>
            <w:r w:rsidR="00666033" w:rsidRPr="00CA79AD">
              <w:rPr>
                <w:rFonts w:ascii="Arial" w:hAnsi="Arial" w:cs="Arial"/>
                <w:sz w:val="22"/>
                <w:szCs w:val="22"/>
              </w:rPr>
              <w:t>il. Kč</w:t>
            </w:r>
          </w:p>
        </w:tc>
      </w:tr>
      <w:tr w:rsidR="00666033" w:rsidRPr="00CA79AD" w14:paraId="0EEEB102" w14:textId="77777777" w:rsidTr="00666033">
        <w:tc>
          <w:tcPr>
            <w:tcW w:w="2802" w:type="dxa"/>
          </w:tcPr>
          <w:p w14:paraId="519F9254"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Gestor: </w:t>
            </w:r>
          </w:p>
        </w:tc>
        <w:tc>
          <w:tcPr>
            <w:tcW w:w="6486" w:type="dxa"/>
          </w:tcPr>
          <w:p w14:paraId="71BD86F1" w14:textId="77777777" w:rsidR="00666033" w:rsidRPr="00CA79AD" w:rsidRDefault="00666033" w:rsidP="00ED673D">
            <w:pPr>
              <w:spacing w:line="276" w:lineRule="auto"/>
              <w:jc w:val="both"/>
              <w:rPr>
                <w:rFonts w:ascii="Arial" w:hAnsi="Arial" w:cs="Arial"/>
                <w:sz w:val="22"/>
                <w:szCs w:val="22"/>
              </w:rPr>
            </w:pPr>
            <w:r>
              <w:rPr>
                <w:rFonts w:ascii="Arial" w:hAnsi="Arial" w:cs="Arial"/>
                <w:sz w:val="22"/>
                <w:szCs w:val="22"/>
              </w:rPr>
              <w:t>Český statistický úřad</w:t>
            </w:r>
          </w:p>
        </w:tc>
      </w:tr>
      <w:tr w:rsidR="00666033" w:rsidRPr="00CA79AD" w14:paraId="6F39F9E9" w14:textId="77777777" w:rsidTr="00666033">
        <w:tc>
          <w:tcPr>
            <w:tcW w:w="2802" w:type="dxa"/>
          </w:tcPr>
          <w:p w14:paraId="76094B1A"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Význam indikátoru: </w:t>
            </w:r>
          </w:p>
        </w:tc>
        <w:tc>
          <w:tcPr>
            <w:tcW w:w="6486" w:type="dxa"/>
          </w:tcPr>
          <w:p w14:paraId="5D93192F" w14:textId="7800A58C" w:rsidR="00666033" w:rsidRPr="00CA79AD" w:rsidRDefault="00666033" w:rsidP="00ED673D">
            <w:pPr>
              <w:spacing w:line="276" w:lineRule="auto"/>
              <w:jc w:val="both"/>
              <w:rPr>
                <w:rFonts w:ascii="Arial" w:hAnsi="Arial" w:cs="Arial"/>
                <w:sz w:val="22"/>
                <w:szCs w:val="22"/>
              </w:rPr>
            </w:pPr>
            <w:r w:rsidRPr="00CA79AD">
              <w:rPr>
                <w:rFonts w:ascii="Arial" w:hAnsi="Arial" w:cs="Arial"/>
                <w:sz w:val="22"/>
                <w:szCs w:val="22"/>
              </w:rPr>
              <w:t>Charakteriz</w:t>
            </w:r>
            <w:r w:rsidR="00D064C6">
              <w:rPr>
                <w:rFonts w:ascii="Arial" w:hAnsi="Arial" w:cs="Arial"/>
                <w:sz w:val="22"/>
                <w:szCs w:val="22"/>
              </w:rPr>
              <w:t>uje strukturu ekonomiky</w:t>
            </w:r>
            <w:r w:rsidRPr="00CA79AD">
              <w:rPr>
                <w:rFonts w:ascii="Arial" w:hAnsi="Arial" w:cs="Arial"/>
                <w:sz w:val="22"/>
                <w:szCs w:val="22"/>
              </w:rPr>
              <w:t xml:space="preserve"> podle </w:t>
            </w:r>
            <w:r w:rsidR="00F850B4">
              <w:rPr>
                <w:rFonts w:ascii="Arial" w:hAnsi="Arial" w:cs="Arial"/>
                <w:sz w:val="22"/>
                <w:szCs w:val="22"/>
              </w:rPr>
              <w:t xml:space="preserve">odvětví a </w:t>
            </w:r>
            <w:r w:rsidRPr="00CA79AD">
              <w:rPr>
                <w:rFonts w:ascii="Arial" w:hAnsi="Arial" w:cs="Arial"/>
                <w:sz w:val="22"/>
                <w:szCs w:val="22"/>
              </w:rPr>
              <w:t>původu ekonomických subjektů</w:t>
            </w:r>
            <w:r w:rsidR="00D064C6">
              <w:rPr>
                <w:rFonts w:ascii="Arial" w:hAnsi="Arial" w:cs="Arial"/>
                <w:sz w:val="22"/>
                <w:szCs w:val="22"/>
              </w:rPr>
              <w:t>.</w:t>
            </w:r>
            <w:r w:rsidR="00F850B4">
              <w:rPr>
                <w:rFonts w:ascii="Arial" w:hAnsi="Arial" w:cs="Arial"/>
                <w:sz w:val="22"/>
                <w:szCs w:val="22"/>
              </w:rPr>
              <w:t xml:space="preserve"> Proxy proměnná úspěšnosti jednotlivých sektorů.</w:t>
            </w:r>
          </w:p>
        </w:tc>
      </w:tr>
      <w:tr w:rsidR="00666033" w:rsidRPr="00CA79AD" w14:paraId="4171ACE9" w14:textId="77777777" w:rsidTr="00666033">
        <w:tc>
          <w:tcPr>
            <w:tcW w:w="2802" w:type="dxa"/>
          </w:tcPr>
          <w:p w14:paraId="1E3557AF"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Časová řada: </w:t>
            </w:r>
          </w:p>
        </w:tc>
        <w:tc>
          <w:tcPr>
            <w:tcW w:w="6486" w:type="dxa"/>
          </w:tcPr>
          <w:p w14:paraId="7F7187BF" w14:textId="77777777" w:rsidR="00666033" w:rsidRPr="00CA79AD" w:rsidRDefault="00D064C6" w:rsidP="00ED673D">
            <w:pPr>
              <w:spacing w:line="276" w:lineRule="auto"/>
              <w:jc w:val="both"/>
              <w:rPr>
                <w:rFonts w:ascii="Arial" w:hAnsi="Arial" w:cs="Arial"/>
                <w:sz w:val="22"/>
                <w:szCs w:val="22"/>
              </w:rPr>
            </w:pPr>
            <w:r>
              <w:rPr>
                <w:rFonts w:ascii="Arial" w:hAnsi="Arial" w:cs="Arial"/>
                <w:sz w:val="22"/>
                <w:szCs w:val="22"/>
              </w:rPr>
              <w:t>-</w:t>
            </w:r>
          </w:p>
        </w:tc>
      </w:tr>
      <w:tr w:rsidR="00666033" w:rsidRPr="00CA79AD" w14:paraId="5BEB129D" w14:textId="77777777" w:rsidTr="00666033">
        <w:tc>
          <w:tcPr>
            <w:tcW w:w="2802" w:type="dxa"/>
          </w:tcPr>
          <w:p w14:paraId="410350AB"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Frekvence výstupu: </w:t>
            </w:r>
          </w:p>
        </w:tc>
        <w:tc>
          <w:tcPr>
            <w:tcW w:w="6486" w:type="dxa"/>
          </w:tcPr>
          <w:p w14:paraId="373A8AC9" w14:textId="77777777" w:rsidR="00666033" w:rsidRPr="00CA79AD" w:rsidRDefault="00D11FCC" w:rsidP="00ED673D">
            <w:pPr>
              <w:spacing w:line="276" w:lineRule="auto"/>
              <w:jc w:val="both"/>
              <w:rPr>
                <w:rFonts w:ascii="Arial" w:hAnsi="Arial" w:cs="Arial"/>
                <w:sz w:val="22"/>
                <w:szCs w:val="22"/>
              </w:rPr>
            </w:pPr>
            <w:r>
              <w:rPr>
                <w:rFonts w:ascii="Arial" w:hAnsi="Arial" w:cs="Arial"/>
                <w:sz w:val="22"/>
                <w:szCs w:val="22"/>
              </w:rPr>
              <w:t>Ročně</w:t>
            </w:r>
          </w:p>
        </w:tc>
      </w:tr>
      <w:tr w:rsidR="00666033" w:rsidRPr="00CA79AD" w14:paraId="574A2B97" w14:textId="77777777" w:rsidTr="00666033">
        <w:trPr>
          <w:trHeight w:val="70"/>
        </w:trPr>
        <w:tc>
          <w:tcPr>
            <w:tcW w:w="2802" w:type="dxa"/>
          </w:tcPr>
          <w:p w14:paraId="643609D1"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Členění indikátoru: </w:t>
            </w:r>
          </w:p>
        </w:tc>
        <w:tc>
          <w:tcPr>
            <w:tcW w:w="6486" w:type="dxa"/>
          </w:tcPr>
          <w:p w14:paraId="08238FA4" w14:textId="650D173B" w:rsidR="00666033" w:rsidRPr="00CA79AD" w:rsidRDefault="00EB2BE3" w:rsidP="00ED673D">
            <w:pPr>
              <w:spacing w:line="276" w:lineRule="auto"/>
              <w:jc w:val="both"/>
              <w:rPr>
                <w:rFonts w:ascii="Arial" w:hAnsi="Arial" w:cs="Arial"/>
                <w:sz w:val="22"/>
                <w:szCs w:val="22"/>
              </w:rPr>
            </w:pPr>
            <w:r w:rsidRPr="00EB2BE3">
              <w:rPr>
                <w:rFonts w:ascii="Arial" w:hAnsi="Arial" w:cs="Arial"/>
                <w:sz w:val="22"/>
                <w:szCs w:val="22"/>
              </w:rPr>
              <w:t>Klasifikace ekonomických činností Revize 2</w:t>
            </w:r>
            <w:r>
              <w:rPr>
                <w:rFonts w:ascii="Arial" w:hAnsi="Arial" w:cs="Arial"/>
                <w:sz w:val="22"/>
                <w:szCs w:val="22"/>
              </w:rPr>
              <w:t xml:space="preserve"> (</w:t>
            </w:r>
            <w:r w:rsidR="00666033" w:rsidRPr="00CA79AD">
              <w:rPr>
                <w:rFonts w:ascii="Arial" w:hAnsi="Arial" w:cs="Arial"/>
                <w:sz w:val="22"/>
                <w:szCs w:val="22"/>
              </w:rPr>
              <w:t xml:space="preserve">NACE </w:t>
            </w:r>
            <w:proofErr w:type="spellStart"/>
            <w:r w:rsidR="00666033" w:rsidRPr="00CA79AD">
              <w:rPr>
                <w:rFonts w:ascii="Arial" w:hAnsi="Arial" w:cs="Arial"/>
                <w:sz w:val="22"/>
                <w:szCs w:val="22"/>
              </w:rPr>
              <w:t>Rev</w:t>
            </w:r>
            <w:proofErr w:type="spellEnd"/>
            <w:r w:rsidR="00666033" w:rsidRPr="00CA79AD">
              <w:rPr>
                <w:rFonts w:ascii="Arial" w:hAnsi="Arial" w:cs="Arial"/>
                <w:sz w:val="22"/>
                <w:szCs w:val="22"/>
              </w:rPr>
              <w:t>.</w:t>
            </w:r>
            <w:r w:rsidR="005869A0">
              <w:rPr>
                <w:rFonts w:ascii="Arial" w:hAnsi="Arial" w:cs="Arial"/>
                <w:sz w:val="22"/>
                <w:szCs w:val="22"/>
              </w:rPr>
              <w:t xml:space="preserve"> </w:t>
            </w:r>
            <w:r w:rsidR="00666033" w:rsidRPr="00CA79AD">
              <w:rPr>
                <w:rFonts w:ascii="Arial" w:hAnsi="Arial" w:cs="Arial"/>
                <w:sz w:val="22"/>
                <w:szCs w:val="22"/>
              </w:rPr>
              <w:t>2</w:t>
            </w:r>
            <w:r>
              <w:rPr>
                <w:rFonts w:ascii="Arial" w:hAnsi="Arial" w:cs="Arial"/>
                <w:sz w:val="22"/>
                <w:szCs w:val="22"/>
              </w:rPr>
              <w:t>)</w:t>
            </w:r>
            <w:r w:rsidR="00F850B4">
              <w:rPr>
                <w:rFonts w:ascii="Arial" w:hAnsi="Arial" w:cs="Arial"/>
                <w:sz w:val="22"/>
                <w:szCs w:val="22"/>
              </w:rPr>
              <w:t>, sektory dle vlastnictví (národní soukromý, veřejný, zahraniční)</w:t>
            </w:r>
          </w:p>
        </w:tc>
      </w:tr>
      <w:tr w:rsidR="00666033" w:rsidRPr="00CA79AD" w14:paraId="0CFCD6BE" w14:textId="77777777" w:rsidTr="00666033">
        <w:trPr>
          <w:trHeight w:val="70"/>
        </w:trPr>
        <w:tc>
          <w:tcPr>
            <w:tcW w:w="2802" w:type="dxa"/>
          </w:tcPr>
          <w:p w14:paraId="537735B8"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Mezinárodní srovnání:</w:t>
            </w:r>
          </w:p>
        </w:tc>
        <w:tc>
          <w:tcPr>
            <w:tcW w:w="6486" w:type="dxa"/>
          </w:tcPr>
          <w:p w14:paraId="1F54A2F8" w14:textId="77777777" w:rsidR="00666033" w:rsidRPr="00CA79AD" w:rsidRDefault="00D064C6" w:rsidP="00FB6CF6">
            <w:pPr>
              <w:spacing w:line="276" w:lineRule="auto"/>
              <w:jc w:val="both"/>
              <w:rPr>
                <w:rFonts w:ascii="Arial" w:hAnsi="Arial" w:cs="Arial"/>
                <w:sz w:val="22"/>
                <w:szCs w:val="22"/>
              </w:rPr>
            </w:pPr>
            <w:r>
              <w:rPr>
                <w:rFonts w:ascii="Arial" w:hAnsi="Arial" w:cs="Arial"/>
                <w:sz w:val="22"/>
                <w:szCs w:val="22"/>
              </w:rPr>
              <w:t>-</w:t>
            </w:r>
          </w:p>
        </w:tc>
      </w:tr>
    </w:tbl>
    <w:p w14:paraId="5AC6F7E9" w14:textId="77777777" w:rsidR="00666033" w:rsidRPr="00D064C6" w:rsidRDefault="00D064C6" w:rsidP="00ED673D">
      <w:pPr>
        <w:pStyle w:val="r2030podcle"/>
        <w:numPr>
          <w:ilvl w:val="1"/>
          <w:numId w:val="17"/>
        </w:numPr>
        <w:ind w:left="567" w:hanging="425"/>
      </w:pPr>
      <w:r w:rsidRPr="00D064C6">
        <w:t>Sektor malých a středních podniků roste.</w:t>
      </w:r>
    </w:p>
    <w:tbl>
      <w:tblPr>
        <w:tblStyle w:val="Mkatabulky"/>
        <w:tblW w:w="0" w:type="auto"/>
        <w:tblLook w:val="04A0" w:firstRow="1" w:lastRow="0" w:firstColumn="1" w:lastColumn="0" w:noHBand="0" w:noVBand="1"/>
      </w:tblPr>
      <w:tblGrid>
        <w:gridCol w:w="2802"/>
        <w:gridCol w:w="6486"/>
      </w:tblGrid>
      <w:tr w:rsidR="00666033" w:rsidRPr="00CA79AD" w14:paraId="191FE466" w14:textId="77777777" w:rsidTr="00666033">
        <w:tc>
          <w:tcPr>
            <w:tcW w:w="2802" w:type="dxa"/>
          </w:tcPr>
          <w:p w14:paraId="1E218B06"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Název a označení indikátoru: </w:t>
            </w:r>
          </w:p>
        </w:tc>
        <w:tc>
          <w:tcPr>
            <w:tcW w:w="6486" w:type="dxa"/>
          </w:tcPr>
          <w:p w14:paraId="07DF35CE" w14:textId="77777777" w:rsidR="00666033" w:rsidRPr="00BF37CE" w:rsidRDefault="00666033" w:rsidP="00C51B65">
            <w:pPr>
              <w:spacing w:line="276" w:lineRule="auto"/>
              <w:rPr>
                <w:rFonts w:ascii="Arial" w:hAnsi="Arial" w:cs="Arial"/>
                <w:b/>
                <w:sz w:val="22"/>
                <w:szCs w:val="22"/>
              </w:rPr>
            </w:pPr>
            <w:r w:rsidRPr="00BF37CE">
              <w:rPr>
                <w:rFonts w:ascii="Arial" w:hAnsi="Arial" w:cs="Arial"/>
                <w:b/>
                <w:sz w:val="22"/>
                <w:szCs w:val="22"/>
              </w:rPr>
              <w:t>7.2.1 Podíl malých a středních podniků na hrubé přidané hodnotě</w:t>
            </w:r>
          </w:p>
        </w:tc>
      </w:tr>
      <w:tr w:rsidR="00666033" w:rsidRPr="00CA79AD" w14:paraId="0BCA4A79" w14:textId="77777777" w:rsidTr="00666033">
        <w:tc>
          <w:tcPr>
            <w:tcW w:w="2802" w:type="dxa"/>
          </w:tcPr>
          <w:p w14:paraId="7789D83F"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Stručná definice: </w:t>
            </w:r>
          </w:p>
        </w:tc>
        <w:tc>
          <w:tcPr>
            <w:tcW w:w="6486" w:type="dxa"/>
          </w:tcPr>
          <w:p w14:paraId="7E39D5C1" w14:textId="77777777" w:rsidR="00666033" w:rsidRPr="00CA79AD" w:rsidRDefault="00666033" w:rsidP="00ED673D">
            <w:pPr>
              <w:spacing w:line="276" w:lineRule="auto"/>
              <w:jc w:val="both"/>
              <w:rPr>
                <w:rFonts w:ascii="Arial" w:hAnsi="Arial" w:cs="Arial"/>
                <w:sz w:val="22"/>
                <w:szCs w:val="22"/>
              </w:rPr>
            </w:pPr>
            <w:r w:rsidRPr="00CA79AD">
              <w:rPr>
                <w:rFonts w:ascii="Arial" w:hAnsi="Arial" w:cs="Arial"/>
                <w:sz w:val="22"/>
                <w:szCs w:val="22"/>
              </w:rPr>
              <w:t>Indikátor je definován jako podíl hrubé přidané hodnoty vytvořené malými a středními podniky a celkové hrubé přidané hodnoty vytvoř</w:t>
            </w:r>
            <w:r w:rsidR="00D064C6">
              <w:rPr>
                <w:rFonts w:ascii="Arial" w:hAnsi="Arial" w:cs="Arial"/>
                <w:sz w:val="22"/>
                <w:szCs w:val="22"/>
              </w:rPr>
              <w:t>ené nefinančními podniky.</w:t>
            </w:r>
          </w:p>
        </w:tc>
      </w:tr>
      <w:tr w:rsidR="00666033" w:rsidRPr="00CA79AD" w14:paraId="143D885F" w14:textId="77777777" w:rsidTr="00666033">
        <w:tc>
          <w:tcPr>
            <w:tcW w:w="2802" w:type="dxa"/>
          </w:tcPr>
          <w:p w14:paraId="6A97B316"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Jednotka:</w:t>
            </w:r>
          </w:p>
        </w:tc>
        <w:tc>
          <w:tcPr>
            <w:tcW w:w="6486" w:type="dxa"/>
          </w:tcPr>
          <w:p w14:paraId="58BE367F" w14:textId="77777777" w:rsidR="00666033" w:rsidRPr="00CA79AD" w:rsidRDefault="00D064C6" w:rsidP="00ED673D">
            <w:pPr>
              <w:spacing w:line="276" w:lineRule="auto"/>
              <w:jc w:val="both"/>
              <w:rPr>
                <w:rFonts w:ascii="Arial" w:hAnsi="Arial" w:cs="Arial"/>
                <w:sz w:val="22"/>
                <w:szCs w:val="22"/>
              </w:rPr>
            </w:pPr>
            <w:r>
              <w:rPr>
                <w:rFonts w:ascii="Arial" w:hAnsi="Arial" w:cs="Arial"/>
                <w:sz w:val="22"/>
                <w:szCs w:val="22"/>
              </w:rPr>
              <w:t>Podíl (v %)</w:t>
            </w:r>
          </w:p>
        </w:tc>
      </w:tr>
      <w:tr w:rsidR="00666033" w:rsidRPr="00CA79AD" w14:paraId="6BCD2231" w14:textId="77777777" w:rsidTr="00666033">
        <w:tc>
          <w:tcPr>
            <w:tcW w:w="2802" w:type="dxa"/>
          </w:tcPr>
          <w:p w14:paraId="17A55D03"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Gestor: </w:t>
            </w:r>
          </w:p>
        </w:tc>
        <w:tc>
          <w:tcPr>
            <w:tcW w:w="6486" w:type="dxa"/>
          </w:tcPr>
          <w:p w14:paraId="3DEDEDEB" w14:textId="77777777" w:rsidR="00666033" w:rsidRPr="00CA79AD" w:rsidRDefault="00666033" w:rsidP="00ED673D">
            <w:pPr>
              <w:spacing w:line="276" w:lineRule="auto"/>
              <w:jc w:val="both"/>
              <w:rPr>
                <w:rFonts w:ascii="Arial" w:hAnsi="Arial" w:cs="Arial"/>
                <w:sz w:val="22"/>
                <w:szCs w:val="22"/>
              </w:rPr>
            </w:pPr>
            <w:r>
              <w:rPr>
                <w:rFonts w:ascii="Arial" w:hAnsi="Arial" w:cs="Arial"/>
                <w:sz w:val="22"/>
                <w:szCs w:val="22"/>
              </w:rPr>
              <w:t>Český statistický úřad</w:t>
            </w:r>
          </w:p>
        </w:tc>
      </w:tr>
      <w:tr w:rsidR="00666033" w:rsidRPr="00CA79AD" w14:paraId="2BC898D5" w14:textId="77777777" w:rsidTr="00666033">
        <w:tc>
          <w:tcPr>
            <w:tcW w:w="2802" w:type="dxa"/>
          </w:tcPr>
          <w:p w14:paraId="37A59921"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Význam indikátoru: </w:t>
            </w:r>
          </w:p>
        </w:tc>
        <w:tc>
          <w:tcPr>
            <w:tcW w:w="6486" w:type="dxa"/>
          </w:tcPr>
          <w:p w14:paraId="66F04D0B" w14:textId="5E5E2A82" w:rsidR="00666033" w:rsidRPr="00CA79AD" w:rsidRDefault="00666033" w:rsidP="00ED673D">
            <w:pPr>
              <w:spacing w:line="276" w:lineRule="auto"/>
              <w:jc w:val="both"/>
              <w:rPr>
                <w:rFonts w:ascii="Arial" w:hAnsi="Arial" w:cs="Arial"/>
                <w:sz w:val="22"/>
                <w:szCs w:val="22"/>
              </w:rPr>
            </w:pPr>
            <w:r w:rsidRPr="00CA79AD">
              <w:rPr>
                <w:rFonts w:ascii="Arial" w:hAnsi="Arial" w:cs="Arial"/>
                <w:sz w:val="22"/>
                <w:szCs w:val="22"/>
              </w:rPr>
              <w:t>Ukazuje relativní velikost sekt</w:t>
            </w:r>
            <w:r w:rsidR="00EB2BE3">
              <w:rPr>
                <w:rFonts w:ascii="Arial" w:hAnsi="Arial" w:cs="Arial"/>
                <w:sz w:val="22"/>
                <w:szCs w:val="22"/>
              </w:rPr>
              <w:t xml:space="preserve">oru malých a středních podniků </w:t>
            </w:r>
            <w:r w:rsidRPr="00CA79AD">
              <w:rPr>
                <w:rFonts w:ascii="Arial" w:hAnsi="Arial" w:cs="Arial"/>
                <w:sz w:val="22"/>
                <w:szCs w:val="22"/>
              </w:rPr>
              <w:t>oproti ostatním sektorům</w:t>
            </w:r>
          </w:p>
        </w:tc>
      </w:tr>
      <w:tr w:rsidR="00666033" w:rsidRPr="00CA79AD" w14:paraId="702A8E5C" w14:textId="77777777" w:rsidTr="00666033">
        <w:tc>
          <w:tcPr>
            <w:tcW w:w="2802" w:type="dxa"/>
          </w:tcPr>
          <w:p w14:paraId="499BE431"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Časová řada: </w:t>
            </w:r>
          </w:p>
        </w:tc>
        <w:tc>
          <w:tcPr>
            <w:tcW w:w="6486" w:type="dxa"/>
          </w:tcPr>
          <w:p w14:paraId="7C8E0A35" w14:textId="77777777" w:rsidR="00666033" w:rsidRPr="00CA79AD" w:rsidRDefault="00666033" w:rsidP="00ED673D">
            <w:pPr>
              <w:spacing w:line="276" w:lineRule="auto"/>
              <w:jc w:val="both"/>
              <w:rPr>
                <w:rFonts w:ascii="Arial" w:hAnsi="Arial" w:cs="Arial"/>
                <w:sz w:val="22"/>
                <w:szCs w:val="22"/>
              </w:rPr>
            </w:pPr>
            <w:r>
              <w:rPr>
                <w:rFonts w:ascii="Arial" w:hAnsi="Arial" w:cs="Arial"/>
                <w:sz w:val="22"/>
                <w:szCs w:val="22"/>
              </w:rPr>
              <w:t>-</w:t>
            </w:r>
          </w:p>
        </w:tc>
      </w:tr>
      <w:tr w:rsidR="00666033" w:rsidRPr="00CA79AD" w14:paraId="5DA880DB" w14:textId="77777777" w:rsidTr="00666033">
        <w:tc>
          <w:tcPr>
            <w:tcW w:w="2802" w:type="dxa"/>
          </w:tcPr>
          <w:p w14:paraId="2BA44A0C"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Frekvence výstupu: </w:t>
            </w:r>
          </w:p>
        </w:tc>
        <w:tc>
          <w:tcPr>
            <w:tcW w:w="6486" w:type="dxa"/>
          </w:tcPr>
          <w:p w14:paraId="58B9741E" w14:textId="77777777" w:rsidR="00666033" w:rsidRPr="00CA79AD" w:rsidRDefault="00D11FCC" w:rsidP="00ED673D">
            <w:pPr>
              <w:spacing w:line="276" w:lineRule="auto"/>
              <w:jc w:val="both"/>
              <w:rPr>
                <w:rFonts w:ascii="Arial" w:hAnsi="Arial" w:cs="Arial"/>
                <w:sz w:val="22"/>
                <w:szCs w:val="22"/>
              </w:rPr>
            </w:pPr>
            <w:r>
              <w:rPr>
                <w:rFonts w:ascii="Arial" w:hAnsi="Arial" w:cs="Arial"/>
                <w:sz w:val="22"/>
                <w:szCs w:val="22"/>
              </w:rPr>
              <w:t>Ročně</w:t>
            </w:r>
          </w:p>
        </w:tc>
      </w:tr>
      <w:tr w:rsidR="00666033" w:rsidRPr="00CA79AD" w14:paraId="2D178E72" w14:textId="77777777" w:rsidTr="00666033">
        <w:trPr>
          <w:trHeight w:val="70"/>
        </w:trPr>
        <w:tc>
          <w:tcPr>
            <w:tcW w:w="2802" w:type="dxa"/>
          </w:tcPr>
          <w:p w14:paraId="24644939"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Členění indikátoru: </w:t>
            </w:r>
          </w:p>
        </w:tc>
        <w:tc>
          <w:tcPr>
            <w:tcW w:w="6486" w:type="dxa"/>
          </w:tcPr>
          <w:p w14:paraId="3659C641" w14:textId="40F22327" w:rsidR="00666033" w:rsidRPr="00CA79AD" w:rsidRDefault="00EB2BE3" w:rsidP="00ED673D">
            <w:pPr>
              <w:spacing w:line="276" w:lineRule="auto"/>
              <w:jc w:val="both"/>
              <w:rPr>
                <w:rFonts w:ascii="Arial" w:hAnsi="Arial" w:cs="Arial"/>
                <w:sz w:val="22"/>
                <w:szCs w:val="22"/>
              </w:rPr>
            </w:pPr>
            <w:r w:rsidRPr="00EB2BE3">
              <w:rPr>
                <w:rFonts w:ascii="Arial" w:hAnsi="Arial" w:cs="Arial"/>
                <w:sz w:val="22"/>
                <w:szCs w:val="22"/>
              </w:rPr>
              <w:t xml:space="preserve">Nefinanční podniky </w:t>
            </w:r>
            <w:r>
              <w:rPr>
                <w:rFonts w:ascii="Arial" w:hAnsi="Arial" w:cs="Arial"/>
                <w:sz w:val="22"/>
                <w:szCs w:val="22"/>
              </w:rPr>
              <w:t>(</w:t>
            </w:r>
            <w:r w:rsidR="00666033" w:rsidRPr="00CA79AD">
              <w:rPr>
                <w:rFonts w:ascii="Arial" w:hAnsi="Arial" w:cs="Arial"/>
                <w:sz w:val="22"/>
                <w:szCs w:val="22"/>
              </w:rPr>
              <w:t>S11</w:t>
            </w:r>
            <w:r>
              <w:rPr>
                <w:rFonts w:ascii="Arial" w:hAnsi="Arial" w:cs="Arial"/>
                <w:sz w:val="22"/>
                <w:szCs w:val="22"/>
              </w:rPr>
              <w:t>)</w:t>
            </w:r>
          </w:p>
        </w:tc>
      </w:tr>
      <w:tr w:rsidR="00666033" w:rsidRPr="00CA79AD" w14:paraId="12470F47" w14:textId="77777777" w:rsidTr="00666033">
        <w:trPr>
          <w:trHeight w:val="70"/>
        </w:trPr>
        <w:tc>
          <w:tcPr>
            <w:tcW w:w="2802" w:type="dxa"/>
          </w:tcPr>
          <w:p w14:paraId="7BC0754A"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Mezinárodní srovnání:</w:t>
            </w:r>
          </w:p>
        </w:tc>
        <w:tc>
          <w:tcPr>
            <w:tcW w:w="6486" w:type="dxa"/>
          </w:tcPr>
          <w:p w14:paraId="21609BD5" w14:textId="77777777" w:rsidR="00666033" w:rsidRPr="00CA79AD" w:rsidRDefault="00666033" w:rsidP="00FB6CF6">
            <w:pPr>
              <w:spacing w:line="276" w:lineRule="auto"/>
              <w:jc w:val="both"/>
              <w:rPr>
                <w:rFonts w:ascii="Arial" w:hAnsi="Arial" w:cs="Arial"/>
                <w:sz w:val="22"/>
                <w:szCs w:val="22"/>
              </w:rPr>
            </w:pPr>
            <w:r>
              <w:rPr>
                <w:rFonts w:ascii="Arial" w:hAnsi="Arial" w:cs="Arial"/>
                <w:sz w:val="22"/>
                <w:szCs w:val="22"/>
              </w:rPr>
              <w:t>-</w:t>
            </w:r>
          </w:p>
        </w:tc>
      </w:tr>
    </w:tbl>
    <w:p w14:paraId="4B21C28D" w14:textId="77777777" w:rsidR="00666033" w:rsidRPr="00CA79AD" w:rsidRDefault="00666033" w:rsidP="00C51B65">
      <w:pPr>
        <w:spacing w:line="276" w:lineRule="auto"/>
        <w:rPr>
          <w:rFonts w:ascii="Arial" w:eastAsia="Arial" w:hAnsi="Arial" w:cs="Arial"/>
          <w:color w:val="000000"/>
          <w:sz w:val="22"/>
          <w:szCs w:val="22"/>
        </w:rPr>
      </w:pPr>
    </w:p>
    <w:tbl>
      <w:tblPr>
        <w:tblStyle w:val="Mkatabulky"/>
        <w:tblW w:w="0" w:type="auto"/>
        <w:tblLook w:val="04A0" w:firstRow="1" w:lastRow="0" w:firstColumn="1" w:lastColumn="0" w:noHBand="0" w:noVBand="1"/>
      </w:tblPr>
      <w:tblGrid>
        <w:gridCol w:w="2802"/>
        <w:gridCol w:w="6486"/>
      </w:tblGrid>
      <w:tr w:rsidR="00666033" w:rsidRPr="00CA79AD" w14:paraId="5306D210" w14:textId="77777777" w:rsidTr="00666033">
        <w:tc>
          <w:tcPr>
            <w:tcW w:w="2802" w:type="dxa"/>
          </w:tcPr>
          <w:p w14:paraId="6931780E"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Název a označení indikátoru: </w:t>
            </w:r>
          </w:p>
        </w:tc>
        <w:tc>
          <w:tcPr>
            <w:tcW w:w="6486" w:type="dxa"/>
          </w:tcPr>
          <w:p w14:paraId="29D7B350" w14:textId="77777777" w:rsidR="00666033" w:rsidRPr="00233550" w:rsidRDefault="00666033" w:rsidP="00C51B65">
            <w:pPr>
              <w:spacing w:line="276" w:lineRule="auto"/>
              <w:rPr>
                <w:rFonts w:ascii="Arial" w:hAnsi="Arial" w:cs="Arial"/>
                <w:b/>
                <w:sz w:val="22"/>
                <w:szCs w:val="22"/>
              </w:rPr>
            </w:pPr>
            <w:r w:rsidRPr="00233550">
              <w:rPr>
                <w:rFonts w:ascii="Arial" w:eastAsia="Arial" w:hAnsi="Arial" w:cs="Arial"/>
                <w:b/>
                <w:color w:val="000000"/>
                <w:sz w:val="22"/>
                <w:szCs w:val="22"/>
              </w:rPr>
              <w:t>7.2.2 Čas nutný ke zpracování a platbě daní (</w:t>
            </w:r>
            <w:proofErr w:type="spellStart"/>
            <w:r w:rsidRPr="00233550">
              <w:rPr>
                <w:rFonts w:ascii="Arial" w:eastAsia="Arial" w:hAnsi="Arial" w:cs="Arial"/>
                <w:b/>
                <w:i/>
                <w:color w:val="000000"/>
                <w:sz w:val="22"/>
                <w:szCs w:val="22"/>
              </w:rPr>
              <w:t>Time</w:t>
            </w:r>
            <w:proofErr w:type="spellEnd"/>
            <w:r w:rsidRPr="00233550">
              <w:rPr>
                <w:rFonts w:ascii="Arial" w:eastAsia="Arial" w:hAnsi="Arial" w:cs="Arial"/>
                <w:b/>
                <w:i/>
                <w:color w:val="000000"/>
                <w:sz w:val="22"/>
                <w:szCs w:val="22"/>
              </w:rPr>
              <w:t xml:space="preserve"> to </w:t>
            </w:r>
            <w:proofErr w:type="spellStart"/>
            <w:r w:rsidRPr="00233550">
              <w:rPr>
                <w:rFonts w:ascii="Arial" w:eastAsia="Arial" w:hAnsi="Arial" w:cs="Arial"/>
                <w:b/>
                <w:i/>
                <w:color w:val="000000"/>
                <w:sz w:val="22"/>
                <w:szCs w:val="22"/>
              </w:rPr>
              <w:t>prepare</w:t>
            </w:r>
            <w:proofErr w:type="spellEnd"/>
            <w:r w:rsidRPr="00233550">
              <w:rPr>
                <w:rFonts w:ascii="Arial" w:eastAsia="Arial" w:hAnsi="Arial" w:cs="Arial"/>
                <w:b/>
                <w:i/>
                <w:color w:val="000000"/>
                <w:sz w:val="22"/>
                <w:szCs w:val="22"/>
              </w:rPr>
              <w:t xml:space="preserve"> and </w:t>
            </w:r>
            <w:proofErr w:type="spellStart"/>
            <w:r w:rsidRPr="00233550">
              <w:rPr>
                <w:rFonts w:ascii="Arial" w:eastAsia="Arial" w:hAnsi="Arial" w:cs="Arial"/>
                <w:b/>
                <w:i/>
                <w:color w:val="000000"/>
                <w:sz w:val="22"/>
                <w:szCs w:val="22"/>
              </w:rPr>
              <w:t>pay</w:t>
            </w:r>
            <w:proofErr w:type="spellEnd"/>
            <w:r w:rsidRPr="00233550">
              <w:rPr>
                <w:rFonts w:ascii="Arial" w:eastAsia="Arial" w:hAnsi="Arial" w:cs="Arial"/>
                <w:b/>
                <w:i/>
                <w:color w:val="000000"/>
                <w:sz w:val="22"/>
                <w:szCs w:val="22"/>
              </w:rPr>
              <w:t xml:space="preserve"> </w:t>
            </w:r>
            <w:proofErr w:type="spellStart"/>
            <w:r w:rsidRPr="00233550">
              <w:rPr>
                <w:rFonts w:ascii="Arial" w:eastAsia="Arial" w:hAnsi="Arial" w:cs="Arial"/>
                <w:b/>
                <w:i/>
                <w:color w:val="000000"/>
                <w:sz w:val="22"/>
                <w:szCs w:val="22"/>
              </w:rPr>
              <w:t>taxes</w:t>
            </w:r>
            <w:proofErr w:type="spellEnd"/>
            <w:r w:rsidRPr="00233550">
              <w:rPr>
                <w:rFonts w:ascii="Arial" w:eastAsia="Arial" w:hAnsi="Arial" w:cs="Arial"/>
                <w:b/>
                <w:color w:val="000000"/>
                <w:sz w:val="22"/>
                <w:szCs w:val="22"/>
              </w:rPr>
              <w:t>)</w:t>
            </w:r>
          </w:p>
        </w:tc>
      </w:tr>
      <w:tr w:rsidR="00666033" w:rsidRPr="00CA79AD" w14:paraId="02F78914" w14:textId="77777777" w:rsidTr="00666033">
        <w:tc>
          <w:tcPr>
            <w:tcW w:w="2802" w:type="dxa"/>
          </w:tcPr>
          <w:p w14:paraId="47B58D06"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Stručná definice: </w:t>
            </w:r>
          </w:p>
        </w:tc>
        <w:tc>
          <w:tcPr>
            <w:tcW w:w="6486" w:type="dxa"/>
          </w:tcPr>
          <w:p w14:paraId="1AEFF786" w14:textId="6B539076" w:rsidR="00666033" w:rsidRPr="00CA79AD" w:rsidRDefault="00666033" w:rsidP="00ED673D">
            <w:pPr>
              <w:spacing w:line="276" w:lineRule="auto"/>
              <w:jc w:val="both"/>
              <w:rPr>
                <w:rFonts w:ascii="Arial" w:hAnsi="Arial" w:cs="Arial"/>
                <w:sz w:val="22"/>
                <w:szCs w:val="22"/>
              </w:rPr>
            </w:pPr>
            <w:r w:rsidRPr="00CA79AD">
              <w:rPr>
                <w:rFonts w:ascii="Arial" w:hAnsi="Arial" w:cs="Arial"/>
                <w:sz w:val="22"/>
                <w:szCs w:val="22"/>
              </w:rPr>
              <w:t xml:space="preserve">Indikátor zaznamenává, kolik hodin věnuje ročně středně velká firma přípravě, podání a placení tří hlavních typů daní: </w:t>
            </w:r>
            <w:r w:rsidR="00EB2BE3">
              <w:rPr>
                <w:rFonts w:ascii="Arial" w:hAnsi="Arial" w:cs="Arial"/>
                <w:sz w:val="22"/>
                <w:szCs w:val="22"/>
              </w:rPr>
              <w:t>daň z příjmu právnických osob, daň z přidané hodnoty a daň z příjmu fyzických osob</w:t>
            </w:r>
            <w:r w:rsidRPr="00CA79AD">
              <w:rPr>
                <w:rFonts w:ascii="Arial" w:hAnsi="Arial" w:cs="Arial"/>
                <w:sz w:val="22"/>
                <w:szCs w:val="22"/>
              </w:rPr>
              <w:t xml:space="preserve"> včetně administrace sociálního pojištění. Standardizovaná případová studie s danými předpoklady zaručuje mezinárodní srovnatelnost dat.</w:t>
            </w:r>
          </w:p>
        </w:tc>
      </w:tr>
      <w:tr w:rsidR="00666033" w:rsidRPr="00CA79AD" w14:paraId="41FEE27A" w14:textId="77777777" w:rsidTr="00666033">
        <w:tc>
          <w:tcPr>
            <w:tcW w:w="2802" w:type="dxa"/>
          </w:tcPr>
          <w:p w14:paraId="6D527CFC"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lastRenderedPageBreak/>
              <w:t>Jednotka:</w:t>
            </w:r>
          </w:p>
        </w:tc>
        <w:tc>
          <w:tcPr>
            <w:tcW w:w="6486" w:type="dxa"/>
          </w:tcPr>
          <w:p w14:paraId="1091BCA6" w14:textId="77777777" w:rsidR="00666033" w:rsidRPr="00CA79AD" w:rsidRDefault="00666033" w:rsidP="00ED673D">
            <w:pPr>
              <w:spacing w:line="276" w:lineRule="auto"/>
              <w:jc w:val="both"/>
              <w:rPr>
                <w:rFonts w:ascii="Arial" w:hAnsi="Arial" w:cs="Arial"/>
                <w:sz w:val="22"/>
                <w:szCs w:val="22"/>
              </w:rPr>
            </w:pPr>
            <w:r w:rsidRPr="00CA79AD">
              <w:rPr>
                <w:rFonts w:ascii="Arial" w:hAnsi="Arial" w:cs="Arial"/>
                <w:sz w:val="22"/>
                <w:szCs w:val="22"/>
              </w:rPr>
              <w:t>Hodiny</w:t>
            </w:r>
          </w:p>
        </w:tc>
      </w:tr>
      <w:tr w:rsidR="00666033" w:rsidRPr="00CA79AD" w14:paraId="078F21CF" w14:textId="77777777" w:rsidTr="00666033">
        <w:tc>
          <w:tcPr>
            <w:tcW w:w="2802" w:type="dxa"/>
          </w:tcPr>
          <w:p w14:paraId="6A4348AC"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Gestor: </w:t>
            </w:r>
          </w:p>
        </w:tc>
        <w:tc>
          <w:tcPr>
            <w:tcW w:w="6486" w:type="dxa"/>
          </w:tcPr>
          <w:p w14:paraId="3247CCF8" w14:textId="77777777" w:rsidR="00666033" w:rsidRPr="00CA79AD" w:rsidRDefault="00D064C6" w:rsidP="00ED673D">
            <w:pPr>
              <w:spacing w:line="276" w:lineRule="auto"/>
              <w:jc w:val="both"/>
              <w:rPr>
                <w:rFonts w:ascii="Arial" w:hAnsi="Arial" w:cs="Arial"/>
                <w:sz w:val="22"/>
                <w:szCs w:val="22"/>
              </w:rPr>
            </w:pPr>
            <w:r>
              <w:rPr>
                <w:rFonts w:ascii="Arial" w:hAnsi="Arial" w:cs="Arial"/>
                <w:sz w:val="22"/>
                <w:szCs w:val="22"/>
              </w:rPr>
              <w:t>Zdroj dat: p</w:t>
            </w:r>
            <w:r w:rsidR="00666033" w:rsidRPr="00CA79AD">
              <w:rPr>
                <w:rFonts w:ascii="Arial" w:hAnsi="Arial" w:cs="Arial"/>
                <w:sz w:val="22"/>
                <w:szCs w:val="22"/>
              </w:rPr>
              <w:t xml:space="preserve">ublikuje Světová banka </w:t>
            </w:r>
            <w:r w:rsidR="00666033">
              <w:rPr>
                <w:rFonts w:ascii="Arial" w:hAnsi="Arial" w:cs="Arial"/>
                <w:sz w:val="22"/>
                <w:szCs w:val="22"/>
              </w:rPr>
              <w:t xml:space="preserve">v rámci databáze </w:t>
            </w:r>
            <w:proofErr w:type="spellStart"/>
            <w:r w:rsidR="00666033">
              <w:rPr>
                <w:rFonts w:ascii="Arial" w:hAnsi="Arial" w:cs="Arial"/>
                <w:sz w:val="22"/>
                <w:szCs w:val="22"/>
              </w:rPr>
              <w:t>Doing</w:t>
            </w:r>
            <w:proofErr w:type="spellEnd"/>
            <w:r w:rsidR="00666033">
              <w:rPr>
                <w:rFonts w:ascii="Arial" w:hAnsi="Arial" w:cs="Arial"/>
                <w:sz w:val="22"/>
                <w:szCs w:val="22"/>
              </w:rPr>
              <w:t xml:space="preserve"> Business</w:t>
            </w:r>
            <w:r w:rsidR="00666033" w:rsidRPr="00CA79AD">
              <w:rPr>
                <w:rFonts w:ascii="Arial" w:eastAsia="Arial" w:hAnsi="Arial" w:cs="Arial"/>
                <w:color w:val="000000"/>
                <w:sz w:val="22"/>
                <w:szCs w:val="22"/>
                <w:vertAlign w:val="superscript"/>
              </w:rPr>
              <w:footnoteReference w:id="2"/>
            </w:r>
          </w:p>
        </w:tc>
      </w:tr>
      <w:tr w:rsidR="00666033" w:rsidRPr="00CA79AD" w14:paraId="255C6857" w14:textId="77777777" w:rsidTr="00666033">
        <w:tc>
          <w:tcPr>
            <w:tcW w:w="2802" w:type="dxa"/>
          </w:tcPr>
          <w:p w14:paraId="1910C244"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Význam indikátoru: </w:t>
            </w:r>
          </w:p>
        </w:tc>
        <w:tc>
          <w:tcPr>
            <w:tcW w:w="6486" w:type="dxa"/>
          </w:tcPr>
          <w:p w14:paraId="32F969CB" w14:textId="77777777" w:rsidR="00666033" w:rsidRPr="00CA79AD" w:rsidRDefault="00666033" w:rsidP="00ED673D">
            <w:pPr>
              <w:spacing w:line="276" w:lineRule="auto"/>
              <w:jc w:val="both"/>
              <w:rPr>
                <w:rFonts w:ascii="Arial" w:hAnsi="Arial" w:cs="Arial"/>
                <w:sz w:val="22"/>
                <w:szCs w:val="22"/>
              </w:rPr>
            </w:pPr>
            <w:r w:rsidRPr="00CA79AD">
              <w:rPr>
                <w:rFonts w:ascii="Arial" w:hAnsi="Arial" w:cs="Arial"/>
                <w:sz w:val="22"/>
                <w:szCs w:val="22"/>
              </w:rPr>
              <w:t>Proxy proměnná administrativní zátěže firem</w:t>
            </w:r>
          </w:p>
        </w:tc>
      </w:tr>
      <w:tr w:rsidR="00666033" w:rsidRPr="00CA79AD" w14:paraId="42F11A72" w14:textId="77777777" w:rsidTr="00666033">
        <w:tc>
          <w:tcPr>
            <w:tcW w:w="2802" w:type="dxa"/>
          </w:tcPr>
          <w:p w14:paraId="651B920B"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Časová řada: </w:t>
            </w:r>
          </w:p>
        </w:tc>
        <w:tc>
          <w:tcPr>
            <w:tcW w:w="6486" w:type="dxa"/>
          </w:tcPr>
          <w:p w14:paraId="6DBE91ED" w14:textId="77777777" w:rsidR="00666033" w:rsidRPr="00CA79AD" w:rsidRDefault="00D064C6" w:rsidP="00ED673D">
            <w:pPr>
              <w:spacing w:line="276" w:lineRule="auto"/>
              <w:jc w:val="both"/>
              <w:rPr>
                <w:rFonts w:ascii="Arial" w:hAnsi="Arial" w:cs="Arial"/>
                <w:sz w:val="22"/>
                <w:szCs w:val="22"/>
              </w:rPr>
            </w:pPr>
            <w:r>
              <w:rPr>
                <w:rFonts w:ascii="Arial" w:hAnsi="Arial" w:cs="Arial"/>
                <w:sz w:val="22"/>
                <w:szCs w:val="22"/>
              </w:rPr>
              <w:t>O</w:t>
            </w:r>
            <w:r w:rsidR="00666033" w:rsidRPr="00CA79AD">
              <w:rPr>
                <w:rFonts w:ascii="Arial" w:hAnsi="Arial" w:cs="Arial"/>
                <w:sz w:val="22"/>
                <w:szCs w:val="22"/>
              </w:rPr>
              <w:t xml:space="preserve">d </w:t>
            </w:r>
            <w:r>
              <w:rPr>
                <w:rFonts w:ascii="Arial" w:hAnsi="Arial" w:cs="Arial"/>
                <w:sz w:val="22"/>
                <w:szCs w:val="22"/>
              </w:rPr>
              <w:t xml:space="preserve">roku </w:t>
            </w:r>
            <w:r w:rsidR="00666033" w:rsidRPr="00CA79AD">
              <w:rPr>
                <w:rFonts w:ascii="Arial" w:hAnsi="Arial" w:cs="Arial"/>
                <w:sz w:val="22"/>
                <w:szCs w:val="22"/>
              </w:rPr>
              <w:t>2007</w:t>
            </w:r>
          </w:p>
        </w:tc>
      </w:tr>
      <w:tr w:rsidR="00666033" w:rsidRPr="00CA79AD" w14:paraId="407FA00B" w14:textId="77777777" w:rsidTr="00666033">
        <w:tc>
          <w:tcPr>
            <w:tcW w:w="2802" w:type="dxa"/>
          </w:tcPr>
          <w:p w14:paraId="3690703D"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Frekvence výstupu: </w:t>
            </w:r>
          </w:p>
        </w:tc>
        <w:tc>
          <w:tcPr>
            <w:tcW w:w="6486" w:type="dxa"/>
          </w:tcPr>
          <w:p w14:paraId="5E2EB26B" w14:textId="77777777" w:rsidR="00666033" w:rsidRPr="00CA79AD" w:rsidRDefault="00D11FCC" w:rsidP="00ED673D">
            <w:pPr>
              <w:spacing w:line="276" w:lineRule="auto"/>
              <w:jc w:val="both"/>
              <w:rPr>
                <w:rFonts w:ascii="Arial" w:hAnsi="Arial" w:cs="Arial"/>
                <w:sz w:val="22"/>
                <w:szCs w:val="22"/>
              </w:rPr>
            </w:pPr>
            <w:r>
              <w:rPr>
                <w:rFonts w:ascii="Arial" w:hAnsi="Arial" w:cs="Arial"/>
                <w:sz w:val="22"/>
                <w:szCs w:val="22"/>
              </w:rPr>
              <w:t>Ročně</w:t>
            </w:r>
          </w:p>
        </w:tc>
      </w:tr>
      <w:tr w:rsidR="00666033" w:rsidRPr="00CA79AD" w14:paraId="1383FF8C" w14:textId="77777777" w:rsidTr="00666033">
        <w:trPr>
          <w:trHeight w:val="70"/>
        </w:trPr>
        <w:tc>
          <w:tcPr>
            <w:tcW w:w="2802" w:type="dxa"/>
          </w:tcPr>
          <w:p w14:paraId="7B2B926B"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Členění indikátoru: </w:t>
            </w:r>
          </w:p>
        </w:tc>
        <w:tc>
          <w:tcPr>
            <w:tcW w:w="6486" w:type="dxa"/>
          </w:tcPr>
          <w:p w14:paraId="519D1D90" w14:textId="77777777" w:rsidR="00666033" w:rsidRPr="00CA79AD" w:rsidRDefault="00666033" w:rsidP="00ED673D">
            <w:pPr>
              <w:spacing w:line="276" w:lineRule="auto"/>
              <w:jc w:val="both"/>
              <w:rPr>
                <w:rFonts w:ascii="Arial" w:hAnsi="Arial" w:cs="Arial"/>
                <w:sz w:val="22"/>
                <w:szCs w:val="22"/>
              </w:rPr>
            </w:pPr>
            <w:r>
              <w:rPr>
                <w:rFonts w:ascii="Arial" w:hAnsi="Arial" w:cs="Arial"/>
                <w:sz w:val="22"/>
                <w:szCs w:val="22"/>
              </w:rPr>
              <w:t>-</w:t>
            </w:r>
          </w:p>
        </w:tc>
      </w:tr>
      <w:tr w:rsidR="00666033" w:rsidRPr="00CA79AD" w14:paraId="4B5F9E12" w14:textId="77777777" w:rsidTr="00666033">
        <w:trPr>
          <w:trHeight w:val="70"/>
        </w:trPr>
        <w:tc>
          <w:tcPr>
            <w:tcW w:w="2802" w:type="dxa"/>
          </w:tcPr>
          <w:p w14:paraId="49EF565B"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Mezinárodní srovnání:</w:t>
            </w:r>
          </w:p>
        </w:tc>
        <w:tc>
          <w:tcPr>
            <w:tcW w:w="6486" w:type="dxa"/>
          </w:tcPr>
          <w:p w14:paraId="7DD0B93F" w14:textId="77777777" w:rsidR="00666033" w:rsidRPr="00CA79AD" w:rsidRDefault="00666033" w:rsidP="00ED673D">
            <w:pPr>
              <w:spacing w:line="276" w:lineRule="auto"/>
              <w:jc w:val="both"/>
              <w:rPr>
                <w:rFonts w:ascii="Arial" w:hAnsi="Arial" w:cs="Arial"/>
                <w:sz w:val="22"/>
                <w:szCs w:val="22"/>
              </w:rPr>
            </w:pPr>
            <w:r w:rsidRPr="00CA79AD">
              <w:rPr>
                <w:rFonts w:ascii="Arial" w:hAnsi="Arial" w:cs="Arial"/>
                <w:sz w:val="22"/>
                <w:szCs w:val="22"/>
              </w:rPr>
              <w:t>K roku 2015 celkem 196 států a území</w:t>
            </w:r>
          </w:p>
        </w:tc>
      </w:tr>
    </w:tbl>
    <w:p w14:paraId="5D882BF7" w14:textId="7417CC45" w:rsidR="00BD51AC" w:rsidRDefault="00BD51AC" w:rsidP="00ED673D">
      <w:pPr>
        <w:pStyle w:val="r2030podcle"/>
        <w:numPr>
          <w:ilvl w:val="0"/>
          <w:numId w:val="0"/>
        </w:numPr>
        <w:spacing w:after="0"/>
        <w:ind w:left="567" w:hanging="425"/>
      </w:pPr>
      <w:r w:rsidRPr="007B2F69">
        <w:t>7.3 Ekonomika se posouvá na vyšší pozice v mezinárodní dělbě práce a v mezinárodním hodnotovém řetězci.</w:t>
      </w:r>
    </w:p>
    <w:p w14:paraId="500476DD" w14:textId="77777777" w:rsidR="00BD51AC" w:rsidRDefault="00BD51AC" w:rsidP="00BD51AC">
      <w:pPr>
        <w:pStyle w:val="r2030podcle"/>
        <w:numPr>
          <w:ilvl w:val="0"/>
          <w:numId w:val="0"/>
        </w:numPr>
        <w:spacing w:before="0" w:after="0"/>
        <w:ind w:left="792" w:hanging="792"/>
        <w:rPr>
          <w:rFonts w:eastAsia="Calibri"/>
        </w:rPr>
      </w:pPr>
    </w:p>
    <w:tbl>
      <w:tblPr>
        <w:tblStyle w:val="Mkatabulky"/>
        <w:tblW w:w="0" w:type="auto"/>
        <w:tblLook w:val="04A0" w:firstRow="1" w:lastRow="0" w:firstColumn="1" w:lastColumn="0" w:noHBand="0" w:noVBand="1"/>
      </w:tblPr>
      <w:tblGrid>
        <w:gridCol w:w="2802"/>
        <w:gridCol w:w="6486"/>
      </w:tblGrid>
      <w:tr w:rsidR="00BD51AC" w:rsidRPr="007B2F69" w14:paraId="1870F60F" w14:textId="77777777" w:rsidTr="00003B31">
        <w:tc>
          <w:tcPr>
            <w:tcW w:w="2802" w:type="dxa"/>
          </w:tcPr>
          <w:p w14:paraId="241E2B88" w14:textId="2ECBDA73" w:rsidR="00BD51AC" w:rsidRPr="007B2F69" w:rsidRDefault="00BD51AC" w:rsidP="00003B31">
            <w:pPr>
              <w:spacing w:line="276" w:lineRule="auto"/>
              <w:rPr>
                <w:rFonts w:ascii="Arial" w:hAnsi="Arial" w:cs="Arial"/>
                <w:sz w:val="22"/>
                <w:szCs w:val="22"/>
              </w:rPr>
            </w:pPr>
            <w:r w:rsidRPr="007B2F69">
              <w:rPr>
                <w:rFonts w:ascii="Arial" w:hAnsi="Arial" w:cs="Arial"/>
                <w:sz w:val="22"/>
                <w:szCs w:val="22"/>
              </w:rPr>
              <w:t xml:space="preserve">Název a označení indikátoru: </w:t>
            </w:r>
          </w:p>
        </w:tc>
        <w:tc>
          <w:tcPr>
            <w:tcW w:w="6486" w:type="dxa"/>
          </w:tcPr>
          <w:p w14:paraId="3478C6D7" w14:textId="77777777" w:rsidR="00BD51AC" w:rsidRPr="007B2F69" w:rsidRDefault="00BD51AC" w:rsidP="00003B31">
            <w:pPr>
              <w:spacing w:line="276" w:lineRule="auto"/>
              <w:rPr>
                <w:rFonts w:ascii="Arial" w:hAnsi="Arial" w:cs="Arial"/>
                <w:b/>
                <w:sz w:val="22"/>
                <w:szCs w:val="22"/>
              </w:rPr>
            </w:pPr>
            <w:r w:rsidRPr="007B2F69">
              <w:rPr>
                <w:rFonts w:ascii="Arial" w:hAnsi="Arial" w:cs="Arial"/>
                <w:b/>
                <w:sz w:val="22"/>
                <w:szCs w:val="22"/>
              </w:rPr>
              <w:t xml:space="preserve">7.3.1 Vývoz výrobků zpracovatelského průmyslu podle technologické náročnosti </w:t>
            </w:r>
          </w:p>
        </w:tc>
      </w:tr>
      <w:tr w:rsidR="00BD51AC" w:rsidRPr="007B2F69" w14:paraId="65251648" w14:textId="77777777" w:rsidTr="00003B31">
        <w:tc>
          <w:tcPr>
            <w:tcW w:w="2802" w:type="dxa"/>
          </w:tcPr>
          <w:p w14:paraId="409C49A8" w14:textId="77777777" w:rsidR="00BD51AC" w:rsidRPr="007B2F69" w:rsidRDefault="00BD51AC" w:rsidP="00003B31">
            <w:pPr>
              <w:spacing w:line="276" w:lineRule="auto"/>
              <w:rPr>
                <w:rFonts w:ascii="Arial" w:hAnsi="Arial" w:cs="Arial"/>
                <w:sz w:val="22"/>
                <w:szCs w:val="22"/>
              </w:rPr>
            </w:pPr>
            <w:r w:rsidRPr="007B2F69">
              <w:rPr>
                <w:rFonts w:ascii="Arial" w:hAnsi="Arial" w:cs="Arial"/>
                <w:sz w:val="22"/>
                <w:szCs w:val="22"/>
              </w:rPr>
              <w:t xml:space="preserve">Stručná definice: </w:t>
            </w:r>
          </w:p>
        </w:tc>
        <w:tc>
          <w:tcPr>
            <w:tcW w:w="6486" w:type="dxa"/>
          </w:tcPr>
          <w:p w14:paraId="46C29250" w14:textId="644FBE6E" w:rsidR="00BD51AC" w:rsidRPr="007B2F69" w:rsidRDefault="00BD51AC" w:rsidP="00FB6CF6">
            <w:pPr>
              <w:spacing w:line="276" w:lineRule="auto"/>
              <w:jc w:val="both"/>
              <w:rPr>
                <w:rFonts w:ascii="Arial" w:hAnsi="Arial" w:cs="Arial"/>
                <w:sz w:val="22"/>
                <w:szCs w:val="22"/>
              </w:rPr>
            </w:pPr>
            <w:r w:rsidRPr="007B2F69">
              <w:rPr>
                <w:rFonts w:ascii="Arial" w:hAnsi="Arial" w:cs="Arial"/>
                <w:sz w:val="22"/>
                <w:szCs w:val="22"/>
              </w:rPr>
              <w:t xml:space="preserve">V návaznosti na rozdělení odvětví zpracovatelského průmyslu podle jejich technologické náročnosti, vypracoval </w:t>
            </w:r>
            <w:r w:rsidR="00EB2BE3">
              <w:rPr>
                <w:rFonts w:ascii="Arial" w:hAnsi="Arial" w:cs="Arial"/>
                <w:sz w:val="22"/>
                <w:szCs w:val="22"/>
              </w:rPr>
              <w:t>Český statistický úřad</w:t>
            </w:r>
            <w:r w:rsidRPr="007B2F69">
              <w:rPr>
                <w:rFonts w:ascii="Arial" w:hAnsi="Arial" w:cs="Arial"/>
                <w:sz w:val="22"/>
                <w:szCs w:val="22"/>
              </w:rPr>
              <w:t xml:space="preserve"> i</w:t>
            </w:r>
            <w:r>
              <w:rPr>
                <w:rFonts w:ascii="Arial" w:hAnsi="Arial" w:cs="Arial"/>
                <w:sz w:val="22"/>
                <w:szCs w:val="22"/>
              </w:rPr>
              <w:t> </w:t>
            </w:r>
            <w:r w:rsidRPr="007B2F69">
              <w:rPr>
                <w:rFonts w:ascii="Arial" w:hAnsi="Arial" w:cs="Arial"/>
                <w:sz w:val="22"/>
                <w:szCs w:val="22"/>
              </w:rPr>
              <w:t>alternativní rozdělení výrobků zpracovatelského průmyslu podle technologické náročnosti, a to podle mezinárodní Klasifikace produkce (CPA).</w:t>
            </w:r>
          </w:p>
          <w:p w14:paraId="3173F090" w14:textId="77777777" w:rsidR="00BD51AC" w:rsidRPr="007B2F69" w:rsidRDefault="00BD51AC" w:rsidP="00FB6CF6">
            <w:pPr>
              <w:spacing w:line="276" w:lineRule="auto"/>
              <w:jc w:val="both"/>
              <w:rPr>
                <w:rFonts w:ascii="Arial" w:hAnsi="Arial" w:cs="Arial"/>
                <w:sz w:val="22"/>
                <w:szCs w:val="22"/>
              </w:rPr>
            </w:pPr>
            <w:r w:rsidRPr="007B2F69">
              <w:rPr>
                <w:rFonts w:ascii="Arial" w:hAnsi="Arial" w:cs="Arial"/>
                <w:sz w:val="22"/>
                <w:szCs w:val="22"/>
              </w:rPr>
              <w:t>Produkce (výrobky) těchto odvětví (CZ CPA oddíly 10 až 32) je pak zařazena do jedné ze čtyř níže uvedených kategorií na základě výše zmíněné Klasifikace produkce CZ-CPA a rozdělení odvětví zpracovatelského průmyslu podle jejich technologické náročnosti:</w:t>
            </w:r>
          </w:p>
          <w:p w14:paraId="47E0948F" w14:textId="77777777" w:rsidR="00BD51AC" w:rsidRPr="007B2F69" w:rsidRDefault="00BD51AC" w:rsidP="00FB6CF6">
            <w:pPr>
              <w:pStyle w:val="Odstavecseseznamem"/>
              <w:numPr>
                <w:ilvl w:val="0"/>
                <w:numId w:val="12"/>
              </w:numPr>
              <w:spacing w:line="276" w:lineRule="auto"/>
              <w:jc w:val="both"/>
              <w:rPr>
                <w:rFonts w:ascii="Arial" w:hAnsi="Arial" w:cs="Arial"/>
                <w:sz w:val="22"/>
                <w:szCs w:val="22"/>
              </w:rPr>
            </w:pPr>
            <w:r w:rsidRPr="007B2F69">
              <w:rPr>
                <w:rFonts w:ascii="Arial" w:hAnsi="Arial" w:cs="Arial"/>
                <w:sz w:val="22"/>
                <w:szCs w:val="22"/>
              </w:rPr>
              <w:t xml:space="preserve">Výrobky </w:t>
            </w:r>
            <w:proofErr w:type="spellStart"/>
            <w:r w:rsidRPr="007B2F69">
              <w:rPr>
                <w:rFonts w:ascii="Arial" w:hAnsi="Arial" w:cs="Arial"/>
                <w:sz w:val="22"/>
                <w:szCs w:val="22"/>
              </w:rPr>
              <w:t>high-tech</w:t>
            </w:r>
            <w:proofErr w:type="spellEnd"/>
            <w:r w:rsidRPr="007B2F69">
              <w:rPr>
                <w:rFonts w:ascii="Arial" w:hAnsi="Arial" w:cs="Arial"/>
                <w:sz w:val="22"/>
                <w:szCs w:val="22"/>
              </w:rPr>
              <w:t xml:space="preserve"> zpracovatelského průmyslu: výrobky s vysokou technologickou náročností (CZ-CPA: 21; 26 a 303)</w:t>
            </w:r>
          </w:p>
          <w:p w14:paraId="0DB02066" w14:textId="77777777" w:rsidR="00BD51AC" w:rsidRPr="007B2F69" w:rsidRDefault="00BD51AC" w:rsidP="00FB6CF6">
            <w:pPr>
              <w:pStyle w:val="Odstavecseseznamem"/>
              <w:numPr>
                <w:ilvl w:val="0"/>
                <w:numId w:val="12"/>
              </w:numPr>
              <w:spacing w:line="276" w:lineRule="auto"/>
              <w:jc w:val="both"/>
              <w:rPr>
                <w:rFonts w:ascii="Arial" w:hAnsi="Arial" w:cs="Arial"/>
                <w:sz w:val="22"/>
                <w:szCs w:val="22"/>
              </w:rPr>
            </w:pPr>
            <w:r w:rsidRPr="007B2F69">
              <w:rPr>
                <w:rFonts w:ascii="Arial" w:hAnsi="Arial" w:cs="Arial"/>
                <w:sz w:val="22"/>
                <w:szCs w:val="22"/>
              </w:rPr>
              <w:t xml:space="preserve">Výrobky medium </w:t>
            </w:r>
            <w:proofErr w:type="spellStart"/>
            <w:r w:rsidRPr="007B2F69">
              <w:rPr>
                <w:rFonts w:ascii="Arial" w:hAnsi="Arial" w:cs="Arial"/>
                <w:sz w:val="22"/>
                <w:szCs w:val="22"/>
              </w:rPr>
              <w:t>high-tech</w:t>
            </w:r>
            <w:proofErr w:type="spellEnd"/>
            <w:r w:rsidRPr="007B2F69">
              <w:rPr>
                <w:rFonts w:ascii="Arial" w:hAnsi="Arial" w:cs="Arial"/>
                <w:sz w:val="22"/>
                <w:szCs w:val="22"/>
              </w:rPr>
              <w:t xml:space="preserve"> zpracovatelského průmyslu: výrobky se středně vysokou technologickou náročností (CZ-CPA: 20, 27, 28, 29, 30 bez 301 a 303; 254; 325 </w:t>
            </w:r>
          </w:p>
          <w:p w14:paraId="38D7927E" w14:textId="77777777" w:rsidR="00BD51AC" w:rsidRPr="007B2F69" w:rsidRDefault="00BD51AC" w:rsidP="00FB6CF6">
            <w:pPr>
              <w:pStyle w:val="Odstavecseseznamem"/>
              <w:numPr>
                <w:ilvl w:val="0"/>
                <w:numId w:val="12"/>
              </w:numPr>
              <w:spacing w:line="276" w:lineRule="auto"/>
              <w:jc w:val="both"/>
              <w:rPr>
                <w:rFonts w:ascii="Arial" w:hAnsi="Arial" w:cs="Arial"/>
                <w:sz w:val="22"/>
                <w:szCs w:val="22"/>
              </w:rPr>
            </w:pPr>
            <w:r w:rsidRPr="007B2F69">
              <w:rPr>
                <w:rFonts w:ascii="Arial" w:hAnsi="Arial" w:cs="Arial"/>
                <w:sz w:val="22"/>
                <w:szCs w:val="22"/>
              </w:rPr>
              <w:t xml:space="preserve">Výrobky medium </w:t>
            </w:r>
            <w:proofErr w:type="spellStart"/>
            <w:r w:rsidRPr="007B2F69">
              <w:rPr>
                <w:rFonts w:ascii="Arial" w:hAnsi="Arial" w:cs="Arial"/>
                <w:sz w:val="22"/>
                <w:szCs w:val="22"/>
              </w:rPr>
              <w:t>low-tech</w:t>
            </w:r>
            <w:proofErr w:type="spellEnd"/>
            <w:r w:rsidRPr="007B2F69">
              <w:rPr>
                <w:rFonts w:ascii="Arial" w:hAnsi="Arial" w:cs="Arial"/>
                <w:sz w:val="22"/>
                <w:szCs w:val="22"/>
              </w:rPr>
              <w:t xml:space="preserve"> zpracovatelského průmyslu: výrobky se středně nízkou technologickou náročností (CZ-CPA: 19; 22 až 24; 25 bez 254; 301) </w:t>
            </w:r>
          </w:p>
          <w:p w14:paraId="411BB068" w14:textId="77777777" w:rsidR="00BD51AC" w:rsidRDefault="00BD51AC" w:rsidP="00FB6CF6">
            <w:pPr>
              <w:pStyle w:val="Odstavecseseznamem"/>
              <w:numPr>
                <w:ilvl w:val="0"/>
                <w:numId w:val="12"/>
              </w:numPr>
              <w:spacing w:line="276" w:lineRule="auto"/>
              <w:jc w:val="both"/>
              <w:rPr>
                <w:rFonts w:ascii="Arial" w:hAnsi="Arial" w:cs="Arial"/>
                <w:sz w:val="22"/>
                <w:szCs w:val="22"/>
              </w:rPr>
            </w:pPr>
            <w:r w:rsidRPr="007B2F69">
              <w:rPr>
                <w:rFonts w:ascii="Arial" w:hAnsi="Arial" w:cs="Arial"/>
                <w:sz w:val="22"/>
                <w:szCs w:val="22"/>
              </w:rPr>
              <w:t xml:space="preserve">Výrobky </w:t>
            </w:r>
            <w:proofErr w:type="spellStart"/>
            <w:r w:rsidRPr="007B2F69">
              <w:rPr>
                <w:rFonts w:ascii="Arial" w:hAnsi="Arial" w:cs="Arial"/>
                <w:sz w:val="22"/>
                <w:szCs w:val="22"/>
              </w:rPr>
              <w:t>low-tech</w:t>
            </w:r>
            <w:proofErr w:type="spellEnd"/>
            <w:r w:rsidRPr="007B2F69">
              <w:rPr>
                <w:rFonts w:ascii="Arial" w:hAnsi="Arial" w:cs="Arial"/>
                <w:sz w:val="22"/>
                <w:szCs w:val="22"/>
              </w:rPr>
              <w:t xml:space="preserve"> zpracovatelského průmyslu: výrobky s nízkou technologickou náročností (CZ-CPA: 10 až 18; 31; 32 bez 325)</w:t>
            </w:r>
          </w:p>
          <w:p w14:paraId="7DAC37D5" w14:textId="77777777" w:rsidR="00EB2BE3" w:rsidRPr="007B2F69" w:rsidRDefault="00EB2BE3" w:rsidP="00FB6CF6">
            <w:pPr>
              <w:pStyle w:val="Odstavecseseznamem"/>
              <w:spacing w:line="276" w:lineRule="auto"/>
              <w:ind w:left="720"/>
              <w:jc w:val="both"/>
              <w:rPr>
                <w:rFonts w:ascii="Arial" w:hAnsi="Arial" w:cs="Arial"/>
                <w:sz w:val="22"/>
                <w:szCs w:val="22"/>
              </w:rPr>
            </w:pPr>
          </w:p>
          <w:p w14:paraId="5E4B6E4E" w14:textId="77777777" w:rsidR="00BD51AC" w:rsidRPr="007B2F69" w:rsidRDefault="00BD51AC" w:rsidP="00FB6CF6">
            <w:pPr>
              <w:spacing w:line="276" w:lineRule="auto"/>
              <w:jc w:val="both"/>
              <w:rPr>
                <w:rFonts w:ascii="Arial" w:hAnsi="Arial" w:cs="Arial"/>
                <w:sz w:val="22"/>
                <w:szCs w:val="22"/>
              </w:rPr>
            </w:pPr>
            <w:r w:rsidRPr="007B2F69">
              <w:rPr>
                <w:rFonts w:ascii="Arial" w:hAnsi="Arial" w:cs="Arial"/>
                <w:sz w:val="22"/>
                <w:szCs w:val="22"/>
                <w:u w:val="single"/>
              </w:rPr>
              <w:t>Poznámka:</w:t>
            </w:r>
            <w:r w:rsidRPr="007B2F69">
              <w:rPr>
                <w:rFonts w:ascii="Arial" w:hAnsi="Arial" w:cs="Arial"/>
                <w:sz w:val="22"/>
                <w:szCs w:val="22"/>
              </w:rPr>
              <w:t xml:space="preserve"> Výše uvedené rozdělení produkce zpracovatelského průmyslu podle technologické náročnosti neznamená, že například vývoj výrobků v některých podnicích z odvětví zpracovatelského průmyslu s nižší technologickou náročností nedoprovázejí vysoké náklady na inovace a/nebo na výzkum a vývoj a naopak. Stejně tak se nedá konstatovat, že veškerá </w:t>
            </w:r>
            <w:r w:rsidRPr="007B2F69">
              <w:rPr>
                <w:rFonts w:ascii="Arial" w:hAnsi="Arial" w:cs="Arial"/>
                <w:sz w:val="22"/>
                <w:szCs w:val="22"/>
              </w:rPr>
              <w:lastRenderedPageBreak/>
              <w:t>produkce podniků z odvětví zpracovatelského průmyslu s vyšší</w:t>
            </w:r>
          </w:p>
          <w:p w14:paraId="0ED38F17" w14:textId="77777777" w:rsidR="00BD51AC" w:rsidRPr="007B2F69" w:rsidRDefault="00BD51AC" w:rsidP="00FB6CF6">
            <w:pPr>
              <w:spacing w:line="276" w:lineRule="auto"/>
              <w:jc w:val="both"/>
              <w:rPr>
                <w:rFonts w:ascii="Arial" w:hAnsi="Arial" w:cs="Arial"/>
                <w:sz w:val="22"/>
                <w:szCs w:val="22"/>
              </w:rPr>
            </w:pPr>
            <w:r w:rsidRPr="007B2F69">
              <w:rPr>
                <w:rFonts w:ascii="Arial" w:hAnsi="Arial" w:cs="Arial"/>
                <w:sz w:val="22"/>
                <w:szCs w:val="22"/>
              </w:rPr>
              <w:t>technologickou náročností musí dosahovat</w:t>
            </w:r>
            <w:r>
              <w:rPr>
                <w:rFonts w:ascii="Arial" w:hAnsi="Arial" w:cs="Arial"/>
                <w:sz w:val="22"/>
                <w:szCs w:val="22"/>
              </w:rPr>
              <w:t xml:space="preserve"> špičkových parametrů a naopak.</w:t>
            </w:r>
          </w:p>
        </w:tc>
      </w:tr>
      <w:tr w:rsidR="00BD51AC" w:rsidRPr="007B2F69" w14:paraId="4EB978DE" w14:textId="77777777" w:rsidTr="00003B31">
        <w:tc>
          <w:tcPr>
            <w:tcW w:w="2802" w:type="dxa"/>
          </w:tcPr>
          <w:p w14:paraId="5AD4B972" w14:textId="77777777" w:rsidR="00BD51AC" w:rsidRPr="007B2F69" w:rsidRDefault="00BD51AC" w:rsidP="00003B31">
            <w:pPr>
              <w:spacing w:line="276" w:lineRule="auto"/>
              <w:rPr>
                <w:rFonts w:ascii="Arial" w:hAnsi="Arial" w:cs="Arial"/>
                <w:sz w:val="22"/>
                <w:szCs w:val="22"/>
              </w:rPr>
            </w:pPr>
            <w:r w:rsidRPr="007B2F69">
              <w:rPr>
                <w:rFonts w:ascii="Arial" w:hAnsi="Arial" w:cs="Arial"/>
                <w:sz w:val="22"/>
                <w:szCs w:val="22"/>
              </w:rPr>
              <w:lastRenderedPageBreak/>
              <w:t>Jednotka:</w:t>
            </w:r>
          </w:p>
        </w:tc>
        <w:tc>
          <w:tcPr>
            <w:tcW w:w="6486" w:type="dxa"/>
          </w:tcPr>
          <w:p w14:paraId="2DDB3CD5" w14:textId="77777777" w:rsidR="00BD51AC" w:rsidRPr="007B2F69" w:rsidRDefault="00BD51AC" w:rsidP="00FB6CF6">
            <w:pPr>
              <w:spacing w:line="276" w:lineRule="auto"/>
              <w:jc w:val="both"/>
              <w:rPr>
                <w:rFonts w:ascii="Arial" w:hAnsi="Arial" w:cs="Arial"/>
                <w:sz w:val="22"/>
                <w:szCs w:val="22"/>
              </w:rPr>
            </w:pPr>
            <w:r w:rsidRPr="007B2F69">
              <w:rPr>
                <w:rFonts w:ascii="Arial" w:hAnsi="Arial" w:cs="Arial"/>
                <w:sz w:val="22"/>
                <w:szCs w:val="22"/>
              </w:rPr>
              <w:t xml:space="preserve">Milion Kč; % </w:t>
            </w:r>
          </w:p>
        </w:tc>
      </w:tr>
      <w:tr w:rsidR="00BD51AC" w:rsidRPr="007B2F69" w14:paraId="7A86FFCB" w14:textId="77777777" w:rsidTr="00003B31">
        <w:tc>
          <w:tcPr>
            <w:tcW w:w="2802" w:type="dxa"/>
          </w:tcPr>
          <w:p w14:paraId="3C5EAD0C" w14:textId="77777777" w:rsidR="00BD51AC" w:rsidRPr="007B2F69" w:rsidRDefault="00BD51AC" w:rsidP="00003B31">
            <w:pPr>
              <w:spacing w:line="276" w:lineRule="auto"/>
              <w:rPr>
                <w:rFonts w:ascii="Arial" w:hAnsi="Arial" w:cs="Arial"/>
                <w:sz w:val="22"/>
                <w:szCs w:val="22"/>
              </w:rPr>
            </w:pPr>
            <w:r w:rsidRPr="007B2F69">
              <w:rPr>
                <w:rFonts w:ascii="Arial" w:hAnsi="Arial" w:cs="Arial"/>
                <w:sz w:val="22"/>
                <w:szCs w:val="22"/>
              </w:rPr>
              <w:t xml:space="preserve">Gestor: </w:t>
            </w:r>
          </w:p>
        </w:tc>
        <w:tc>
          <w:tcPr>
            <w:tcW w:w="6486" w:type="dxa"/>
          </w:tcPr>
          <w:p w14:paraId="17217B61" w14:textId="77777777" w:rsidR="00BD51AC" w:rsidRPr="007B2F69" w:rsidRDefault="00BD51AC" w:rsidP="00FB6CF6">
            <w:pPr>
              <w:spacing w:line="276" w:lineRule="auto"/>
              <w:jc w:val="both"/>
              <w:rPr>
                <w:rFonts w:ascii="Arial" w:hAnsi="Arial" w:cs="Arial"/>
                <w:sz w:val="22"/>
                <w:szCs w:val="22"/>
              </w:rPr>
            </w:pPr>
            <w:r w:rsidRPr="007B2F69">
              <w:rPr>
                <w:rFonts w:ascii="Arial" w:hAnsi="Arial" w:cs="Arial"/>
                <w:sz w:val="22"/>
                <w:szCs w:val="22"/>
              </w:rPr>
              <w:t>Český statistický úřad</w:t>
            </w:r>
          </w:p>
        </w:tc>
      </w:tr>
      <w:tr w:rsidR="00BD51AC" w:rsidRPr="007B2F69" w14:paraId="72AFC483" w14:textId="77777777" w:rsidTr="00003B31">
        <w:tc>
          <w:tcPr>
            <w:tcW w:w="2802" w:type="dxa"/>
          </w:tcPr>
          <w:p w14:paraId="280FFA7F" w14:textId="77777777" w:rsidR="00BD51AC" w:rsidRPr="007B2F69" w:rsidRDefault="00BD51AC" w:rsidP="00003B31">
            <w:pPr>
              <w:spacing w:line="276" w:lineRule="auto"/>
              <w:rPr>
                <w:rFonts w:ascii="Arial" w:hAnsi="Arial" w:cs="Arial"/>
                <w:sz w:val="22"/>
                <w:szCs w:val="22"/>
              </w:rPr>
            </w:pPr>
            <w:r w:rsidRPr="007B2F69">
              <w:rPr>
                <w:rFonts w:ascii="Arial" w:hAnsi="Arial" w:cs="Arial"/>
                <w:sz w:val="22"/>
                <w:szCs w:val="22"/>
              </w:rPr>
              <w:t xml:space="preserve">Význam indikátoru: </w:t>
            </w:r>
          </w:p>
        </w:tc>
        <w:tc>
          <w:tcPr>
            <w:tcW w:w="6486" w:type="dxa"/>
          </w:tcPr>
          <w:p w14:paraId="08099542" w14:textId="77777777" w:rsidR="00BD51AC" w:rsidRPr="007B2F69" w:rsidRDefault="00BD51AC" w:rsidP="00FB6CF6">
            <w:pPr>
              <w:spacing w:line="276" w:lineRule="auto"/>
              <w:jc w:val="both"/>
              <w:rPr>
                <w:rFonts w:ascii="Arial" w:hAnsi="Arial" w:cs="Arial"/>
                <w:sz w:val="22"/>
                <w:szCs w:val="22"/>
              </w:rPr>
            </w:pPr>
            <w:r w:rsidRPr="007B2F69">
              <w:rPr>
                <w:rFonts w:ascii="Arial" w:hAnsi="Arial" w:cs="Arial"/>
                <w:sz w:val="22"/>
                <w:szCs w:val="22"/>
              </w:rPr>
              <w:t xml:space="preserve">Česká republika je malou otevřenou ekonomikou s výraznou průmyslovou orientací a exportním zaměřením. Podle ekonomické úrovně se řadí mezi země, kde k hlavním faktorům pro budoucí zajištění konkurenční výhody je schopnost podniků vyvíjet a zavádět nové produkty a technologické postupy. Cílem tohoto ukazatele je identifikovat exportní položky, které jsou důležité pro výkonnost české ekonomiky. </w:t>
            </w:r>
          </w:p>
        </w:tc>
      </w:tr>
      <w:tr w:rsidR="00BD51AC" w:rsidRPr="007B2F69" w14:paraId="6653C661" w14:textId="77777777" w:rsidTr="00003B31">
        <w:tc>
          <w:tcPr>
            <w:tcW w:w="2802" w:type="dxa"/>
          </w:tcPr>
          <w:p w14:paraId="5C12D6FD" w14:textId="77777777" w:rsidR="00BD51AC" w:rsidRPr="007B2F69" w:rsidRDefault="00BD51AC" w:rsidP="00003B31">
            <w:pPr>
              <w:spacing w:line="276" w:lineRule="auto"/>
              <w:rPr>
                <w:rFonts w:ascii="Arial" w:hAnsi="Arial" w:cs="Arial"/>
                <w:sz w:val="22"/>
                <w:szCs w:val="22"/>
              </w:rPr>
            </w:pPr>
            <w:r w:rsidRPr="007B2F69">
              <w:rPr>
                <w:rFonts w:ascii="Arial" w:hAnsi="Arial" w:cs="Arial"/>
                <w:sz w:val="22"/>
                <w:szCs w:val="22"/>
              </w:rPr>
              <w:t xml:space="preserve">Časová řada: </w:t>
            </w:r>
          </w:p>
        </w:tc>
        <w:tc>
          <w:tcPr>
            <w:tcW w:w="6486" w:type="dxa"/>
          </w:tcPr>
          <w:p w14:paraId="59CE9C6C" w14:textId="77777777" w:rsidR="00BD51AC" w:rsidRPr="007B2F69" w:rsidRDefault="00BD51AC" w:rsidP="00FB6CF6">
            <w:pPr>
              <w:spacing w:line="276" w:lineRule="auto"/>
              <w:jc w:val="both"/>
              <w:rPr>
                <w:rFonts w:ascii="Arial" w:hAnsi="Arial" w:cs="Arial"/>
                <w:sz w:val="22"/>
                <w:szCs w:val="22"/>
              </w:rPr>
            </w:pPr>
            <w:r w:rsidRPr="007B2F69">
              <w:rPr>
                <w:rFonts w:ascii="Arial" w:hAnsi="Arial" w:cs="Arial"/>
                <w:sz w:val="22"/>
                <w:szCs w:val="22"/>
              </w:rPr>
              <w:t>Od roku 2010</w:t>
            </w:r>
          </w:p>
        </w:tc>
      </w:tr>
      <w:tr w:rsidR="00BD51AC" w:rsidRPr="007B2F69" w14:paraId="57CBFBCF" w14:textId="77777777" w:rsidTr="00003B31">
        <w:tc>
          <w:tcPr>
            <w:tcW w:w="2802" w:type="dxa"/>
          </w:tcPr>
          <w:p w14:paraId="36EE6DB3" w14:textId="77777777" w:rsidR="00BD51AC" w:rsidRPr="007B2F69" w:rsidRDefault="00BD51AC" w:rsidP="00003B31">
            <w:pPr>
              <w:spacing w:line="276" w:lineRule="auto"/>
              <w:rPr>
                <w:rFonts w:ascii="Arial" w:hAnsi="Arial" w:cs="Arial"/>
                <w:sz w:val="22"/>
                <w:szCs w:val="22"/>
              </w:rPr>
            </w:pPr>
            <w:r w:rsidRPr="007B2F69">
              <w:rPr>
                <w:rFonts w:ascii="Arial" w:hAnsi="Arial" w:cs="Arial"/>
                <w:sz w:val="22"/>
                <w:szCs w:val="22"/>
              </w:rPr>
              <w:t xml:space="preserve">Frekvence výstupu: </w:t>
            </w:r>
          </w:p>
        </w:tc>
        <w:tc>
          <w:tcPr>
            <w:tcW w:w="6486" w:type="dxa"/>
          </w:tcPr>
          <w:p w14:paraId="73F34C88" w14:textId="77777777" w:rsidR="00BD51AC" w:rsidRPr="007B2F69" w:rsidRDefault="00BD51AC" w:rsidP="00FB6CF6">
            <w:pPr>
              <w:spacing w:line="276" w:lineRule="auto"/>
              <w:jc w:val="both"/>
              <w:rPr>
                <w:rFonts w:ascii="Arial" w:hAnsi="Arial" w:cs="Arial"/>
                <w:sz w:val="22"/>
                <w:szCs w:val="22"/>
              </w:rPr>
            </w:pPr>
            <w:r w:rsidRPr="007B2F69">
              <w:rPr>
                <w:rFonts w:ascii="Arial" w:hAnsi="Arial" w:cs="Arial"/>
                <w:sz w:val="22"/>
                <w:szCs w:val="22"/>
              </w:rPr>
              <w:t xml:space="preserve">Ročně </w:t>
            </w:r>
          </w:p>
        </w:tc>
      </w:tr>
      <w:tr w:rsidR="00BD51AC" w:rsidRPr="007B2F69" w14:paraId="61FDF4AB" w14:textId="77777777" w:rsidTr="00003B31">
        <w:trPr>
          <w:trHeight w:val="70"/>
        </w:trPr>
        <w:tc>
          <w:tcPr>
            <w:tcW w:w="2802" w:type="dxa"/>
          </w:tcPr>
          <w:p w14:paraId="47881E86" w14:textId="77777777" w:rsidR="00BD51AC" w:rsidRPr="007B2F69" w:rsidRDefault="00BD51AC" w:rsidP="00003B31">
            <w:pPr>
              <w:spacing w:line="276" w:lineRule="auto"/>
              <w:rPr>
                <w:rFonts w:ascii="Arial" w:hAnsi="Arial" w:cs="Arial"/>
                <w:sz w:val="22"/>
                <w:szCs w:val="22"/>
              </w:rPr>
            </w:pPr>
            <w:r w:rsidRPr="007B2F69">
              <w:rPr>
                <w:rFonts w:ascii="Arial" w:hAnsi="Arial" w:cs="Arial"/>
                <w:sz w:val="22"/>
                <w:szCs w:val="22"/>
              </w:rPr>
              <w:t xml:space="preserve">Členění indikátoru: </w:t>
            </w:r>
          </w:p>
        </w:tc>
        <w:tc>
          <w:tcPr>
            <w:tcW w:w="6486" w:type="dxa"/>
          </w:tcPr>
          <w:p w14:paraId="4C07CADA" w14:textId="77777777" w:rsidR="00BD51AC" w:rsidRPr="007B2F69" w:rsidRDefault="00BD51AC" w:rsidP="00FB6CF6">
            <w:pPr>
              <w:spacing w:line="276" w:lineRule="auto"/>
              <w:jc w:val="both"/>
              <w:rPr>
                <w:rFonts w:ascii="Arial" w:hAnsi="Arial" w:cs="Arial"/>
                <w:sz w:val="22"/>
                <w:szCs w:val="22"/>
              </w:rPr>
            </w:pPr>
            <w:r w:rsidRPr="007B2F69">
              <w:rPr>
                <w:rFonts w:ascii="Arial" w:hAnsi="Arial" w:cs="Arial"/>
                <w:sz w:val="22"/>
                <w:szCs w:val="22"/>
              </w:rPr>
              <w:t>-</w:t>
            </w:r>
          </w:p>
        </w:tc>
      </w:tr>
      <w:tr w:rsidR="00BD51AC" w:rsidRPr="007B2F69" w14:paraId="4D4DCBAE" w14:textId="77777777" w:rsidTr="00003B31">
        <w:trPr>
          <w:trHeight w:val="70"/>
        </w:trPr>
        <w:tc>
          <w:tcPr>
            <w:tcW w:w="2802" w:type="dxa"/>
          </w:tcPr>
          <w:p w14:paraId="66A03E67" w14:textId="77777777" w:rsidR="00BD51AC" w:rsidRPr="007B2F69" w:rsidRDefault="00BD51AC" w:rsidP="00003B31">
            <w:pPr>
              <w:spacing w:line="276" w:lineRule="auto"/>
              <w:rPr>
                <w:rFonts w:ascii="Arial" w:hAnsi="Arial" w:cs="Arial"/>
                <w:sz w:val="22"/>
                <w:szCs w:val="22"/>
              </w:rPr>
            </w:pPr>
            <w:r w:rsidRPr="007B2F69">
              <w:rPr>
                <w:rFonts w:ascii="Arial" w:hAnsi="Arial" w:cs="Arial"/>
                <w:sz w:val="22"/>
                <w:szCs w:val="22"/>
              </w:rPr>
              <w:t>Mezinárodní srovnání:</w:t>
            </w:r>
          </w:p>
        </w:tc>
        <w:tc>
          <w:tcPr>
            <w:tcW w:w="6486" w:type="dxa"/>
          </w:tcPr>
          <w:p w14:paraId="2C86E00B" w14:textId="77777777" w:rsidR="00BD51AC" w:rsidRPr="007B2F69" w:rsidRDefault="00BD51AC" w:rsidP="00FB6CF6">
            <w:pPr>
              <w:spacing w:line="276" w:lineRule="auto"/>
              <w:jc w:val="both"/>
              <w:rPr>
                <w:rFonts w:ascii="Arial" w:hAnsi="Arial" w:cs="Arial"/>
                <w:sz w:val="22"/>
                <w:szCs w:val="22"/>
              </w:rPr>
            </w:pPr>
            <w:r w:rsidRPr="007B2F69">
              <w:rPr>
                <w:rFonts w:ascii="Arial" w:hAnsi="Arial" w:cs="Arial"/>
                <w:sz w:val="22"/>
                <w:szCs w:val="22"/>
              </w:rPr>
              <w:t>-</w:t>
            </w:r>
          </w:p>
        </w:tc>
      </w:tr>
    </w:tbl>
    <w:p w14:paraId="3616CF5E" w14:textId="77777777" w:rsidR="00BD51AC" w:rsidRDefault="00BD51AC" w:rsidP="00C54BB7">
      <w:pPr>
        <w:pStyle w:val="r2030podcle"/>
        <w:numPr>
          <w:ilvl w:val="0"/>
          <w:numId w:val="0"/>
        </w:numPr>
        <w:spacing w:after="0"/>
        <w:ind w:left="792" w:hanging="792"/>
        <w:rPr>
          <w:rFonts w:eastAsia="Calibri"/>
        </w:rPr>
      </w:pPr>
    </w:p>
    <w:tbl>
      <w:tblPr>
        <w:tblStyle w:val="Mkatabulky"/>
        <w:tblW w:w="0" w:type="auto"/>
        <w:tblLook w:val="04A0" w:firstRow="1" w:lastRow="0" w:firstColumn="1" w:lastColumn="0" w:noHBand="0" w:noVBand="1"/>
      </w:tblPr>
      <w:tblGrid>
        <w:gridCol w:w="2802"/>
        <w:gridCol w:w="6486"/>
      </w:tblGrid>
      <w:tr w:rsidR="00DB6017" w:rsidRPr="007B2F69" w14:paraId="7E30CF5D" w14:textId="77777777" w:rsidTr="009F7924">
        <w:tc>
          <w:tcPr>
            <w:tcW w:w="2802" w:type="dxa"/>
          </w:tcPr>
          <w:p w14:paraId="68B29182" w14:textId="77777777" w:rsidR="00DB6017" w:rsidRPr="007B2F69" w:rsidRDefault="00DB6017" w:rsidP="009F7924">
            <w:pPr>
              <w:spacing w:line="276" w:lineRule="auto"/>
              <w:rPr>
                <w:rFonts w:ascii="Arial" w:hAnsi="Arial" w:cs="Arial"/>
                <w:sz w:val="22"/>
                <w:szCs w:val="22"/>
              </w:rPr>
            </w:pPr>
            <w:r w:rsidRPr="007B2F69">
              <w:rPr>
                <w:rFonts w:ascii="Arial" w:hAnsi="Arial" w:cs="Arial"/>
                <w:sz w:val="22"/>
                <w:szCs w:val="22"/>
              </w:rPr>
              <w:t xml:space="preserve">Název a označení indikátoru: </w:t>
            </w:r>
          </w:p>
        </w:tc>
        <w:tc>
          <w:tcPr>
            <w:tcW w:w="6486" w:type="dxa"/>
          </w:tcPr>
          <w:p w14:paraId="25851985" w14:textId="77777777" w:rsidR="00DB6017" w:rsidRPr="007B2F69" w:rsidRDefault="00DB6017" w:rsidP="009F7924">
            <w:pPr>
              <w:spacing w:line="276" w:lineRule="auto"/>
              <w:rPr>
                <w:rFonts w:ascii="Arial" w:hAnsi="Arial" w:cs="Arial"/>
                <w:b/>
                <w:sz w:val="22"/>
                <w:szCs w:val="22"/>
              </w:rPr>
            </w:pPr>
            <w:r w:rsidRPr="007B2F69">
              <w:rPr>
                <w:rFonts w:ascii="Arial" w:hAnsi="Arial" w:cs="Arial"/>
                <w:b/>
                <w:sz w:val="22"/>
                <w:szCs w:val="22"/>
              </w:rPr>
              <w:t xml:space="preserve">7.3.2 Příjmy z prodeje technologických služeb do zahraničí </w:t>
            </w:r>
          </w:p>
        </w:tc>
      </w:tr>
      <w:tr w:rsidR="00DB6017" w:rsidRPr="007B2F69" w14:paraId="3D8286C7" w14:textId="77777777" w:rsidTr="009F7924">
        <w:tc>
          <w:tcPr>
            <w:tcW w:w="2802" w:type="dxa"/>
          </w:tcPr>
          <w:p w14:paraId="31903100" w14:textId="77777777" w:rsidR="00DB6017" w:rsidRPr="007B2F69" w:rsidRDefault="00DB6017" w:rsidP="009F7924">
            <w:pPr>
              <w:spacing w:line="276" w:lineRule="auto"/>
              <w:rPr>
                <w:rFonts w:ascii="Arial" w:hAnsi="Arial" w:cs="Arial"/>
                <w:sz w:val="22"/>
                <w:szCs w:val="22"/>
              </w:rPr>
            </w:pPr>
            <w:r w:rsidRPr="007B2F69">
              <w:rPr>
                <w:rFonts w:ascii="Arial" w:hAnsi="Arial" w:cs="Arial"/>
                <w:sz w:val="22"/>
                <w:szCs w:val="22"/>
              </w:rPr>
              <w:t xml:space="preserve">Stručná definice: </w:t>
            </w:r>
          </w:p>
        </w:tc>
        <w:tc>
          <w:tcPr>
            <w:tcW w:w="6486" w:type="dxa"/>
          </w:tcPr>
          <w:p w14:paraId="03B49D67" w14:textId="77777777" w:rsidR="00DB6017" w:rsidRPr="007B2F69" w:rsidRDefault="00DB6017" w:rsidP="00FB6CF6">
            <w:pPr>
              <w:spacing w:line="276" w:lineRule="auto"/>
              <w:jc w:val="both"/>
              <w:rPr>
                <w:rFonts w:ascii="Arial" w:hAnsi="Arial" w:cs="Arial"/>
                <w:sz w:val="22"/>
                <w:szCs w:val="22"/>
              </w:rPr>
            </w:pPr>
            <w:r w:rsidRPr="007B2F69">
              <w:rPr>
                <w:rFonts w:ascii="Arial" w:hAnsi="Arial" w:cs="Arial"/>
                <w:sz w:val="22"/>
                <w:szCs w:val="22"/>
              </w:rPr>
              <w:t>Technologické služby jsou definovány jako podskupina služeb v rámci technologické platební bilance. Data za vývoz technologických služeb pocházejí z přímého šetření ČSÚ u respondentů o vývozu a dovozu služeb ZO 1-04. Jednotlivé položky těchto služeb jsou pak vymezeny na základě Mezinárodní rozšířené klasifikace služeb platební bilance EBOPS 2010 a jednotlivých položek číselníku</w:t>
            </w:r>
          </w:p>
          <w:p w14:paraId="43072813" w14:textId="77777777" w:rsidR="00DB6017" w:rsidRPr="007B2F69" w:rsidRDefault="00DB6017" w:rsidP="00FB6CF6">
            <w:pPr>
              <w:spacing w:line="276" w:lineRule="auto"/>
              <w:jc w:val="both"/>
              <w:rPr>
                <w:rFonts w:ascii="Arial" w:hAnsi="Arial" w:cs="Arial"/>
                <w:sz w:val="22"/>
                <w:szCs w:val="22"/>
              </w:rPr>
            </w:pPr>
            <w:r w:rsidRPr="007B2F69">
              <w:rPr>
                <w:rFonts w:ascii="Arial" w:hAnsi="Arial" w:cs="Arial"/>
                <w:sz w:val="22"/>
                <w:szCs w:val="22"/>
              </w:rPr>
              <w:t>Služeb šetření ZO 1-04 do následujících čtyř kategorií:</w:t>
            </w:r>
          </w:p>
          <w:p w14:paraId="04992876" w14:textId="77777777" w:rsidR="00DB6017" w:rsidRPr="00607C34" w:rsidRDefault="00DB6017" w:rsidP="00FB6CF6">
            <w:pPr>
              <w:pStyle w:val="Odstavecseseznamem"/>
              <w:numPr>
                <w:ilvl w:val="0"/>
                <w:numId w:val="13"/>
              </w:numPr>
              <w:spacing w:line="276" w:lineRule="auto"/>
              <w:ind w:left="459"/>
              <w:contextualSpacing/>
              <w:jc w:val="both"/>
              <w:rPr>
                <w:rFonts w:ascii="Arial" w:hAnsi="Arial" w:cs="Arial"/>
                <w:sz w:val="22"/>
                <w:szCs w:val="22"/>
              </w:rPr>
            </w:pPr>
            <w:r w:rsidRPr="00607C34">
              <w:rPr>
                <w:rFonts w:ascii="Arial" w:hAnsi="Arial" w:cs="Arial"/>
                <w:sz w:val="22"/>
                <w:szCs w:val="22"/>
              </w:rPr>
              <w:t>Počítačové služby (SI2 + SH3)</w:t>
            </w:r>
          </w:p>
          <w:p w14:paraId="02B1FC41" w14:textId="77777777" w:rsidR="00DB6017" w:rsidRPr="00607C34" w:rsidRDefault="00DB6017" w:rsidP="00FB6CF6">
            <w:pPr>
              <w:pStyle w:val="Odstavecseseznamem"/>
              <w:numPr>
                <w:ilvl w:val="0"/>
                <w:numId w:val="13"/>
              </w:numPr>
              <w:spacing w:line="276" w:lineRule="auto"/>
              <w:ind w:left="459"/>
              <w:contextualSpacing/>
              <w:jc w:val="both"/>
              <w:rPr>
                <w:rFonts w:ascii="Arial" w:hAnsi="Arial" w:cs="Arial"/>
                <w:sz w:val="22"/>
                <w:szCs w:val="22"/>
              </w:rPr>
            </w:pPr>
            <w:r w:rsidRPr="00607C34">
              <w:rPr>
                <w:rFonts w:ascii="Arial" w:hAnsi="Arial" w:cs="Arial"/>
                <w:sz w:val="22"/>
                <w:szCs w:val="22"/>
              </w:rPr>
              <w:t>Projekční, inženýrské a ostatní technické služby (SJ31)</w:t>
            </w:r>
          </w:p>
          <w:p w14:paraId="012704BC" w14:textId="77777777" w:rsidR="00DB6017" w:rsidRPr="00607C34" w:rsidRDefault="00DB6017" w:rsidP="00FB6CF6">
            <w:pPr>
              <w:pStyle w:val="Odstavecseseznamem"/>
              <w:numPr>
                <w:ilvl w:val="0"/>
                <w:numId w:val="13"/>
              </w:numPr>
              <w:spacing w:line="276" w:lineRule="auto"/>
              <w:ind w:left="459"/>
              <w:contextualSpacing/>
              <w:jc w:val="both"/>
              <w:rPr>
                <w:rFonts w:ascii="Arial" w:hAnsi="Arial" w:cs="Arial"/>
                <w:sz w:val="22"/>
                <w:szCs w:val="22"/>
              </w:rPr>
            </w:pPr>
            <w:r w:rsidRPr="00607C34">
              <w:rPr>
                <w:rFonts w:ascii="Arial" w:hAnsi="Arial" w:cs="Arial"/>
                <w:sz w:val="22"/>
                <w:szCs w:val="22"/>
              </w:rPr>
              <w:t>Služby výzkumu a vývoje (SJ1)</w:t>
            </w:r>
          </w:p>
          <w:p w14:paraId="50ED5FD6" w14:textId="77777777" w:rsidR="00DB6017" w:rsidRPr="00607C34" w:rsidRDefault="00DB6017" w:rsidP="00FB6CF6">
            <w:pPr>
              <w:pStyle w:val="Odstavecseseznamem"/>
              <w:numPr>
                <w:ilvl w:val="0"/>
                <w:numId w:val="13"/>
              </w:numPr>
              <w:spacing w:line="276" w:lineRule="auto"/>
              <w:ind w:left="459"/>
              <w:contextualSpacing/>
              <w:jc w:val="both"/>
              <w:rPr>
                <w:rFonts w:ascii="Arial" w:hAnsi="Arial" w:cs="Arial"/>
                <w:sz w:val="22"/>
                <w:szCs w:val="22"/>
              </w:rPr>
            </w:pPr>
            <w:r w:rsidRPr="00607C34">
              <w:rPr>
                <w:rFonts w:ascii="Arial" w:hAnsi="Arial" w:cs="Arial"/>
                <w:sz w:val="22"/>
                <w:szCs w:val="22"/>
              </w:rPr>
              <w:t>Licenční poplatky za právo užívat produkty průmyslového vlastnictví (SH2)</w:t>
            </w:r>
          </w:p>
        </w:tc>
      </w:tr>
      <w:tr w:rsidR="00DB6017" w:rsidRPr="007B2F69" w14:paraId="553EBBDD" w14:textId="77777777" w:rsidTr="009F7924">
        <w:tc>
          <w:tcPr>
            <w:tcW w:w="2802" w:type="dxa"/>
          </w:tcPr>
          <w:p w14:paraId="5379588F" w14:textId="77777777" w:rsidR="00DB6017" w:rsidRPr="007B2F69" w:rsidRDefault="00DB6017" w:rsidP="009F7924">
            <w:pPr>
              <w:spacing w:line="276" w:lineRule="auto"/>
              <w:rPr>
                <w:rFonts w:ascii="Arial" w:hAnsi="Arial" w:cs="Arial"/>
                <w:sz w:val="22"/>
                <w:szCs w:val="22"/>
              </w:rPr>
            </w:pPr>
            <w:r w:rsidRPr="007B2F69">
              <w:rPr>
                <w:rFonts w:ascii="Arial" w:hAnsi="Arial" w:cs="Arial"/>
                <w:sz w:val="22"/>
                <w:szCs w:val="22"/>
              </w:rPr>
              <w:t>Jednotka:</w:t>
            </w:r>
          </w:p>
        </w:tc>
        <w:tc>
          <w:tcPr>
            <w:tcW w:w="6486" w:type="dxa"/>
          </w:tcPr>
          <w:p w14:paraId="71473EBD" w14:textId="3989C8F3" w:rsidR="00DB6017" w:rsidRPr="007B2F69" w:rsidRDefault="00FB6CF6" w:rsidP="00FB6CF6">
            <w:pPr>
              <w:spacing w:line="276" w:lineRule="auto"/>
              <w:jc w:val="both"/>
              <w:rPr>
                <w:rFonts w:ascii="Arial" w:hAnsi="Arial" w:cs="Arial"/>
                <w:sz w:val="22"/>
                <w:szCs w:val="22"/>
              </w:rPr>
            </w:pPr>
            <w:r>
              <w:rPr>
                <w:rFonts w:ascii="Arial" w:hAnsi="Arial" w:cs="Arial"/>
                <w:sz w:val="22"/>
                <w:szCs w:val="22"/>
              </w:rPr>
              <w:t>mil.</w:t>
            </w:r>
            <w:r w:rsidR="00DB6017" w:rsidRPr="007B2F69">
              <w:rPr>
                <w:rFonts w:ascii="Arial" w:hAnsi="Arial" w:cs="Arial"/>
                <w:sz w:val="22"/>
                <w:szCs w:val="22"/>
              </w:rPr>
              <w:t xml:space="preserve"> Kč; podíl na HDP, podíl na celkovém vývozu služeb, podíl na celkových výdajích na výzkum a vývoj.</w:t>
            </w:r>
          </w:p>
        </w:tc>
      </w:tr>
      <w:tr w:rsidR="00DB6017" w:rsidRPr="007B2F69" w14:paraId="379DE172" w14:textId="77777777" w:rsidTr="009F7924">
        <w:tc>
          <w:tcPr>
            <w:tcW w:w="2802" w:type="dxa"/>
          </w:tcPr>
          <w:p w14:paraId="62B9FA01" w14:textId="77777777" w:rsidR="00DB6017" w:rsidRPr="007B2F69" w:rsidRDefault="00DB6017" w:rsidP="009F7924">
            <w:pPr>
              <w:spacing w:line="276" w:lineRule="auto"/>
              <w:rPr>
                <w:rFonts w:ascii="Arial" w:hAnsi="Arial" w:cs="Arial"/>
                <w:sz w:val="22"/>
                <w:szCs w:val="22"/>
              </w:rPr>
            </w:pPr>
            <w:r w:rsidRPr="007B2F69">
              <w:rPr>
                <w:rFonts w:ascii="Arial" w:hAnsi="Arial" w:cs="Arial"/>
                <w:sz w:val="22"/>
                <w:szCs w:val="22"/>
              </w:rPr>
              <w:t xml:space="preserve">Gestor: </w:t>
            </w:r>
          </w:p>
        </w:tc>
        <w:tc>
          <w:tcPr>
            <w:tcW w:w="6486" w:type="dxa"/>
          </w:tcPr>
          <w:p w14:paraId="13B8E7B6" w14:textId="77777777" w:rsidR="00DB6017" w:rsidRPr="007B2F69" w:rsidRDefault="00DB6017" w:rsidP="00FB6CF6">
            <w:pPr>
              <w:spacing w:line="276" w:lineRule="auto"/>
              <w:jc w:val="both"/>
              <w:rPr>
                <w:rFonts w:ascii="Arial" w:hAnsi="Arial" w:cs="Arial"/>
                <w:sz w:val="22"/>
                <w:szCs w:val="22"/>
              </w:rPr>
            </w:pPr>
            <w:r w:rsidRPr="007B2F69">
              <w:rPr>
                <w:rFonts w:ascii="Arial" w:hAnsi="Arial" w:cs="Arial"/>
                <w:sz w:val="22"/>
                <w:szCs w:val="22"/>
              </w:rPr>
              <w:t>Český statistický úřad</w:t>
            </w:r>
          </w:p>
        </w:tc>
      </w:tr>
      <w:tr w:rsidR="00DB6017" w:rsidRPr="007B2F69" w14:paraId="459C4A0D" w14:textId="77777777" w:rsidTr="009F7924">
        <w:tc>
          <w:tcPr>
            <w:tcW w:w="2802" w:type="dxa"/>
          </w:tcPr>
          <w:p w14:paraId="3EDEB253" w14:textId="77777777" w:rsidR="00DB6017" w:rsidRPr="007B2F69" w:rsidRDefault="00DB6017" w:rsidP="009F7924">
            <w:pPr>
              <w:spacing w:line="276" w:lineRule="auto"/>
              <w:rPr>
                <w:rFonts w:ascii="Arial" w:hAnsi="Arial" w:cs="Arial"/>
                <w:sz w:val="22"/>
                <w:szCs w:val="22"/>
              </w:rPr>
            </w:pPr>
            <w:r w:rsidRPr="007B2F69">
              <w:rPr>
                <w:rFonts w:ascii="Arial" w:hAnsi="Arial" w:cs="Arial"/>
                <w:sz w:val="22"/>
                <w:szCs w:val="22"/>
              </w:rPr>
              <w:t xml:space="preserve">Význam indikátoru: </w:t>
            </w:r>
          </w:p>
        </w:tc>
        <w:tc>
          <w:tcPr>
            <w:tcW w:w="6486" w:type="dxa"/>
          </w:tcPr>
          <w:p w14:paraId="006BE0D0" w14:textId="77777777" w:rsidR="00DB6017" w:rsidRPr="007B2F69" w:rsidRDefault="00DB6017" w:rsidP="00FB6CF6">
            <w:pPr>
              <w:spacing w:line="276" w:lineRule="auto"/>
              <w:jc w:val="both"/>
              <w:rPr>
                <w:rFonts w:ascii="Arial" w:hAnsi="Arial" w:cs="Arial"/>
                <w:sz w:val="22"/>
                <w:szCs w:val="22"/>
              </w:rPr>
            </w:pPr>
            <w:r w:rsidRPr="007B2F69">
              <w:rPr>
                <w:rFonts w:ascii="Arial" w:hAnsi="Arial" w:cs="Arial"/>
                <w:sz w:val="22"/>
                <w:szCs w:val="22"/>
              </w:rPr>
              <w:t>Zahraniční obchod s technologickými službami sleduje především prodej a nákup nehmotných technologií a znalostí dané země ve vztahu k ostatním ekonomikám. Údaje o příjmech, resp. platbách získaných v rámci zahraničního obchodu s technologickými službami vyjadřují technologickou úroveň ekonomiky, tj. informují o rozsahu zahraničního obchodu s průmyslovým vlastnictvím a znalostmi spojenými s vyspělými technologiemi.</w:t>
            </w:r>
          </w:p>
        </w:tc>
      </w:tr>
      <w:tr w:rsidR="00DB6017" w:rsidRPr="007B2F69" w14:paraId="174220D1" w14:textId="77777777" w:rsidTr="009F7924">
        <w:tc>
          <w:tcPr>
            <w:tcW w:w="2802" w:type="dxa"/>
          </w:tcPr>
          <w:p w14:paraId="17D1C14C" w14:textId="77777777" w:rsidR="00DB6017" w:rsidRPr="007B2F69" w:rsidRDefault="00DB6017" w:rsidP="009F7924">
            <w:pPr>
              <w:spacing w:line="276" w:lineRule="auto"/>
              <w:rPr>
                <w:rFonts w:ascii="Arial" w:hAnsi="Arial" w:cs="Arial"/>
                <w:sz w:val="22"/>
                <w:szCs w:val="22"/>
              </w:rPr>
            </w:pPr>
            <w:r w:rsidRPr="007B2F69">
              <w:rPr>
                <w:rFonts w:ascii="Arial" w:hAnsi="Arial" w:cs="Arial"/>
                <w:sz w:val="22"/>
                <w:szCs w:val="22"/>
              </w:rPr>
              <w:t xml:space="preserve">Časová řada: </w:t>
            </w:r>
          </w:p>
        </w:tc>
        <w:tc>
          <w:tcPr>
            <w:tcW w:w="6486" w:type="dxa"/>
          </w:tcPr>
          <w:p w14:paraId="64F1471D" w14:textId="77777777" w:rsidR="00DB6017" w:rsidRPr="007B2F69" w:rsidRDefault="00DB6017" w:rsidP="00FB6CF6">
            <w:pPr>
              <w:spacing w:line="276" w:lineRule="auto"/>
              <w:jc w:val="both"/>
              <w:rPr>
                <w:rFonts w:ascii="Arial" w:hAnsi="Arial" w:cs="Arial"/>
                <w:sz w:val="22"/>
                <w:szCs w:val="22"/>
              </w:rPr>
            </w:pPr>
            <w:r w:rsidRPr="007B2F69">
              <w:rPr>
                <w:rFonts w:ascii="Arial" w:hAnsi="Arial" w:cs="Arial"/>
                <w:sz w:val="22"/>
                <w:szCs w:val="22"/>
              </w:rPr>
              <w:t>Od roku 2011</w:t>
            </w:r>
          </w:p>
        </w:tc>
      </w:tr>
      <w:tr w:rsidR="00DB6017" w:rsidRPr="007B2F69" w14:paraId="468A5E62" w14:textId="77777777" w:rsidTr="009F7924">
        <w:tc>
          <w:tcPr>
            <w:tcW w:w="2802" w:type="dxa"/>
          </w:tcPr>
          <w:p w14:paraId="5EF1C060" w14:textId="77777777" w:rsidR="00DB6017" w:rsidRPr="007B2F69" w:rsidRDefault="00DB6017" w:rsidP="009F7924">
            <w:pPr>
              <w:spacing w:line="276" w:lineRule="auto"/>
              <w:rPr>
                <w:rFonts w:ascii="Arial" w:hAnsi="Arial" w:cs="Arial"/>
                <w:sz w:val="22"/>
                <w:szCs w:val="22"/>
              </w:rPr>
            </w:pPr>
            <w:r w:rsidRPr="007B2F69">
              <w:rPr>
                <w:rFonts w:ascii="Arial" w:hAnsi="Arial" w:cs="Arial"/>
                <w:sz w:val="22"/>
                <w:szCs w:val="22"/>
              </w:rPr>
              <w:t xml:space="preserve">Frekvence výstupu: </w:t>
            </w:r>
          </w:p>
        </w:tc>
        <w:tc>
          <w:tcPr>
            <w:tcW w:w="6486" w:type="dxa"/>
          </w:tcPr>
          <w:p w14:paraId="7B6E0387" w14:textId="77777777" w:rsidR="00DB6017" w:rsidRPr="007B2F69" w:rsidRDefault="00DB6017" w:rsidP="00FB6CF6">
            <w:pPr>
              <w:spacing w:line="276" w:lineRule="auto"/>
              <w:jc w:val="both"/>
              <w:rPr>
                <w:rFonts w:ascii="Arial" w:hAnsi="Arial" w:cs="Arial"/>
                <w:sz w:val="22"/>
                <w:szCs w:val="22"/>
              </w:rPr>
            </w:pPr>
            <w:r w:rsidRPr="007B2F69">
              <w:rPr>
                <w:rFonts w:ascii="Arial" w:hAnsi="Arial" w:cs="Arial"/>
                <w:sz w:val="22"/>
                <w:szCs w:val="22"/>
              </w:rPr>
              <w:t xml:space="preserve">Ročně </w:t>
            </w:r>
          </w:p>
        </w:tc>
      </w:tr>
      <w:tr w:rsidR="00DB6017" w:rsidRPr="007B2F69" w14:paraId="09A03993" w14:textId="77777777" w:rsidTr="009F7924">
        <w:trPr>
          <w:trHeight w:val="70"/>
        </w:trPr>
        <w:tc>
          <w:tcPr>
            <w:tcW w:w="2802" w:type="dxa"/>
          </w:tcPr>
          <w:p w14:paraId="4553B7AF" w14:textId="77777777" w:rsidR="00DB6017" w:rsidRPr="007B2F69" w:rsidRDefault="00DB6017" w:rsidP="009F7924">
            <w:pPr>
              <w:spacing w:line="276" w:lineRule="auto"/>
              <w:rPr>
                <w:rFonts w:ascii="Arial" w:hAnsi="Arial" w:cs="Arial"/>
                <w:sz w:val="22"/>
                <w:szCs w:val="22"/>
              </w:rPr>
            </w:pPr>
            <w:r w:rsidRPr="007B2F69">
              <w:rPr>
                <w:rFonts w:ascii="Arial" w:hAnsi="Arial" w:cs="Arial"/>
                <w:sz w:val="22"/>
                <w:szCs w:val="22"/>
              </w:rPr>
              <w:lastRenderedPageBreak/>
              <w:t xml:space="preserve">Členění indikátoru: </w:t>
            </w:r>
          </w:p>
        </w:tc>
        <w:tc>
          <w:tcPr>
            <w:tcW w:w="6486" w:type="dxa"/>
          </w:tcPr>
          <w:p w14:paraId="37BA857F" w14:textId="5B792691" w:rsidR="00DB6017" w:rsidRPr="007B2F69" w:rsidRDefault="00FB6CF6" w:rsidP="009F7924">
            <w:pPr>
              <w:spacing w:line="276" w:lineRule="auto"/>
              <w:rPr>
                <w:rFonts w:ascii="Arial" w:hAnsi="Arial" w:cs="Arial"/>
                <w:sz w:val="22"/>
                <w:szCs w:val="22"/>
              </w:rPr>
            </w:pPr>
            <w:r>
              <w:rPr>
                <w:rFonts w:ascii="Arial" w:hAnsi="Arial" w:cs="Arial"/>
                <w:sz w:val="22"/>
                <w:szCs w:val="22"/>
              </w:rPr>
              <w:t>Dle</w:t>
            </w:r>
            <w:r w:rsidR="00DB6017" w:rsidRPr="007B2F69">
              <w:rPr>
                <w:rFonts w:ascii="Arial" w:hAnsi="Arial" w:cs="Arial"/>
                <w:sz w:val="22"/>
                <w:szCs w:val="22"/>
              </w:rPr>
              <w:t xml:space="preserve"> druhu vyvážených technologických služeb a zemí kam se tyto služby vyvážejí v kombinaci podle typu vývozce definované podle institucionálního sektoru, velikosti a převažující ekonomické činnosti.</w:t>
            </w:r>
          </w:p>
        </w:tc>
      </w:tr>
      <w:tr w:rsidR="00DB6017" w:rsidRPr="007B2F69" w14:paraId="0C6B1C54" w14:textId="77777777" w:rsidTr="009F7924">
        <w:trPr>
          <w:trHeight w:val="70"/>
        </w:trPr>
        <w:tc>
          <w:tcPr>
            <w:tcW w:w="2802" w:type="dxa"/>
          </w:tcPr>
          <w:p w14:paraId="62CD671C" w14:textId="77777777" w:rsidR="00DB6017" w:rsidRPr="007B2F69" w:rsidRDefault="00DB6017" w:rsidP="009F7924">
            <w:pPr>
              <w:spacing w:line="276" w:lineRule="auto"/>
              <w:rPr>
                <w:rFonts w:ascii="Arial" w:hAnsi="Arial" w:cs="Arial"/>
                <w:sz w:val="22"/>
                <w:szCs w:val="22"/>
              </w:rPr>
            </w:pPr>
            <w:r w:rsidRPr="007B2F69">
              <w:rPr>
                <w:rFonts w:ascii="Arial" w:hAnsi="Arial" w:cs="Arial"/>
                <w:sz w:val="22"/>
                <w:szCs w:val="22"/>
              </w:rPr>
              <w:t>Mezinárodní srovnání:</w:t>
            </w:r>
          </w:p>
        </w:tc>
        <w:tc>
          <w:tcPr>
            <w:tcW w:w="6486" w:type="dxa"/>
          </w:tcPr>
          <w:p w14:paraId="7CF98B8A" w14:textId="32B25E06" w:rsidR="00DB6017" w:rsidRPr="007B2F69" w:rsidRDefault="005A6D20" w:rsidP="009F7924">
            <w:pPr>
              <w:spacing w:line="276" w:lineRule="auto"/>
              <w:rPr>
                <w:rFonts w:ascii="Arial" w:hAnsi="Arial" w:cs="Arial"/>
                <w:sz w:val="22"/>
                <w:szCs w:val="22"/>
              </w:rPr>
            </w:pPr>
            <w:proofErr w:type="spellStart"/>
            <w:r>
              <w:rPr>
                <w:rFonts w:ascii="Arial" w:hAnsi="Arial" w:cs="Arial"/>
                <w:sz w:val="22"/>
                <w:szCs w:val="22"/>
              </w:rPr>
              <w:t>Eurostat</w:t>
            </w:r>
            <w:proofErr w:type="spellEnd"/>
          </w:p>
        </w:tc>
      </w:tr>
    </w:tbl>
    <w:p w14:paraId="34958F98" w14:textId="77777777" w:rsidR="00DB6017" w:rsidRDefault="00DB6017" w:rsidP="00C54BB7">
      <w:pPr>
        <w:pStyle w:val="r2030podcle"/>
        <w:numPr>
          <w:ilvl w:val="0"/>
          <w:numId w:val="0"/>
        </w:numPr>
        <w:spacing w:before="0" w:after="0"/>
        <w:ind w:left="792" w:hanging="792"/>
        <w:rPr>
          <w:rFonts w:eastAsia="Calibri"/>
        </w:rPr>
      </w:pPr>
    </w:p>
    <w:tbl>
      <w:tblPr>
        <w:tblStyle w:val="Mkatabulky"/>
        <w:tblW w:w="0" w:type="auto"/>
        <w:shd w:val="clear" w:color="auto" w:fill="D9D9D9" w:themeFill="background1" w:themeFillShade="D9"/>
        <w:tblLook w:val="04A0" w:firstRow="1" w:lastRow="0" w:firstColumn="1" w:lastColumn="0" w:noHBand="0" w:noVBand="1"/>
      </w:tblPr>
      <w:tblGrid>
        <w:gridCol w:w="2802"/>
        <w:gridCol w:w="6486"/>
      </w:tblGrid>
      <w:tr w:rsidR="006D7F9E" w:rsidRPr="007B2F69" w14:paraId="202948F2" w14:textId="77777777" w:rsidTr="00BE1896">
        <w:tc>
          <w:tcPr>
            <w:tcW w:w="2802" w:type="dxa"/>
            <w:shd w:val="clear" w:color="auto" w:fill="D9D9D9" w:themeFill="background1" w:themeFillShade="D9"/>
          </w:tcPr>
          <w:p w14:paraId="05DEBC59" w14:textId="77777777" w:rsidR="006D7F9E" w:rsidRPr="007B2F69" w:rsidRDefault="006D7F9E" w:rsidP="00C375C1">
            <w:pPr>
              <w:spacing w:line="276" w:lineRule="auto"/>
              <w:rPr>
                <w:rFonts w:ascii="Arial" w:hAnsi="Arial" w:cs="Arial"/>
                <w:sz w:val="22"/>
                <w:szCs w:val="22"/>
              </w:rPr>
            </w:pPr>
            <w:r w:rsidRPr="007B2F69">
              <w:rPr>
                <w:rFonts w:ascii="Arial" w:hAnsi="Arial" w:cs="Arial"/>
                <w:sz w:val="22"/>
                <w:szCs w:val="22"/>
              </w:rPr>
              <w:t xml:space="preserve">Název a označení indikátoru: </w:t>
            </w:r>
          </w:p>
        </w:tc>
        <w:tc>
          <w:tcPr>
            <w:tcW w:w="6486" w:type="dxa"/>
            <w:shd w:val="clear" w:color="auto" w:fill="D9D9D9" w:themeFill="background1" w:themeFillShade="D9"/>
          </w:tcPr>
          <w:p w14:paraId="4CEC4BEB" w14:textId="44709DF5" w:rsidR="006D7F9E" w:rsidRPr="007B2F69" w:rsidRDefault="001F6803" w:rsidP="00C375C1">
            <w:pPr>
              <w:spacing w:line="276" w:lineRule="auto"/>
              <w:rPr>
                <w:rFonts w:ascii="Arial" w:hAnsi="Arial" w:cs="Arial"/>
                <w:b/>
                <w:sz w:val="22"/>
                <w:szCs w:val="22"/>
              </w:rPr>
            </w:pPr>
            <w:r>
              <w:rPr>
                <w:rFonts w:ascii="Arial" w:hAnsi="Arial" w:cs="Arial"/>
                <w:b/>
                <w:sz w:val="22"/>
                <w:szCs w:val="22"/>
              </w:rPr>
              <w:t>7.3</w:t>
            </w:r>
            <w:r w:rsidR="008427D4">
              <w:rPr>
                <w:rFonts w:ascii="Arial" w:hAnsi="Arial" w:cs="Arial"/>
                <w:b/>
                <w:sz w:val="22"/>
                <w:szCs w:val="22"/>
              </w:rPr>
              <w:t>.3</w:t>
            </w:r>
            <w:r w:rsidR="006D7F9E" w:rsidRPr="007B2F69">
              <w:rPr>
                <w:rFonts w:ascii="Arial" w:hAnsi="Arial" w:cs="Arial"/>
                <w:b/>
                <w:sz w:val="22"/>
                <w:szCs w:val="22"/>
              </w:rPr>
              <w:t xml:space="preserve"> Patentové žádosti podané u Evropského patentového úřadu </w:t>
            </w:r>
          </w:p>
        </w:tc>
      </w:tr>
      <w:tr w:rsidR="006D7F9E" w:rsidRPr="007B2F69" w14:paraId="223D98FD" w14:textId="77777777" w:rsidTr="00BE1896">
        <w:tc>
          <w:tcPr>
            <w:tcW w:w="2802" w:type="dxa"/>
            <w:shd w:val="clear" w:color="auto" w:fill="D9D9D9" w:themeFill="background1" w:themeFillShade="D9"/>
          </w:tcPr>
          <w:p w14:paraId="6AE025D5" w14:textId="77777777" w:rsidR="006D7F9E" w:rsidRPr="007B2F69" w:rsidRDefault="006D7F9E" w:rsidP="00C375C1">
            <w:pPr>
              <w:spacing w:line="276" w:lineRule="auto"/>
              <w:rPr>
                <w:rFonts w:ascii="Arial" w:hAnsi="Arial" w:cs="Arial"/>
                <w:sz w:val="22"/>
                <w:szCs w:val="22"/>
              </w:rPr>
            </w:pPr>
            <w:r w:rsidRPr="007B2F69">
              <w:rPr>
                <w:rFonts w:ascii="Arial" w:hAnsi="Arial" w:cs="Arial"/>
                <w:sz w:val="22"/>
                <w:szCs w:val="22"/>
              </w:rPr>
              <w:t xml:space="preserve">Stručná definice: </w:t>
            </w:r>
          </w:p>
        </w:tc>
        <w:tc>
          <w:tcPr>
            <w:tcW w:w="6486" w:type="dxa"/>
            <w:shd w:val="clear" w:color="auto" w:fill="D9D9D9" w:themeFill="background1" w:themeFillShade="D9"/>
          </w:tcPr>
          <w:p w14:paraId="341845E1" w14:textId="77777777" w:rsidR="006D7F9E" w:rsidRPr="007B2F69" w:rsidRDefault="006D7F9E" w:rsidP="00C375C1">
            <w:pPr>
              <w:spacing w:line="276" w:lineRule="auto"/>
              <w:rPr>
                <w:rFonts w:ascii="Arial" w:hAnsi="Arial" w:cs="Arial"/>
                <w:sz w:val="22"/>
                <w:szCs w:val="22"/>
              </w:rPr>
            </w:pPr>
          </w:p>
        </w:tc>
      </w:tr>
      <w:tr w:rsidR="006D7F9E" w:rsidRPr="007B2F69" w14:paraId="7238EE89" w14:textId="77777777" w:rsidTr="00BE1896">
        <w:tc>
          <w:tcPr>
            <w:tcW w:w="2802" w:type="dxa"/>
            <w:shd w:val="clear" w:color="auto" w:fill="D9D9D9" w:themeFill="background1" w:themeFillShade="D9"/>
          </w:tcPr>
          <w:p w14:paraId="3022E9FE" w14:textId="77777777" w:rsidR="006D7F9E" w:rsidRPr="007B2F69" w:rsidRDefault="006D7F9E" w:rsidP="00C375C1">
            <w:pPr>
              <w:spacing w:line="276" w:lineRule="auto"/>
              <w:rPr>
                <w:rFonts w:ascii="Arial" w:hAnsi="Arial" w:cs="Arial"/>
                <w:sz w:val="22"/>
                <w:szCs w:val="22"/>
              </w:rPr>
            </w:pPr>
            <w:r w:rsidRPr="007B2F69">
              <w:rPr>
                <w:rFonts w:ascii="Arial" w:hAnsi="Arial" w:cs="Arial"/>
                <w:sz w:val="22"/>
                <w:szCs w:val="22"/>
              </w:rPr>
              <w:t>Jednotka:</w:t>
            </w:r>
          </w:p>
        </w:tc>
        <w:tc>
          <w:tcPr>
            <w:tcW w:w="6486" w:type="dxa"/>
            <w:shd w:val="clear" w:color="auto" w:fill="D9D9D9" w:themeFill="background1" w:themeFillShade="D9"/>
          </w:tcPr>
          <w:p w14:paraId="46778512" w14:textId="77777777" w:rsidR="006D7F9E" w:rsidRPr="007B2F69" w:rsidRDefault="006D7F9E" w:rsidP="00C375C1">
            <w:pPr>
              <w:spacing w:line="276" w:lineRule="auto"/>
              <w:rPr>
                <w:rFonts w:ascii="Arial" w:hAnsi="Arial" w:cs="Arial"/>
                <w:sz w:val="22"/>
                <w:szCs w:val="22"/>
              </w:rPr>
            </w:pPr>
          </w:p>
        </w:tc>
      </w:tr>
      <w:tr w:rsidR="006D7F9E" w:rsidRPr="007B2F69" w14:paraId="7476F4CC" w14:textId="77777777" w:rsidTr="00BE1896">
        <w:tc>
          <w:tcPr>
            <w:tcW w:w="2802" w:type="dxa"/>
            <w:shd w:val="clear" w:color="auto" w:fill="D9D9D9" w:themeFill="background1" w:themeFillShade="D9"/>
          </w:tcPr>
          <w:p w14:paraId="0D23E64C" w14:textId="77777777" w:rsidR="006D7F9E" w:rsidRPr="007B2F69" w:rsidRDefault="006D7F9E" w:rsidP="00C375C1">
            <w:pPr>
              <w:spacing w:line="276" w:lineRule="auto"/>
              <w:rPr>
                <w:rFonts w:ascii="Arial" w:hAnsi="Arial" w:cs="Arial"/>
                <w:sz w:val="22"/>
                <w:szCs w:val="22"/>
              </w:rPr>
            </w:pPr>
            <w:r w:rsidRPr="007B2F69">
              <w:rPr>
                <w:rFonts w:ascii="Arial" w:hAnsi="Arial" w:cs="Arial"/>
                <w:sz w:val="22"/>
                <w:szCs w:val="22"/>
              </w:rPr>
              <w:t xml:space="preserve">Gestor: </w:t>
            </w:r>
          </w:p>
        </w:tc>
        <w:tc>
          <w:tcPr>
            <w:tcW w:w="6486" w:type="dxa"/>
            <w:shd w:val="clear" w:color="auto" w:fill="D9D9D9" w:themeFill="background1" w:themeFillShade="D9"/>
          </w:tcPr>
          <w:p w14:paraId="3546B412" w14:textId="77777777" w:rsidR="006D7F9E" w:rsidRPr="007B2F69" w:rsidRDefault="006D7F9E" w:rsidP="00C375C1">
            <w:pPr>
              <w:spacing w:line="276" w:lineRule="auto"/>
              <w:rPr>
                <w:rFonts w:ascii="Arial" w:hAnsi="Arial" w:cs="Arial"/>
                <w:sz w:val="22"/>
                <w:szCs w:val="22"/>
              </w:rPr>
            </w:pPr>
          </w:p>
        </w:tc>
      </w:tr>
      <w:tr w:rsidR="006D7F9E" w:rsidRPr="007B2F69" w14:paraId="76D81153" w14:textId="77777777" w:rsidTr="00BE1896">
        <w:tc>
          <w:tcPr>
            <w:tcW w:w="2802" w:type="dxa"/>
            <w:shd w:val="clear" w:color="auto" w:fill="D9D9D9" w:themeFill="background1" w:themeFillShade="D9"/>
          </w:tcPr>
          <w:p w14:paraId="129A2348" w14:textId="77777777" w:rsidR="006D7F9E" w:rsidRPr="007B2F69" w:rsidRDefault="006D7F9E" w:rsidP="00C375C1">
            <w:pPr>
              <w:spacing w:line="276" w:lineRule="auto"/>
              <w:rPr>
                <w:rFonts w:ascii="Arial" w:hAnsi="Arial" w:cs="Arial"/>
                <w:sz w:val="22"/>
                <w:szCs w:val="22"/>
              </w:rPr>
            </w:pPr>
            <w:r w:rsidRPr="007B2F69">
              <w:rPr>
                <w:rFonts w:ascii="Arial" w:hAnsi="Arial" w:cs="Arial"/>
                <w:sz w:val="22"/>
                <w:szCs w:val="22"/>
              </w:rPr>
              <w:t xml:space="preserve">Význam indikátoru: </w:t>
            </w:r>
          </w:p>
        </w:tc>
        <w:tc>
          <w:tcPr>
            <w:tcW w:w="6486" w:type="dxa"/>
            <w:shd w:val="clear" w:color="auto" w:fill="D9D9D9" w:themeFill="background1" w:themeFillShade="D9"/>
          </w:tcPr>
          <w:p w14:paraId="3E484DA9" w14:textId="77777777" w:rsidR="006D7F9E" w:rsidRPr="007B2F69" w:rsidRDefault="006D7F9E" w:rsidP="00C375C1">
            <w:pPr>
              <w:spacing w:line="276" w:lineRule="auto"/>
              <w:rPr>
                <w:rFonts w:ascii="Arial" w:hAnsi="Arial" w:cs="Arial"/>
                <w:sz w:val="22"/>
                <w:szCs w:val="22"/>
              </w:rPr>
            </w:pPr>
          </w:p>
        </w:tc>
      </w:tr>
      <w:tr w:rsidR="006D7F9E" w:rsidRPr="007B2F69" w14:paraId="41905212" w14:textId="77777777" w:rsidTr="00BE1896">
        <w:tc>
          <w:tcPr>
            <w:tcW w:w="2802" w:type="dxa"/>
            <w:shd w:val="clear" w:color="auto" w:fill="D9D9D9" w:themeFill="background1" w:themeFillShade="D9"/>
          </w:tcPr>
          <w:p w14:paraId="5A1DA18D" w14:textId="77777777" w:rsidR="006D7F9E" w:rsidRPr="007B2F69" w:rsidRDefault="006D7F9E" w:rsidP="00C375C1">
            <w:pPr>
              <w:spacing w:line="276" w:lineRule="auto"/>
              <w:rPr>
                <w:rFonts w:ascii="Arial" w:hAnsi="Arial" w:cs="Arial"/>
                <w:sz w:val="22"/>
                <w:szCs w:val="22"/>
              </w:rPr>
            </w:pPr>
            <w:r w:rsidRPr="007B2F69">
              <w:rPr>
                <w:rFonts w:ascii="Arial" w:hAnsi="Arial" w:cs="Arial"/>
                <w:sz w:val="22"/>
                <w:szCs w:val="22"/>
              </w:rPr>
              <w:t xml:space="preserve">Časová řada: </w:t>
            </w:r>
          </w:p>
        </w:tc>
        <w:tc>
          <w:tcPr>
            <w:tcW w:w="6486" w:type="dxa"/>
            <w:shd w:val="clear" w:color="auto" w:fill="D9D9D9" w:themeFill="background1" w:themeFillShade="D9"/>
          </w:tcPr>
          <w:p w14:paraId="3DCB7690" w14:textId="77777777" w:rsidR="006D7F9E" w:rsidRPr="007B2F69" w:rsidRDefault="006D7F9E" w:rsidP="00C375C1">
            <w:pPr>
              <w:spacing w:line="276" w:lineRule="auto"/>
              <w:rPr>
                <w:rFonts w:ascii="Arial" w:hAnsi="Arial" w:cs="Arial"/>
                <w:sz w:val="22"/>
                <w:szCs w:val="22"/>
              </w:rPr>
            </w:pPr>
          </w:p>
        </w:tc>
      </w:tr>
      <w:tr w:rsidR="006D7F9E" w:rsidRPr="007B2F69" w14:paraId="762EF061" w14:textId="77777777" w:rsidTr="00BE1896">
        <w:tc>
          <w:tcPr>
            <w:tcW w:w="2802" w:type="dxa"/>
            <w:shd w:val="clear" w:color="auto" w:fill="D9D9D9" w:themeFill="background1" w:themeFillShade="D9"/>
          </w:tcPr>
          <w:p w14:paraId="58A95B9F" w14:textId="77777777" w:rsidR="006D7F9E" w:rsidRPr="007B2F69" w:rsidRDefault="006D7F9E" w:rsidP="00C375C1">
            <w:pPr>
              <w:spacing w:line="276" w:lineRule="auto"/>
              <w:rPr>
                <w:rFonts w:ascii="Arial" w:hAnsi="Arial" w:cs="Arial"/>
                <w:sz w:val="22"/>
                <w:szCs w:val="22"/>
              </w:rPr>
            </w:pPr>
            <w:r w:rsidRPr="007B2F69">
              <w:rPr>
                <w:rFonts w:ascii="Arial" w:hAnsi="Arial" w:cs="Arial"/>
                <w:sz w:val="22"/>
                <w:szCs w:val="22"/>
              </w:rPr>
              <w:t xml:space="preserve">Frekvence výstupu: </w:t>
            </w:r>
          </w:p>
        </w:tc>
        <w:tc>
          <w:tcPr>
            <w:tcW w:w="6486" w:type="dxa"/>
            <w:shd w:val="clear" w:color="auto" w:fill="D9D9D9" w:themeFill="background1" w:themeFillShade="D9"/>
          </w:tcPr>
          <w:p w14:paraId="742CCFDB" w14:textId="77777777" w:rsidR="006D7F9E" w:rsidRPr="007B2F69" w:rsidRDefault="006D7F9E" w:rsidP="00C375C1">
            <w:pPr>
              <w:spacing w:line="276" w:lineRule="auto"/>
              <w:rPr>
                <w:rFonts w:ascii="Arial" w:hAnsi="Arial" w:cs="Arial"/>
                <w:sz w:val="22"/>
                <w:szCs w:val="22"/>
              </w:rPr>
            </w:pPr>
          </w:p>
        </w:tc>
      </w:tr>
      <w:tr w:rsidR="006D7F9E" w:rsidRPr="007B2F69" w14:paraId="5EBDBE05" w14:textId="77777777" w:rsidTr="00BE1896">
        <w:trPr>
          <w:trHeight w:val="70"/>
        </w:trPr>
        <w:tc>
          <w:tcPr>
            <w:tcW w:w="2802" w:type="dxa"/>
            <w:shd w:val="clear" w:color="auto" w:fill="D9D9D9" w:themeFill="background1" w:themeFillShade="D9"/>
          </w:tcPr>
          <w:p w14:paraId="01C8A1C4" w14:textId="77777777" w:rsidR="006D7F9E" w:rsidRPr="007B2F69" w:rsidRDefault="006D7F9E" w:rsidP="00C375C1">
            <w:pPr>
              <w:spacing w:line="276" w:lineRule="auto"/>
              <w:rPr>
                <w:rFonts w:ascii="Arial" w:hAnsi="Arial" w:cs="Arial"/>
                <w:sz w:val="22"/>
                <w:szCs w:val="22"/>
              </w:rPr>
            </w:pPr>
            <w:r w:rsidRPr="007B2F69">
              <w:rPr>
                <w:rFonts w:ascii="Arial" w:hAnsi="Arial" w:cs="Arial"/>
                <w:sz w:val="22"/>
                <w:szCs w:val="22"/>
              </w:rPr>
              <w:t xml:space="preserve">Členění indikátoru: </w:t>
            </w:r>
          </w:p>
        </w:tc>
        <w:tc>
          <w:tcPr>
            <w:tcW w:w="6486" w:type="dxa"/>
            <w:shd w:val="clear" w:color="auto" w:fill="D9D9D9" w:themeFill="background1" w:themeFillShade="D9"/>
          </w:tcPr>
          <w:p w14:paraId="08F29EAB" w14:textId="77777777" w:rsidR="006D7F9E" w:rsidRPr="007B2F69" w:rsidRDefault="006D7F9E" w:rsidP="00C375C1">
            <w:pPr>
              <w:spacing w:line="276" w:lineRule="auto"/>
              <w:rPr>
                <w:rFonts w:ascii="Arial" w:hAnsi="Arial" w:cs="Arial"/>
                <w:sz w:val="22"/>
                <w:szCs w:val="22"/>
              </w:rPr>
            </w:pPr>
          </w:p>
        </w:tc>
      </w:tr>
      <w:tr w:rsidR="006D7F9E" w:rsidRPr="007B2F69" w14:paraId="0139FACD" w14:textId="77777777" w:rsidTr="00BE1896">
        <w:trPr>
          <w:trHeight w:val="70"/>
        </w:trPr>
        <w:tc>
          <w:tcPr>
            <w:tcW w:w="2802" w:type="dxa"/>
            <w:shd w:val="clear" w:color="auto" w:fill="D9D9D9" w:themeFill="background1" w:themeFillShade="D9"/>
          </w:tcPr>
          <w:p w14:paraId="302FA39E" w14:textId="77777777" w:rsidR="006D7F9E" w:rsidRPr="007B2F69" w:rsidRDefault="006D7F9E" w:rsidP="00C375C1">
            <w:pPr>
              <w:spacing w:line="276" w:lineRule="auto"/>
              <w:rPr>
                <w:rFonts w:ascii="Arial" w:hAnsi="Arial" w:cs="Arial"/>
                <w:sz w:val="22"/>
                <w:szCs w:val="22"/>
              </w:rPr>
            </w:pPr>
            <w:r w:rsidRPr="007B2F69">
              <w:rPr>
                <w:rFonts w:ascii="Arial" w:hAnsi="Arial" w:cs="Arial"/>
                <w:sz w:val="22"/>
                <w:szCs w:val="22"/>
              </w:rPr>
              <w:t>Mezinárodní srovnání:</w:t>
            </w:r>
          </w:p>
        </w:tc>
        <w:tc>
          <w:tcPr>
            <w:tcW w:w="6486" w:type="dxa"/>
            <w:shd w:val="clear" w:color="auto" w:fill="D9D9D9" w:themeFill="background1" w:themeFillShade="D9"/>
          </w:tcPr>
          <w:p w14:paraId="2EA4BED7" w14:textId="77777777" w:rsidR="006D7F9E" w:rsidRPr="007B2F69" w:rsidRDefault="006D7F9E" w:rsidP="00C375C1">
            <w:pPr>
              <w:spacing w:line="276" w:lineRule="auto"/>
              <w:rPr>
                <w:rFonts w:ascii="Arial" w:hAnsi="Arial" w:cs="Arial"/>
                <w:sz w:val="22"/>
                <w:szCs w:val="22"/>
              </w:rPr>
            </w:pPr>
          </w:p>
        </w:tc>
      </w:tr>
    </w:tbl>
    <w:p w14:paraId="20DCEC5B" w14:textId="46596216" w:rsidR="00D064C6" w:rsidRPr="00D064C6" w:rsidRDefault="009F7924" w:rsidP="00ED673D">
      <w:pPr>
        <w:pStyle w:val="r2030podcle"/>
        <w:numPr>
          <w:ilvl w:val="0"/>
          <w:numId w:val="0"/>
        </w:numPr>
        <w:ind w:left="567" w:hanging="425"/>
      </w:pPr>
      <w:r>
        <w:t xml:space="preserve">7.4 </w:t>
      </w:r>
      <w:r w:rsidR="00D064C6" w:rsidRPr="00D064C6">
        <w:t>Zvyšuje se kvalita přímých zahraničních investic v České republice.</w:t>
      </w:r>
    </w:p>
    <w:tbl>
      <w:tblPr>
        <w:tblStyle w:val="Mkatabulky"/>
        <w:tblW w:w="0" w:type="auto"/>
        <w:tblLook w:val="04A0" w:firstRow="1" w:lastRow="0" w:firstColumn="1" w:lastColumn="0" w:noHBand="0" w:noVBand="1"/>
      </w:tblPr>
      <w:tblGrid>
        <w:gridCol w:w="2802"/>
        <w:gridCol w:w="6486"/>
      </w:tblGrid>
      <w:tr w:rsidR="00666033" w:rsidRPr="00CA79AD" w14:paraId="6B639FF6" w14:textId="77777777" w:rsidTr="00666033">
        <w:tc>
          <w:tcPr>
            <w:tcW w:w="2802" w:type="dxa"/>
          </w:tcPr>
          <w:p w14:paraId="566423FE"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Název a označení indikátoru: </w:t>
            </w:r>
          </w:p>
        </w:tc>
        <w:tc>
          <w:tcPr>
            <w:tcW w:w="6486" w:type="dxa"/>
          </w:tcPr>
          <w:p w14:paraId="5AC5A54F" w14:textId="6E3D23A2" w:rsidR="00666033" w:rsidRPr="00B405B1" w:rsidRDefault="00666033" w:rsidP="00C51B65">
            <w:pPr>
              <w:spacing w:line="276" w:lineRule="auto"/>
              <w:rPr>
                <w:rFonts w:ascii="Arial" w:hAnsi="Arial" w:cs="Arial"/>
                <w:b/>
                <w:sz w:val="22"/>
                <w:szCs w:val="22"/>
              </w:rPr>
            </w:pPr>
            <w:r w:rsidRPr="00B405B1">
              <w:rPr>
                <w:rFonts w:ascii="Arial" w:hAnsi="Arial" w:cs="Arial"/>
                <w:b/>
                <w:sz w:val="22"/>
                <w:szCs w:val="22"/>
              </w:rPr>
              <w:t>7.</w:t>
            </w:r>
            <w:r w:rsidR="009F7924">
              <w:rPr>
                <w:rFonts w:ascii="Arial" w:hAnsi="Arial" w:cs="Arial"/>
                <w:b/>
                <w:sz w:val="22"/>
                <w:szCs w:val="22"/>
              </w:rPr>
              <w:t>4</w:t>
            </w:r>
            <w:r w:rsidRPr="00B405B1">
              <w:rPr>
                <w:rFonts w:ascii="Arial" w:hAnsi="Arial" w:cs="Arial"/>
                <w:b/>
                <w:sz w:val="22"/>
                <w:szCs w:val="22"/>
              </w:rPr>
              <w:t>.1 Produktivita práce</w:t>
            </w:r>
          </w:p>
        </w:tc>
      </w:tr>
      <w:tr w:rsidR="00666033" w:rsidRPr="00CA79AD" w14:paraId="1CD17EE9" w14:textId="77777777" w:rsidTr="00666033">
        <w:tc>
          <w:tcPr>
            <w:tcW w:w="2802" w:type="dxa"/>
          </w:tcPr>
          <w:p w14:paraId="67FC9F85"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Stručná definice: </w:t>
            </w:r>
          </w:p>
        </w:tc>
        <w:tc>
          <w:tcPr>
            <w:tcW w:w="6486" w:type="dxa"/>
          </w:tcPr>
          <w:p w14:paraId="61809498" w14:textId="77777777" w:rsidR="00666033" w:rsidRPr="00CA79AD" w:rsidRDefault="00666033" w:rsidP="00FB6CF6">
            <w:pPr>
              <w:spacing w:line="276" w:lineRule="auto"/>
              <w:jc w:val="both"/>
              <w:rPr>
                <w:rFonts w:ascii="Arial" w:hAnsi="Arial" w:cs="Arial"/>
                <w:sz w:val="22"/>
                <w:szCs w:val="22"/>
              </w:rPr>
            </w:pPr>
            <w:r w:rsidRPr="00CA79AD">
              <w:rPr>
                <w:rFonts w:ascii="Arial" w:hAnsi="Arial" w:cs="Arial"/>
                <w:sz w:val="22"/>
                <w:szCs w:val="22"/>
              </w:rPr>
              <w:t>Indikátor je definován jako HPH na počet pracovníků přepočtený</w:t>
            </w:r>
            <w:r w:rsidR="00D064C6">
              <w:rPr>
                <w:rFonts w:ascii="Arial" w:hAnsi="Arial" w:cs="Arial"/>
                <w:sz w:val="22"/>
                <w:szCs w:val="22"/>
              </w:rPr>
              <w:t>ch na plnou pracovní dobu (FTE).</w:t>
            </w:r>
          </w:p>
        </w:tc>
      </w:tr>
      <w:tr w:rsidR="00666033" w:rsidRPr="00CA79AD" w14:paraId="6E6D02D8" w14:textId="77777777" w:rsidTr="00666033">
        <w:tc>
          <w:tcPr>
            <w:tcW w:w="2802" w:type="dxa"/>
          </w:tcPr>
          <w:p w14:paraId="2BFE7581"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Jednotka:</w:t>
            </w:r>
          </w:p>
        </w:tc>
        <w:tc>
          <w:tcPr>
            <w:tcW w:w="6486" w:type="dxa"/>
          </w:tcPr>
          <w:p w14:paraId="5BEEACEE" w14:textId="77777777" w:rsidR="00666033" w:rsidRPr="00CA79AD" w:rsidRDefault="00666033" w:rsidP="00FB6CF6">
            <w:pPr>
              <w:spacing w:line="276" w:lineRule="auto"/>
              <w:jc w:val="both"/>
              <w:rPr>
                <w:rFonts w:ascii="Arial" w:hAnsi="Arial" w:cs="Arial"/>
                <w:sz w:val="22"/>
                <w:szCs w:val="22"/>
              </w:rPr>
            </w:pPr>
            <w:r w:rsidRPr="00CA79AD">
              <w:rPr>
                <w:rFonts w:ascii="Arial" w:hAnsi="Arial" w:cs="Arial"/>
                <w:sz w:val="22"/>
                <w:szCs w:val="22"/>
              </w:rPr>
              <w:t>tis. Kč</w:t>
            </w:r>
          </w:p>
        </w:tc>
      </w:tr>
      <w:tr w:rsidR="00666033" w:rsidRPr="00CA79AD" w14:paraId="72240BFF" w14:textId="77777777" w:rsidTr="00666033">
        <w:tc>
          <w:tcPr>
            <w:tcW w:w="2802" w:type="dxa"/>
          </w:tcPr>
          <w:p w14:paraId="6713173F"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Gestor: </w:t>
            </w:r>
          </w:p>
        </w:tc>
        <w:tc>
          <w:tcPr>
            <w:tcW w:w="6486" w:type="dxa"/>
          </w:tcPr>
          <w:p w14:paraId="626FB29D" w14:textId="77777777" w:rsidR="00666033" w:rsidRPr="00233550" w:rsidRDefault="00666033" w:rsidP="00FB6CF6">
            <w:pPr>
              <w:spacing w:line="276" w:lineRule="auto"/>
              <w:jc w:val="both"/>
              <w:rPr>
                <w:rFonts w:ascii="Arial" w:hAnsi="Arial" w:cs="Arial"/>
                <w:sz w:val="22"/>
                <w:szCs w:val="22"/>
              </w:rPr>
            </w:pPr>
            <w:r w:rsidRPr="00233550">
              <w:rPr>
                <w:rFonts w:ascii="Arial" w:hAnsi="Arial" w:cs="Arial"/>
                <w:sz w:val="22"/>
                <w:szCs w:val="22"/>
              </w:rPr>
              <w:t>Český statistický úřad</w:t>
            </w:r>
          </w:p>
        </w:tc>
      </w:tr>
      <w:tr w:rsidR="00666033" w:rsidRPr="00CA79AD" w14:paraId="6DD737DE" w14:textId="77777777" w:rsidTr="00666033">
        <w:tc>
          <w:tcPr>
            <w:tcW w:w="2802" w:type="dxa"/>
          </w:tcPr>
          <w:p w14:paraId="6BED231B"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Význam indikátoru: </w:t>
            </w:r>
          </w:p>
        </w:tc>
        <w:tc>
          <w:tcPr>
            <w:tcW w:w="6486" w:type="dxa"/>
          </w:tcPr>
          <w:p w14:paraId="0368AB30" w14:textId="77777777" w:rsidR="00666033" w:rsidRPr="00CA79AD" w:rsidRDefault="00666033" w:rsidP="00FB6CF6">
            <w:pPr>
              <w:spacing w:line="276" w:lineRule="auto"/>
              <w:jc w:val="both"/>
              <w:rPr>
                <w:rFonts w:ascii="Arial" w:hAnsi="Arial" w:cs="Arial"/>
                <w:sz w:val="22"/>
                <w:szCs w:val="22"/>
              </w:rPr>
            </w:pPr>
            <w:r w:rsidRPr="00CA79AD">
              <w:rPr>
                <w:rFonts w:ascii="Arial" w:hAnsi="Arial" w:cs="Arial"/>
                <w:sz w:val="22"/>
                <w:szCs w:val="22"/>
              </w:rPr>
              <w:t>Produktivita práce je jedním z nejrozšířenějších ukazatelů</w:t>
            </w:r>
          </w:p>
          <w:p w14:paraId="617C04F6" w14:textId="77777777" w:rsidR="00666033" w:rsidRPr="00CA79AD" w:rsidRDefault="00666033" w:rsidP="00FB6CF6">
            <w:pPr>
              <w:spacing w:line="276" w:lineRule="auto"/>
              <w:jc w:val="both"/>
              <w:rPr>
                <w:rFonts w:ascii="Arial" w:hAnsi="Arial" w:cs="Arial"/>
                <w:sz w:val="22"/>
                <w:szCs w:val="22"/>
              </w:rPr>
            </w:pPr>
            <w:r w:rsidRPr="00CA79AD">
              <w:rPr>
                <w:rFonts w:ascii="Arial" w:hAnsi="Arial" w:cs="Arial"/>
                <w:sz w:val="22"/>
                <w:szCs w:val="22"/>
              </w:rPr>
              <w:t>výkonnosti ekonomiky. Její růst je klíčový pro růst HDP na obyvatele a rozhodujícím způsobem ovlivňuje zvyšování životní úrovně obyvatelstva, protože důchod na hlavu se mění v přímé závislosti na změně produktivity práce.</w:t>
            </w:r>
          </w:p>
        </w:tc>
      </w:tr>
      <w:tr w:rsidR="00666033" w:rsidRPr="00CA79AD" w14:paraId="5B354DD9" w14:textId="77777777" w:rsidTr="00666033">
        <w:tc>
          <w:tcPr>
            <w:tcW w:w="2802" w:type="dxa"/>
          </w:tcPr>
          <w:p w14:paraId="74872C11"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Časová řada: </w:t>
            </w:r>
          </w:p>
        </w:tc>
        <w:tc>
          <w:tcPr>
            <w:tcW w:w="6486" w:type="dxa"/>
          </w:tcPr>
          <w:p w14:paraId="00B28217" w14:textId="77777777" w:rsidR="00666033" w:rsidRPr="00CA79AD" w:rsidRDefault="00666033" w:rsidP="00FB6CF6">
            <w:pPr>
              <w:spacing w:line="276" w:lineRule="auto"/>
              <w:jc w:val="both"/>
              <w:rPr>
                <w:rFonts w:ascii="Arial" w:hAnsi="Arial" w:cs="Arial"/>
                <w:sz w:val="22"/>
                <w:szCs w:val="22"/>
              </w:rPr>
            </w:pPr>
            <w:r>
              <w:rPr>
                <w:rFonts w:ascii="Arial" w:hAnsi="Arial" w:cs="Arial"/>
                <w:sz w:val="22"/>
                <w:szCs w:val="22"/>
              </w:rPr>
              <w:t>-</w:t>
            </w:r>
          </w:p>
        </w:tc>
      </w:tr>
      <w:tr w:rsidR="00666033" w:rsidRPr="00CA79AD" w14:paraId="33D21E50" w14:textId="77777777" w:rsidTr="00666033">
        <w:tc>
          <w:tcPr>
            <w:tcW w:w="2802" w:type="dxa"/>
          </w:tcPr>
          <w:p w14:paraId="26F85F18"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Frekvence výstupu: </w:t>
            </w:r>
          </w:p>
        </w:tc>
        <w:tc>
          <w:tcPr>
            <w:tcW w:w="6486" w:type="dxa"/>
          </w:tcPr>
          <w:p w14:paraId="2164D1D2" w14:textId="77777777" w:rsidR="00666033" w:rsidRPr="00CA79AD" w:rsidRDefault="00D11FCC" w:rsidP="00FB6CF6">
            <w:pPr>
              <w:spacing w:line="276" w:lineRule="auto"/>
              <w:jc w:val="both"/>
              <w:rPr>
                <w:rFonts w:ascii="Arial" w:hAnsi="Arial" w:cs="Arial"/>
                <w:sz w:val="22"/>
                <w:szCs w:val="22"/>
              </w:rPr>
            </w:pPr>
            <w:r>
              <w:rPr>
                <w:rFonts w:ascii="Arial" w:hAnsi="Arial" w:cs="Arial"/>
                <w:sz w:val="22"/>
                <w:szCs w:val="22"/>
              </w:rPr>
              <w:t>Ročně</w:t>
            </w:r>
          </w:p>
        </w:tc>
      </w:tr>
      <w:tr w:rsidR="00666033" w:rsidRPr="00CA79AD" w14:paraId="0A3C0670" w14:textId="77777777" w:rsidTr="00666033">
        <w:trPr>
          <w:trHeight w:val="70"/>
        </w:trPr>
        <w:tc>
          <w:tcPr>
            <w:tcW w:w="2802" w:type="dxa"/>
          </w:tcPr>
          <w:p w14:paraId="1EE19F4F"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Členění indikátoru: </w:t>
            </w:r>
          </w:p>
        </w:tc>
        <w:tc>
          <w:tcPr>
            <w:tcW w:w="6486" w:type="dxa"/>
          </w:tcPr>
          <w:p w14:paraId="50A94EAC" w14:textId="4CB3E295" w:rsidR="00666033" w:rsidRPr="00CA79AD" w:rsidRDefault="00485257" w:rsidP="00FB6CF6">
            <w:pPr>
              <w:spacing w:line="276" w:lineRule="auto"/>
              <w:jc w:val="both"/>
              <w:rPr>
                <w:rFonts w:ascii="Arial" w:hAnsi="Arial" w:cs="Arial"/>
                <w:sz w:val="22"/>
                <w:szCs w:val="22"/>
              </w:rPr>
            </w:pPr>
            <w:r>
              <w:rPr>
                <w:rFonts w:ascii="Arial" w:hAnsi="Arial" w:cs="Arial"/>
                <w:sz w:val="22"/>
                <w:szCs w:val="22"/>
              </w:rPr>
              <w:t xml:space="preserve">Dle </w:t>
            </w:r>
            <w:r w:rsidR="00666033" w:rsidRPr="00CA79AD">
              <w:rPr>
                <w:rFonts w:ascii="Arial" w:hAnsi="Arial" w:cs="Arial"/>
                <w:sz w:val="22"/>
                <w:szCs w:val="22"/>
              </w:rPr>
              <w:t xml:space="preserve">NACE </w:t>
            </w:r>
            <w:proofErr w:type="spellStart"/>
            <w:r w:rsidR="00666033" w:rsidRPr="00CA79AD">
              <w:rPr>
                <w:rFonts w:ascii="Arial" w:hAnsi="Arial" w:cs="Arial"/>
                <w:sz w:val="22"/>
                <w:szCs w:val="22"/>
              </w:rPr>
              <w:t>rev</w:t>
            </w:r>
            <w:proofErr w:type="spellEnd"/>
            <w:r w:rsidR="00666033" w:rsidRPr="00CA79AD">
              <w:rPr>
                <w:rFonts w:ascii="Arial" w:hAnsi="Arial" w:cs="Arial"/>
                <w:sz w:val="22"/>
                <w:szCs w:val="22"/>
              </w:rPr>
              <w:t>. 2 (za národní hospodářství)</w:t>
            </w:r>
          </w:p>
        </w:tc>
      </w:tr>
      <w:tr w:rsidR="00666033" w:rsidRPr="00CA79AD" w14:paraId="114A3ED2" w14:textId="77777777" w:rsidTr="00666033">
        <w:trPr>
          <w:trHeight w:val="70"/>
        </w:trPr>
        <w:tc>
          <w:tcPr>
            <w:tcW w:w="2802" w:type="dxa"/>
          </w:tcPr>
          <w:p w14:paraId="3BCFA405"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Mezinárodní srovnání:</w:t>
            </w:r>
          </w:p>
        </w:tc>
        <w:tc>
          <w:tcPr>
            <w:tcW w:w="6486" w:type="dxa"/>
          </w:tcPr>
          <w:p w14:paraId="27D42989" w14:textId="77777777" w:rsidR="00666033" w:rsidRPr="00CA79AD" w:rsidRDefault="00666033" w:rsidP="00FB6CF6">
            <w:pPr>
              <w:spacing w:line="276" w:lineRule="auto"/>
              <w:jc w:val="both"/>
              <w:rPr>
                <w:rFonts w:ascii="Arial" w:hAnsi="Arial" w:cs="Arial"/>
                <w:sz w:val="22"/>
                <w:szCs w:val="22"/>
              </w:rPr>
            </w:pPr>
            <w:r>
              <w:rPr>
                <w:rFonts w:ascii="Arial" w:hAnsi="Arial" w:cs="Arial"/>
                <w:sz w:val="22"/>
                <w:szCs w:val="22"/>
              </w:rPr>
              <w:t>-</w:t>
            </w:r>
          </w:p>
        </w:tc>
      </w:tr>
    </w:tbl>
    <w:p w14:paraId="6858ADCB" w14:textId="49860440" w:rsidR="00D064C6" w:rsidRPr="00D064C6" w:rsidRDefault="00D064C6" w:rsidP="00ED673D">
      <w:pPr>
        <w:pStyle w:val="r2030cle"/>
        <w:numPr>
          <w:ilvl w:val="0"/>
          <w:numId w:val="17"/>
        </w:numPr>
        <w:ind w:left="567" w:hanging="425"/>
        <w:jc w:val="both"/>
      </w:pPr>
      <w:r w:rsidRPr="00D064C6">
        <w:t>Česko má dobře fungující instituce pro podporu aplikovaného výzkumu a vývoje a pro identifikaci příležitostí v této oblasti.</w:t>
      </w:r>
    </w:p>
    <w:p w14:paraId="6769EAED" w14:textId="19A1BE9A" w:rsidR="009F7924" w:rsidRDefault="009F7924" w:rsidP="00ED673D">
      <w:pPr>
        <w:pStyle w:val="r2030cle"/>
        <w:numPr>
          <w:ilvl w:val="0"/>
          <w:numId w:val="0"/>
        </w:numPr>
        <w:ind w:left="567" w:hanging="425"/>
        <w:jc w:val="both"/>
        <w:rPr>
          <w:b w:val="0"/>
        </w:rPr>
      </w:pPr>
      <w:r>
        <w:t xml:space="preserve"> </w:t>
      </w:r>
      <w:r w:rsidR="00ED673D">
        <w:rPr>
          <w:b w:val="0"/>
        </w:rPr>
        <w:t xml:space="preserve">8.1 </w:t>
      </w:r>
      <w:r w:rsidRPr="00C54BB7">
        <w:rPr>
          <w:b w:val="0"/>
        </w:rPr>
        <w:t>Česko má stabilní materiální i personální kapacitu výzkumu a vývoje s odpovídající strukturou a zaměřením, do které jak stát, tak podniky investují dostatečné finanční zdroje.</w:t>
      </w:r>
    </w:p>
    <w:tbl>
      <w:tblPr>
        <w:tblStyle w:val="Mkatabulky"/>
        <w:tblW w:w="0" w:type="auto"/>
        <w:tblLook w:val="04A0" w:firstRow="1" w:lastRow="0" w:firstColumn="1" w:lastColumn="0" w:noHBand="0" w:noVBand="1"/>
      </w:tblPr>
      <w:tblGrid>
        <w:gridCol w:w="2802"/>
        <w:gridCol w:w="6486"/>
      </w:tblGrid>
      <w:tr w:rsidR="009F7924" w:rsidRPr="007B2F69" w14:paraId="52728EEB" w14:textId="77777777" w:rsidTr="009F7924">
        <w:tc>
          <w:tcPr>
            <w:tcW w:w="2802" w:type="dxa"/>
            <w:shd w:val="clear" w:color="auto" w:fill="auto"/>
          </w:tcPr>
          <w:p w14:paraId="6D685EC3"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rPr>
              <w:t>Název a označení indikátoru:</w:t>
            </w:r>
          </w:p>
        </w:tc>
        <w:tc>
          <w:tcPr>
            <w:tcW w:w="6486" w:type="dxa"/>
            <w:shd w:val="clear" w:color="auto" w:fill="auto"/>
          </w:tcPr>
          <w:p w14:paraId="5808535A" w14:textId="77777777" w:rsidR="009F7924" w:rsidRPr="007B2F69" w:rsidRDefault="009F7924" w:rsidP="009F7924">
            <w:pPr>
              <w:spacing w:line="276" w:lineRule="auto"/>
              <w:rPr>
                <w:rFonts w:ascii="Arial" w:hAnsi="Arial" w:cs="Arial"/>
                <w:b/>
                <w:sz w:val="22"/>
                <w:szCs w:val="22"/>
              </w:rPr>
            </w:pPr>
            <w:r w:rsidRPr="007B2F69">
              <w:rPr>
                <w:rFonts w:ascii="Arial" w:hAnsi="Arial"/>
                <w:b/>
                <w:sz w:val="22"/>
              </w:rPr>
              <w:t>8.1.1</w:t>
            </w:r>
            <w:r w:rsidRPr="007B2F69">
              <w:rPr>
                <w:rFonts w:ascii="Arial" w:hAnsi="Arial" w:cs="Arial"/>
                <w:b/>
                <w:sz w:val="22"/>
              </w:rPr>
              <w:t>. Celkové výdaje</w:t>
            </w:r>
            <w:r w:rsidRPr="007B2F69">
              <w:rPr>
                <w:rFonts w:ascii="Arial" w:hAnsi="Arial"/>
                <w:b/>
                <w:sz w:val="22"/>
              </w:rPr>
              <w:t xml:space="preserve"> na výzkum</w:t>
            </w:r>
            <w:r w:rsidRPr="007B2F69">
              <w:rPr>
                <w:rFonts w:ascii="Arial" w:hAnsi="Arial" w:cs="Arial"/>
                <w:b/>
                <w:sz w:val="22"/>
              </w:rPr>
              <w:t xml:space="preserve"> a vývoj (GERD)</w:t>
            </w:r>
          </w:p>
        </w:tc>
      </w:tr>
      <w:tr w:rsidR="009F7924" w:rsidRPr="007B2F69" w14:paraId="4FB21827" w14:textId="77777777" w:rsidTr="009F7924">
        <w:tc>
          <w:tcPr>
            <w:tcW w:w="2802" w:type="dxa"/>
            <w:shd w:val="clear" w:color="auto" w:fill="auto"/>
          </w:tcPr>
          <w:p w14:paraId="0FE1A471"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rPr>
              <w:t>Stručná definice:</w:t>
            </w:r>
          </w:p>
        </w:tc>
        <w:tc>
          <w:tcPr>
            <w:tcW w:w="6486" w:type="dxa"/>
            <w:shd w:val="clear" w:color="auto" w:fill="auto"/>
          </w:tcPr>
          <w:p w14:paraId="5E6E3913" w14:textId="77777777" w:rsidR="009F7924" w:rsidRPr="007B2F69" w:rsidRDefault="009F7924" w:rsidP="007419C7">
            <w:pPr>
              <w:spacing w:line="276" w:lineRule="auto"/>
              <w:jc w:val="both"/>
              <w:rPr>
                <w:rFonts w:ascii="Arial" w:hAnsi="Arial" w:cs="Arial"/>
                <w:sz w:val="22"/>
              </w:rPr>
            </w:pPr>
            <w:r w:rsidRPr="007B2F69">
              <w:rPr>
                <w:rFonts w:ascii="Arial" w:hAnsi="Arial" w:cs="Arial"/>
                <w:sz w:val="22"/>
              </w:rPr>
              <w:t xml:space="preserve">Celkové výdaje na výzkum a vývoj jsou sledovány pomocí </w:t>
            </w:r>
            <w:r w:rsidRPr="007B2F69">
              <w:rPr>
                <w:rFonts w:ascii="Arial" w:hAnsi="Arial" w:cs="Arial"/>
                <w:sz w:val="22"/>
              </w:rPr>
              <w:lastRenderedPageBreak/>
              <w:t xml:space="preserve">ukazatele tzv. hrubých domácích vnitřních výdajů na výzkum a vývoj, který je označován anglickou zkratkou GERD (Gross </w:t>
            </w:r>
            <w:proofErr w:type="spellStart"/>
            <w:r w:rsidRPr="007B2F69">
              <w:rPr>
                <w:rFonts w:ascii="Arial" w:hAnsi="Arial" w:cs="Arial"/>
                <w:sz w:val="22"/>
              </w:rPr>
              <w:t>Domestic</w:t>
            </w:r>
            <w:proofErr w:type="spellEnd"/>
            <w:r w:rsidRPr="007B2F69">
              <w:rPr>
                <w:rFonts w:ascii="Arial" w:hAnsi="Arial" w:cs="Arial"/>
                <w:sz w:val="22"/>
              </w:rPr>
              <w:t xml:space="preserve"> </w:t>
            </w:r>
            <w:proofErr w:type="spellStart"/>
            <w:r w:rsidRPr="007B2F69">
              <w:rPr>
                <w:rFonts w:ascii="Arial" w:hAnsi="Arial" w:cs="Arial"/>
                <w:sz w:val="22"/>
              </w:rPr>
              <w:t>Expenditure</w:t>
            </w:r>
            <w:proofErr w:type="spellEnd"/>
            <w:r w:rsidRPr="007B2F69">
              <w:rPr>
                <w:rFonts w:ascii="Arial" w:hAnsi="Arial" w:cs="Arial"/>
                <w:sz w:val="22"/>
              </w:rPr>
              <w:t xml:space="preserve"> on R&amp;D). Tento ukazatel zahrnuje veškeré neinvestiční a investiční výdaje vynaložené ve sledovaném roce na výzkum a vývoj prováděný na území daného státu, a to bez ohledu na zdroj a způsob jejich financování. Tyto výdaje lze vyjádřit buď v běžných (nominálních) cenách zachycujících aktuální ceny zboží a služeb v daném roce nebo v reálných (stálých) cenách, které eliminují inflační znehodnocení.</w:t>
            </w:r>
          </w:p>
          <w:p w14:paraId="45906651" w14:textId="77777777" w:rsidR="009F7924" w:rsidRPr="007B2F69" w:rsidRDefault="009F7924" w:rsidP="007419C7">
            <w:pPr>
              <w:spacing w:line="276" w:lineRule="auto"/>
              <w:jc w:val="both"/>
              <w:rPr>
                <w:rFonts w:ascii="Arial" w:hAnsi="Arial" w:cs="Arial"/>
                <w:sz w:val="22"/>
                <w:szCs w:val="22"/>
              </w:rPr>
            </w:pPr>
            <w:r w:rsidRPr="007B2F69">
              <w:rPr>
                <w:rFonts w:ascii="Arial" w:hAnsi="Arial" w:cs="Arial"/>
                <w:sz w:val="22"/>
                <w:u w:val="single"/>
              </w:rPr>
              <w:t>Poznámka:</w:t>
            </w:r>
            <w:r w:rsidRPr="007B2F69">
              <w:rPr>
                <w:rFonts w:ascii="Arial" w:hAnsi="Arial" w:cs="Arial"/>
                <w:sz w:val="22"/>
              </w:rPr>
              <w:t xml:space="preserve"> Výzkum a vývoj je systematická tvůrčí práce konaná za účelem rozšíření stávajícího poznání, včetně poznání člověka, kultury a společnosti, získání nových znalostí nebo jejich využití v praxi, a to metodami, které umožňují potvrzení, doplnění či vyvrácení získaných poznatků. Základním pravidlem pro určení, zda se jedná o VaV činnost, je přítomnost prvku novosti, kreativity, nejistoty, systematičnosti a reprodukovatelnosti.</w:t>
            </w:r>
          </w:p>
        </w:tc>
      </w:tr>
      <w:tr w:rsidR="009F7924" w:rsidRPr="007B2F69" w14:paraId="2DC676E1" w14:textId="77777777" w:rsidTr="009F7924">
        <w:tc>
          <w:tcPr>
            <w:tcW w:w="2802" w:type="dxa"/>
            <w:shd w:val="clear" w:color="auto" w:fill="auto"/>
          </w:tcPr>
          <w:p w14:paraId="7E556B21"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rPr>
              <w:lastRenderedPageBreak/>
              <w:t>Jednotka:</w:t>
            </w:r>
          </w:p>
        </w:tc>
        <w:tc>
          <w:tcPr>
            <w:tcW w:w="6486" w:type="dxa"/>
            <w:shd w:val="clear" w:color="auto" w:fill="auto"/>
          </w:tcPr>
          <w:p w14:paraId="2DFBBE76" w14:textId="77777777" w:rsidR="009F7924" w:rsidRPr="007B2F69" w:rsidRDefault="009F7924" w:rsidP="007419C7">
            <w:pPr>
              <w:spacing w:line="276" w:lineRule="auto"/>
              <w:jc w:val="both"/>
              <w:rPr>
                <w:rFonts w:ascii="Arial" w:hAnsi="Arial" w:cs="Arial"/>
                <w:sz w:val="22"/>
                <w:szCs w:val="22"/>
              </w:rPr>
            </w:pPr>
            <w:r w:rsidRPr="007B2F69">
              <w:rPr>
                <w:rFonts w:ascii="Arial" w:hAnsi="Arial" w:cs="Arial"/>
                <w:sz w:val="22"/>
              </w:rPr>
              <w:t>Milion Kč; podíl na HDP; %</w:t>
            </w:r>
          </w:p>
        </w:tc>
      </w:tr>
      <w:tr w:rsidR="009F7924" w:rsidRPr="007B2F69" w14:paraId="5CEECCA7" w14:textId="77777777" w:rsidTr="009F7924">
        <w:tc>
          <w:tcPr>
            <w:tcW w:w="2802" w:type="dxa"/>
            <w:shd w:val="clear" w:color="auto" w:fill="auto"/>
          </w:tcPr>
          <w:p w14:paraId="31CB708D"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rPr>
              <w:t>Gestor:</w:t>
            </w:r>
          </w:p>
        </w:tc>
        <w:tc>
          <w:tcPr>
            <w:tcW w:w="6486" w:type="dxa"/>
            <w:shd w:val="clear" w:color="auto" w:fill="auto"/>
          </w:tcPr>
          <w:p w14:paraId="64A9B0C1" w14:textId="77777777" w:rsidR="009F7924" w:rsidRPr="007B2F69" w:rsidRDefault="009F7924" w:rsidP="007419C7">
            <w:pPr>
              <w:spacing w:line="276" w:lineRule="auto"/>
              <w:jc w:val="both"/>
              <w:rPr>
                <w:rFonts w:ascii="Arial" w:hAnsi="Arial" w:cs="Arial"/>
                <w:sz w:val="22"/>
                <w:szCs w:val="22"/>
              </w:rPr>
            </w:pPr>
            <w:r w:rsidRPr="007B2F69">
              <w:rPr>
                <w:rFonts w:ascii="Arial" w:hAnsi="Arial" w:cs="Arial"/>
                <w:sz w:val="22"/>
              </w:rPr>
              <w:t>Český statistický úřad</w:t>
            </w:r>
          </w:p>
        </w:tc>
      </w:tr>
      <w:tr w:rsidR="009F7924" w:rsidRPr="007B2F69" w14:paraId="746C56CD" w14:textId="77777777" w:rsidTr="009F7924">
        <w:tc>
          <w:tcPr>
            <w:tcW w:w="2802" w:type="dxa"/>
            <w:shd w:val="clear" w:color="auto" w:fill="auto"/>
          </w:tcPr>
          <w:p w14:paraId="502E1C20"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rPr>
              <w:t>Význam indikátoru:</w:t>
            </w:r>
          </w:p>
        </w:tc>
        <w:tc>
          <w:tcPr>
            <w:tcW w:w="6486" w:type="dxa"/>
            <w:shd w:val="clear" w:color="auto" w:fill="auto"/>
          </w:tcPr>
          <w:p w14:paraId="13F9E253" w14:textId="77777777" w:rsidR="009F7924" w:rsidRPr="007B2F69" w:rsidRDefault="009F7924" w:rsidP="007419C7">
            <w:pPr>
              <w:spacing w:line="276" w:lineRule="auto"/>
              <w:jc w:val="both"/>
              <w:rPr>
                <w:rFonts w:ascii="Arial" w:hAnsi="Arial" w:cs="Arial"/>
                <w:sz w:val="22"/>
                <w:szCs w:val="22"/>
              </w:rPr>
            </w:pPr>
            <w:r w:rsidRPr="007B2F69">
              <w:rPr>
                <w:rFonts w:ascii="Arial" w:hAnsi="Arial" w:cs="Arial"/>
                <w:sz w:val="22"/>
              </w:rPr>
              <w:t xml:space="preserve">Výzkumná a vývojová činnost se významně podílí na vzniku nových znalostí a prostřednictvím jejich transformace do nových nebo inovovaných produktů, technologií či procesů, je nezbytným předpokladem stabilního a dlouhodobě udržitelného ekonomického růstu společnosti. Bez odpovídajícího objemu finanční podpory, jak ze strany státu, tak i podnikatelského sektoru, nelze očekávat, že bude výzkum a vývoj v České republice přinášet mezinárodně konkurenceschopné poznatky, inovace a technologie, které se budou podílet na zvyšování produktivity a zaměstnanosti českého hospodářství, a tím nepřímo i na sociální soudržnosti a udržitelného rozvoje společnosti. </w:t>
            </w:r>
          </w:p>
        </w:tc>
      </w:tr>
      <w:tr w:rsidR="009F7924" w:rsidRPr="007B2F69" w14:paraId="58523BB0" w14:textId="77777777" w:rsidTr="009F7924">
        <w:tc>
          <w:tcPr>
            <w:tcW w:w="2802" w:type="dxa"/>
            <w:shd w:val="clear" w:color="auto" w:fill="auto"/>
          </w:tcPr>
          <w:p w14:paraId="7B4AEFB4"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rPr>
              <w:t>Časová řada:</w:t>
            </w:r>
          </w:p>
        </w:tc>
        <w:tc>
          <w:tcPr>
            <w:tcW w:w="6486" w:type="dxa"/>
            <w:shd w:val="clear" w:color="auto" w:fill="auto"/>
          </w:tcPr>
          <w:p w14:paraId="04DAC8B3" w14:textId="77777777" w:rsidR="009F7924" w:rsidRPr="007B2F69" w:rsidRDefault="009F7924" w:rsidP="007419C7">
            <w:pPr>
              <w:spacing w:line="276" w:lineRule="auto"/>
              <w:jc w:val="both"/>
              <w:rPr>
                <w:rFonts w:ascii="Arial" w:hAnsi="Arial" w:cs="Arial"/>
                <w:sz w:val="22"/>
                <w:szCs w:val="22"/>
              </w:rPr>
            </w:pPr>
            <w:r w:rsidRPr="007B2F69">
              <w:rPr>
                <w:rFonts w:ascii="Arial" w:hAnsi="Arial" w:cs="Arial"/>
                <w:sz w:val="22"/>
              </w:rPr>
              <w:t>Od roku 2005</w:t>
            </w:r>
          </w:p>
        </w:tc>
      </w:tr>
      <w:tr w:rsidR="009F7924" w:rsidRPr="007B2F69" w14:paraId="68E70FCE" w14:textId="77777777" w:rsidTr="009F7924">
        <w:tc>
          <w:tcPr>
            <w:tcW w:w="2802" w:type="dxa"/>
            <w:shd w:val="clear" w:color="auto" w:fill="auto"/>
          </w:tcPr>
          <w:p w14:paraId="65C8C5C6"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rPr>
              <w:t>Frekvence výstupu:</w:t>
            </w:r>
          </w:p>
        </w:tc>
        <w:tc>
          <w:tcPr>
            <w:tcW w:w="6486" w:type="dxa"/>
            <w:shd w:val="clear" w:color="auto" w:fill="auto"/>
          </w:tcPr>
          <w:p w14:paraId="625819EA" w14:textId="77777777" w:rsidR="009F7924" w:rsidRPr="007B2F69" w:rsidRDefault="009F7924" w:rsidP="007419C7">
            <w:pPr>
              <w:spacing w:line="276" w:lineRule="auto"/>
              <w:jc w:val="both"/>
              <w:rPr>
                <w:rFonts w:ascii="Arial" w:hAnsi="Arial" w:cs="Arial"/>
                <w:sz w:val="22"/>
                <w:szCs w:val="22"/>
              </w:rPr>
            </w:pPr>
            <w:r w:rsidRPr="007B2F69">
              <w:rPr>
                <w:rFonts w:ascii="Arial" w:hAnsi="Arial" w:cs="Arial"/>
                <w:sz w:val="22"/>
              </w:rPr>
              <w:t xml:space="preserve">Ročně podle údajů z šetření VTR 5-01 </w:t>
            </w:r>
          </w:p>
        </w:tc>
      </w:tr>
      <w:tr w:rsidR="009F7924" w:rsidRPr="007B2F69" w14:paraId="794EAF73" w14:textId="77777777" w:rsidTr="009F7924">
        <w:trPr>
          <w:trHeight w:val="70"/>
        </w:trPr>
        <w:tc>
          <w:tcPr>
            <w:tcW w:w="2802" w:type="dxa"/>
            <w:shd w:val="clear" w:color="auto" w:fill="auto"/>
          </w:tcPr>
          <w:p w14:paraId="03563DF6"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rPr>
              <w:t>Členění indikátoru:</w:t>
            </w:r>
          </w:p>
        </w:tc>
        <w:tc>
          <w:tcPr>
            <w:tcW w:w="6486" w:type="dxa"/>
            <w:shd w:val="clear" w:color="auto" w:fill="auto"/>
          </w:tcPr>
          <w:p w14:paraId="1E93BDF7" w14:textId="77777777" w:rsidR="009F7924" w:rsidRPr="007B2F69" w:rsidRDefault="009F7924" w:rsidP="007419C7">
            <w:pPr>
              <w:spacing w:line="276" w:lineRule="auto"/>
              <w:jc w:val="both"/>
              <w:rPr>
                <w:rFonts w:ascii="Arial" w:hAnsi="Arial" w:cs="Arial"/>
                <w:sz w:val="22"/>
              </w:rPr>
            </w:pPr>
            <w:r w:rsidRPr="007B2F69">
              <w:rPr>
                <w:rFonts w:ascii="Arial" w:hAnsi="Arial" w:cs="Arial"/>
                <w:sz w:val="22"/>
              </w:rPr>
              <w:t>Podle zdrojů financování (podnikatelské, veřejné domácí a veřejné zahraniční) a druhu výdajů (mzdové, ostatní b</w:t>
            </w:r>
            <w:r>
              <w:rPr>
                <w:rFonts w:ascii="Arial" w:hAnsi="Arial" w:cs="Arial"/>
                <w:sz w:val="22"/>
              </w:rPr>
              <w:t>ě</w:t>
            </w:r>
            <w:r w:rsidRPr="007B2F69">
              <w:rPr>
                <w:rFonts w:ascii="Arial" w:hAnsi="Arial" w:cs="Arial"/>
                <w:sz w:val="22"/>
              </w:rPr>
              <w:t>žn</w:t>
            </w:r>
            <w:r>
              <w:rPr>
                <w:rFonts w:ascii="Arial" w:hAnsi="Arial" w:cs="Arial"/>
                <w:sz w:val="22"/>
              </w:rPr>
              <w:t>é</w:t>
            </w:r>
            <w:r w:rsidRPr="007B2F69">
              <w:rPr>
                <w:rFonts w:ascii="Arial" w:hAnsi="Arial" w:cs="Arial"/>
                <w:sz w:val="22"/>
              </w:rPr>
              <w:t xml:space="preserve"> a investiční) na výzkum a vývoj</w:t>
            </w:r>
            <w:r>
              <w:rPr>
                <w:rFonts w:ascii="Arial" w:hAnsi="Arial" w:cs="Arial"/>
                <w:sz w:val="22"/>
              </w:rPr>
              <w:t>.</w:t>
            </w:r>
          </w:p>
          <w:p w14:paraId="24EB7E08" w14:textId="77777777" w:rsidR="009F7924" w:rsidRPr="007B2F69" w:rsidRDefault="009F7924" w:rsidP="007419C7">
            <w:pPr>
              <w:spacing w:line="276" w:lineRule="auto"/>
              <w:jc w:val="both"/>
              <w:rPr>
                <w:rFonts w:ascii="Arial" w:hAnsi="Arial" w:cs="Arial"/>
                <w:sz w:val="22"/>
                <w:szCs w:val="22"/>
              </w:rPr>
            </w:pPr>
            <w:r w:rsidRPr="007B2F69">
              <w:rPr>
                <w:rFonts w:ascii="Arial" w:hAnsi="Arial" w:cs="Arial"/>
                <w:sz w:val="22"/>
                <w:u w:val="single"/>
              </w:rPr>
              <w:t>Poznámka:</w:t>
            </w:r>
            <w:r w:rsidRPr="007B2F69">
              <w:rPr>
                <w:rFonts w:ascii="Arial" w:hAnsi="Arial" w:cs="Arial"/>
                <w:sz w:val="22"/>
              </w:rPr>
              <w:t xml:space="preserve"> Výše uvedené členění výdajů na výzkum a vývoj je dále dostupné v třídění podle sektoru, druhu, převažující ekonomické činnosti (klasifikace CZ-NACE) či sídla (klasifikace CZ-NUTS) pracoviště, kde jsou tyto výdaje na výzkum a vývoj vynaloženy. Ve vládním a vysokoškolském sektoru jsou navíc k dispozici podle převažující oblasti výzkumu a vývoje (klasifikace FORD) </w:t>
            </w:r>
          </w:p>
        </w:tc>
      </w:tr>
      <w:tr w:rsidR="009F7924" w:rsidRPr="007B2F69" w14:paraId="3C3360BA" w14:textId="77777777" w:rsidTr="009F7924">
        <w:trPr>
          <w:trHeight w:val="70"/>
        </w:trPr>
        <w:tc>
          <w:tcPr>
            <w:tcW w:w="2802" w:type="dxa"/>
            <w:shd w:val="clear" w:color="auto" w:fill="auto"/>
          </w:tcPr>
          <w:p w14:paraId="5AADD7F8"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rPr>
              <w:t>Mezinárodní srovnání:</w:t>
            </w:r>
          </w:p>
        </w:tc>
        <w:tc>
          <w:tcPr>
            <w:tcW w:w="6486" w:type="dxa"/>
            <w:shd w:val="clear" w:color="auto" w:fill="auto"/>
          </w:tcPr>
          <w:p w14:paraId="5A433569" w14:textId="77777777" w:rsidR="009F7924" w:rsidRPr="007B2F69" w:rsidRDefault="009F7924" w:rsidP="007419C7">
            <w:pPr>
              <w:spacing w:line="276" w:lineRule="auto"/>
              <w:jc w:val="both"/>
              <w:rPr>
                <w:rFonts w:ascii="Arial" w:hAnsi="Arial" w:cs="Arial"/>
                <w:sz w:val="22"/>
              </w:rPr>
            </w:pPr>
            <w:proofErr w:type="spellStart"/>
            <w:r w:rsidRPr="007B2F69">
              <w:rPr>
                <w:rFonts w:ascii="Arial" w:hAnsi="Arial" w:cs="Arial"/>
                <w:sz w:val="22"/>
              </w:rPr>
              <w:t>Eurostat</w:t>
            </w:r>
            <w:proofErr w:type="spellEnd"/>
            <w:r w:rsidRPr="007B2F69">
              <w:rPr>
                <w:rFonts w:ascii="Arial" w:hAnsi="Arial" w:cs="Arial"/>
                <w:sz w:val="22"/>
              </w:rPr>
              <w:t xml:space="preserve">, OECD </w:t>
            </w:r>
          </w:p>
          <w:p w14:paraId="5F64E1B2" w14:textId="135F85BC" w:rsidR="009F7924" w:rsidRPr="007B2F69" w:rsidRDefault="009F7924" w:rsidP="007419C7">
            <w:pPr>
              <w:spacing w:line="276" w:lineRule="auto"/>
              <w:jc w:val="both"/>
              <w:rPr>
                <w:rFonts w:ascii="Arial" w:hAnsi="Arial" w:cs="Arial"/>
                <w:sz w:val="22"/>
                <w:szCs w:val="22"/>
              </w:rPr>
            </w:pPr>
            <w:r w:rsidRPr="007B2F69">
              <w:rPr>
                <w:rFonts w:ascii="Arial" w:hAnsi="Arial" w:cs="Arial"/>
                <w:sz w:val="22"/>
                <w:u w:val="single"/>
              </w:rPr>
              <w:t xml:space="preserve">Poznámka: </w:t>
            </w:r>
            <w:r w:rsidRPr="007B2F69">
              <w:rPr>
                <w:rFonts w:ascii="Arial" w:hAnsi="Arial" w:cs="Arial"/>
                <w:sz w:val="22"/>
              </w:rPr>
              <w:t xml:space="preserve">Za účelem mezinárodního srovnání se celkové </w:t>
            </w:r>
            <w:r w:rsidRPr="007B2F69">
              <w:rPr>
                <w:rFonts w:ascii="Arial" w:hAnsi="Arial" w:cs="Arial"/>
                <w:sz w:val="22"/>
              </w:rPr>
              <w:lastRenderedPageBreak/>
              <w:t xml:space="preserve">výdaje na výzkum a vývoj nejčastěji poměřují k HDP. Tento ukazatel (GERD jako % HDP), označovaný rovněž jako intenzita VaV (R&amp;D intensity), je zařazen mezi základní ukazatele k hodnocení cílů Strategie Evropa 2020 vyjadřující rozsah kapacit výzkumu a vývoje jednotlivých ekonomik. Kromě této intenzity VaV, jenž je ovlivněna rozdílnou výší a nárůstem HDP v jednotlivých zemích, se pro mezinárodní srovnání používají celkové výdaje na </w:t>
            </w:r>
            <w:proofErr w:type="spellStart"/>
            <w:r w:rsidRPr="007B2F69">
              <w:rPr>
                <w:rFonts w:ascii="Arial" w:hAnsi="Arial" w:cs="Arial"/>
                <w:sz w:val="22"/>
              </w:rPr>
              <w:t>VaV</w:t>
            </w:r>
            <w:proofErr w:type="spellEnd"/>
            <w:r w:rsidRPr="007B2F69">
              <w:rPr>
                <w:rFonts w:ascii="Arial" w:hAnsi="Arial" w:cs="Arial"/>
                <w:sz w:val="22"/>
              </w:rPr>
              <w:t xml:space="preserve"> vyjádřené v </w:t>
            </w:r>
            <w:r w:rsidR="007419C7">
              <w:rPr>
                <w:rFonts w:ascii="Arial" w:hAnsi="Arial" w:cs="Arial"/>
                <w:sz w:val="22"/>
              </w:rPr>
              <w:t>PPP</w:t>
            </w:r>
            <w:r w:rsidRPr="007B2F69">
              <w:rPr>
                <w:rFonts w:ascii="Arial" w:hAnsi="Arial" w:cs="Arial"/>
                <w:sz w:val="22"/>
              </w:rPr>
              <w:t xml:space="preserve"> připadající na jednoho obyvatele. Tento standardizovaný ukazatel eliminuje nejen rozdílnou velikost sledovaných ekonomik, ale i jejich cenovou úroveň. </w:t>
            </w:r>
          </w:p>
        </w:tc>
      </w:tr>
    </w:tbl>
    <w:p w14:paraId="09F093F2" w14:textId="77777777" w:rsidR="009F7924" w:rsidRDefault="009F7924" w:rsidP="009F7924">
      <w:pPr>
        <w:pStyle w:val="r2030cle"/>
        <w:numPr>
          <w:ilvl w:val="0"/>
          <w:numId w:val="0"/>
        </w:numPr>
        <w:spacing w:after="0"/>
      </w:pPr>
    </w:p>
    <w:tbl>
      <w:tblPr>
        <w:tblStyle w:val="Mkatabulky"/>
        <w:tblW w:w="0" w:type="auto"/>
        <w:tblLook w:val="04A0" w:firstRow="1" w:lastRow="0" w:firstColumn="1" w:lastColumn="0" w:noHBand="0" w:noVBand="1"/>
      </w:tblPr>
      <w:tblGrid>
        <w:gridCol w:w="2802"/>
        <w:gridCol w:w="6486"/>
      </w:tblGrid>
      <w:tr w:rsidR="009F7924" w:rsidRPr="007B2F69" w14:paraId="4169F488" w14:textId="77777777" w:rsidTr="009F7924">
        <w:tc>
          <w:tcPr>
            <w:tcW w:w="2802" w:type="dxa"/>
            <w:shd w:val="clear" w:color="auto" w:fill="auto"/>
          </w:tcPr>
          <w:p w14:paraId="0C82E0C2"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rPr>
              <w:t>Název a označení indikátoru:</w:t>
            </w:r>
          </w:p>
        </w:tc>
        <w:tc>
          <w:tcPr>
            <w:tcW w:w="6486" w:type="dxa"/>
            <w:shd w:val="clear" w:color="auto" w:fill="auto"/>
          </w:tcPr>
          <w:p w14:paraId="13F537CA" w14:textId="77777777" w:rsidR="009F7924" w:rsidRPr="007B2F69" w:rsidRDefault="009F7924" w:rsidP="009F7924">
            <w:pPr>
              <w:spacing w:line="276" w:lineRule="auto"/>
              <w:rPr>
                <w:rFonts w:ascii="Arial" w:hAnsi="Arial" w:cs="Arial"/>
                <w:b/>
                <w:sz w:val="22"/>
                <w:szCs w:val="22"/>
              </w:rPr>
            </w:pPr>
            <w:r w:rsidRPr="007B2F69">
              <w:rPr>
                <w:rFonts w:ascii="Arial" w:hAnsi="Arial"/>
                <w:b/>
                <w:sz w:val="22"/>
              </w:rPr>
              <w:t>8.1.2</w:t>
            </w:r>
            <w:r w:rsidRPr="007B2F69">
              <w:rPr>
                <w:rFonts w:ascii="Arial" w:hAnsi="Arial" w:cs="Arial"/>
                <w:b/>
                <w:sz w:val="22"/>
              </w:rPr>
              <w:t>. Veřejné (státní) rozpočtové výdaje na výzkum a vývoj (GBARD)</w:t>
            </w:r>
          </w:p>
        </w:tc>
      </w:tr>
      <w:tr w:rsidR="009F7924" w:rsidRPr="007B2F69" w14:paraId="6E197BA0" w14:textId="77777777" w:rsidTr="009F7924">
        <w:tc>
          <w:tcPr>
            <w:tcW w:w="2802" w:type="dxa"/>
            <w:shd w:val="clear" w:color="auto" w:fill="auto"/>
          </w:tcPr>
          <w:p w14:paraId="18D6EF6F"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rPr>
              <w:t>Stručná definice:</w:t>
            </w:r>
          </w:p>
        </w:tc>
        <w:tc>
          <w:tcPr>
            <w:tcW w:w="6486" w:type="dxa"/>
            <w:shd w:val="clear" w:color="auto" w:fill="auto"/>
          </w:tcPr>
          <w:p w14:paraId="08AC29A1" w14:textId="77777777" w:rsidR="009F7924" w:rsidRPr="007B2F69" w:rsidRDefault="009F7924" w:rsidP="007419C7">
            <w:pPr>
              <w:spacing w:line="276" w:lineRule="auto"/>
              <w:jc w:val="both"/>
              <w:rPr>
                <w:rFonts w:ascii="Arial" w:hAnsi="Arial" w:cs="Arial"/>
                <w:sz w:val="22"/>
              </w:rPr>
            </w:pPr>
            <w:r w:rsidRPr="007B2F69">
              <w:rPr>
                <w:rFonts w:ascii="Arial" w:hAnsi="Arial" w:cs="Arial"/>
                <w:sz w:val="22"/>
              </w:rPr>
              <w:t>Sledováním přímé veřejné podpory výzkumu a vývoje se zabývá mezinárodně srovnatelná statistika GBARD (</w:t>
            </w:r>
            <w:proofErr w:type="spellStart"/>
            <w:r w:rsidRPr="007B2F69">
              <w:rPr>
                <w:rFonts w:ascii="Arial" w:hAnsi="Arial" w:cs="Arial"/>
                <w:sz w:val="22"/>
              </w:rPr>
              <w:t>Government</w:t>
            </w:r>
            <w:proofErr w:type="spellEnd"/>
            <w:r w:rsidRPr="007B2F69">
              <w:rPr>
                <w:rFonts w:ascii="Arial" w:hAnsi="Arial" w:cs="Arial"/>
                <w:sz w:val="22"/>
              </w:rPr>
              <w:t xml:space="preserve"> Budget </w:t>
            </w:r>
            <w:proofErr w:type="spellStart"/>
            <w:r w:rsidRPr="007B2F69">
              <w:rPr>
                <w:rFonts w:ascii="Arial" w:hAnsi="Arial" w:cs="Arial"/>
                <w:sz w:val="22"/>
              </w:rPr>
              <w:t>Appropriations</w:t>
            </w:r>
            <w:proofErr w:type="spellEnd"/>
            <w:r w:rsidRPr="007B2F69">
              <w:rPr>
                <w:rFonts w:ascii="Arial" w:hAnsi="Arial" w:cs="Arial"/>
                <w:sz w:val="22"/>
              </w:rPr>
              <w:t xml:space="preserve"> </w:t>
            </w:r>
            <w:proofErr w:type="spellStart"/>
            <w:r w:rsidRPr="007B2F69">
              <w:rPr>
                <w:rFonts w:ascii="Arial" w:hAnsi="Arial" w:cs="Arial"/>
                <w:sz w:val="22"/>
              </w:rPr>
              <w:t>for</w:t>
            </w:r>
            <w:proofErr w:type="spellEnd"/>
            <w:r w:rsidRPr="007B2F69">
              <w:rPr>
                <w:rFonts w:ascii="Arial" w:hAnsi="Arial" w:cs="Arial"/>
                <w:sz w:val="22"/>
              </w:rPr>
              <w:t xml:space="preserve"> R&amp;D). Ukazatel GBARD – celkové veřejné (státní) rozpočtové výdaje na výzkum a vývoj </w:t>
            </w:r>
            <w:r>
              <w:rPr>
                <w:rFonts w:ascii="Arial" w:hAnsi="Arial" w:cs="Arial"/>
                <w:sz w:val="22"/>
              </w:rPr>
              <w:t>–</w:t>
            </w:r>
            <w:r w:rsidRPr="007B2F69">
              <w:rPr>
                <w:rFonts w:ascii="Arial" w:hAnsi="Arial" w:cs="Arial"/>
                <w:sz w:val="22"/>
              </w:rPr>
              <w:t xml:space="preserve"> zahrnuje veškeré finanční prostředky z veřejných rozpočtů vynaložené na podporu výzkumu a vývoje v </w:t>
            </w:r>
            <w:proofErr w:type="gramStart"/>
            <w:r w:rsidRPr="007B2F69">
              <w:rPr>
                <w:rFonts w:ascii="Arial" w:hAnsi="Arial" w:cs="Arial"/>
                <w:sz w:val="22"/>
              </w:rPr>
              <w:t>dané</w:t>
            </w:r>
            <w:proofErr w:type="gramEnd"/>
            <w:r w:rsidRPr="007B2F69">
              <w:rPr>
                <w:rFonts w:ascii="Arial" w:hAnsi="Arial" w:cs="Arial"/>
                <w:sz w:val="22"/>
              </w:rPr>
              <w:t xml:space="preserve"> roce, včetně prostředků plynoucích na výzkum a vývoj do zahraničí. Při výpočtu ukazatele GBARD se vychází z výdajů schválených v zákoně o státním rozpočtu pro dané fiskální období (předběžné údaje) a z výdajů závěrečného státního účtu pro oblast výzkumu a vývoje (konečné údaje). </w:t>
            </w:r>
          </w:p>
          <w:p w14:paraId="4FC5B0B9" w14:textId="77777777" w:rsidR="009F7924" w:rsidRPr="007B2F69" w:rsidRDefault="009F7924" w:rsidP="007419C7">
            <w:pPr>
              <w:spacing w:line="276" w:lineRule="auto"/>
              <w:jc w:val="both"/>
              <w:rPr>
                <w:rFonts w:ascii="Arial" w:hAnsi="Arial" w:cs="Arial"/>
                <w:b/>
                <w:sz w:val="22"/>
              </w:rPr>
            </w:pPr>
            <w:r w:rsidRPr="007B2F69">
              <w:rPr>
                <w:rFonts w:ascii="Arial" w:hAnsi="Arial" w:cs="Arial"/>
                <w:sz w:val="22"/>
                <w:u w:val="single"/>
              </w:rPr>
              <w:t>Poznámka:</w:t>
            </w:r>
            <w:r w:rsidRPr="007B2F69">
              <w:rPr>
                <w:rFonts w:ascii="Arial" w:hAnsi="Arial" w:cs="Arial"/>
                <w:sz w:val="22"/>
              </w:rPr>
              <w:t xml:space="preserve"> Ukazatel GBARD nezahrnuje předfinancování projektů hrazených ze strukturálních fondů EU ani nepřímou veřejnou podporu poskytovanou subjektům provádějících výzkum a vývoj</w:t>
            </w:r>
            <w:r>
              <w:rPr>
                <w:rFonts w:ascii="Arial" w:hAnsi="Arial" w:cs="Arial"/>
                <w:sz w:val="22"/>
              </w:rPr>
              <w:t xml:space="preserve"> prostřednictvím daňových úlev.</w:t>
            </w:r>
          </w:p>
        </w:tc>
      </w:tr>
      <w:tr w:rsidR="009F7924" w:rsidRPr="007B2F69" w14:paraId="377206A2" w14:textId="77777777" w:rsidTr="009F7924">
        <w:tc>
          <w:tcPr>
            <w:tcW w:w="2802" w:type="dxa"/>
            <w:shd w:val="clear" w:color="auto" w:fill="auto"/>
          </w:tcPr>
          <w:p w14:paraId="62A8A1D5"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rPr>
              <w:t>Jednotka:</w:t>
            </w:r>
          </w:p>
        </w:tc>
        <w:tc>
          <w:tcPr>
            <w:tcW w:w="6486" w:type="dxa"/>
            <w:shd w:val="clear" w:color="auto" w:fill="auto"/>
          </w:tcPr>
          <w:p w14:paraId="7A555A31" w14:textId="74838B5E" w:rsidR="009F7924" w:rsidRPr="007B2F69" w:rsidRDefault="007419C7" w:rsidP="009F7924">
            <w:pPr>
              <w:spacing w:line="276" w:lineRule="auto"/>
              <w:rPr>
                <w:rFonts w:ascii="Arial" w:hAnsi="Arial" w:cs="Arial"/>
                <w:sz w:val="22"/>
                <w:szCs w:val="22"/>
              </w:rPr>
            </w:pPr>
            <w:r>
              <w:rPr>
                <w:rFonts w:ascii="Arial" w:hAnsi="Arial" w:cs="Arial"/>
                <w:sz w:val="22"/>
              </w:rPr>
              <w:t>mil.</w:t>
            </w:r>
            <w:r w:rsidR="009F7924" w:rsidRPr="007B2F69">
              <w:rPr>
                <w:rFonts w:ascii="Arial" w:hAnsi="Arial" w:cs="Arial"/>
                <w:sz w:val="22"/>
              </w:rPr>
              <w:t xml:space="preserve"> Kč; podíl na HDP; podíl na státním rozpočtu; %</w:t>
            </w:r>
          </w:p>
        </w:tc>
      </w:tr>
      <w:tr w:rsidR="009F7924" w:rsidRPr="007B2F69" w14:paraId="162DF048" w14:textId="77777777" w:rsidTr="009F7924">
        <w:tc>
          <w:tcPr>
            <w:tcW w:w="2802" w:type="dxa"/>
            <w:shd w:val="clear" w:color="auto" w:fill="auto"/>
          </w:tcPr>
          <w:p w14:paraId="2C754002"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rPr>
              <w:t>Gestor:</w:t>
            </w:r>
          </w:p>
        </w:tc>
        <w:tc>
          <w:tcPr>
            <w:tcW w:w="6486" w:type="dxa"/>
            <w:shd w:val="clear" w:color="auto" w:fill="auto"/>
          </w:tcPr>
          <w:p w14:paraId="29254752"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rPr>
              <w:t>Český statistický úřad</w:t>
            </w:r>
          </w:p>
        </w:tc>
      </w:tr>
      <w:tr w:rsidR="009F7924" w:rsidRPr="007B2F69" w14:paraId="2AC29148" w14:textId="77777777" w:rsidTr="009F7924">
        <w:tc>
          <w:tcPr>
            <w:tcW w:w="2802" w:type="dxa"/>
            <w:shd w:val="clear" w:color="auto" w:fill="auto"/>
          </w:tcPr>
          <w:p w14:paraId="7B67A550"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rPr>
              <w:t>Význam indikátoru:</w:t>
            </w:r>
          </w:p>
        </w:tc>
        <w:tc>
          <w:tcPr>
            <w:tcW w:w="6486" w:type="dxa"/>
            <w:shd w:val="clear" w:color="auto" w:fill="auto"/>
          </w:tcPr>
          <w:p w14:paraId="523DDFE1" w14:textId="77777777" w:rsidR="009F7924" w:rsidRPr="007B2F69" w:rsidRDefault="009F7924" w:rsidP="007419C7">
            <w:pPr>
              <w:spacing w:line="276" w:lineRule="auto"/>
              <w:jc w:val="both"/>
              <w:rPr>
                <w:rFonts w:ascii="Arial" w:hAnsi="Arial" w:cs="Arial"/>
                <w:sz w:val="22"/>
                <w:szCs w:val="22"/>
              </w:rPr>
            </w:pPr>
            <w:r w:rsidRPr="007B2F69">
              <w:rPr>
                <w:rFonts w:ascii="Arial" w:hAnsi="Arial" w:cs="Arial"/>
                <w:sz w:val="22"/>
              </w:rPr>
              <w:t>Veřejná podpora výzkumných a vývojových činnosti představuje v současnosti jeden z</w:t>
            </w:r>
            <w:r>
              <w:rPr>
                <w:rFonts w:ascii="Arial" w:hAnsi="Arial" w:cs="Arial"/>
                <w:sz w:val="22"/>
              </w:rPr>
              <w:t> </w:t>
            </w:r>
            <w:r w:rsidRPr="007B2F69">
              <w:rPr>
                <w:rFonts w:ascii="Arial" w:hAnsi="Arial" w:cs="Arial"/>
                <w:sz w:val="22"/>
              </w:rPr>
              <w:t>hlavních pilířů systému financování výzkumu, vývoje, případně inovací v České republice. Statistika státních rozpočtových výdajů na výzkum a vývoj poskytuje údaje o přímé veřejné podpoře výzkumu a vývoje v členění podle socioekonomických cílů defino</w:t>
            </w:r>
            <w:r>
              <w:rPr>
                <w:rFonts w:ascii="Arial" w:hAnsi="Arial" w:cs="Arial"/>
                <w:sz w:val="22"/>
              </w:rPr>
              <w:t xml:space="preserve">vaných podle klasifikace NABS. </w:t>
            </w:r>
            <w:r w:rsidRPr="007B2F69">
              <w:rPr>
                <w:rFonts w:ascii="Arial" w:hAnsi="Arial" w:cs="Arial"/>
                <w:sz w:val="22"/>
              </w:rPr>
              <w:t>Údaje z</w:t>
            </w:r>
            <w:r>
              <w:rPr>
                <w:rFonts w:ascii="Arial" w:hAnsi="Arial" w:cs="Arial"/>
                <w:sz w:val="22"/>
              </w:rPr>
              <w:t> </w:t>
            </w:r>
            <w:r w:rsidRPr="007B2F69">
              <w:rPr>
                <w:rFonts w:ascii="Arial" w:hAnsi="Arial" w:cs="Arial"/>
                <w:sz w:val="22"/>
              </w:rPr>
              <w:t>této statistiky slouží jako podpora pro rozhodování, do jakých oblastí by měla směřovat podpora výzkumu a vývoje z veřejných zdrojů.</w:t>
            </w:r>
          </w:p>
        </w:tc>
      </w:tr>
      <w:tr w:rsidR="009F7924" w:rsidRPr="007B2F69" w14:paraId="04EBF993" w14:textId="77777777" w:rsidTr="009F7924">
        <w:tc>
          <w:tcPr>
            <w:tcW w:w="2802" w:type="dxa"/>
            <w:shd w:val="clear" w:color="auto" w:fill="auto"/>
          </w:tcPr>
          <w:p w14:paraId="054C4922"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rPr>
              <w:t>Časová řada:</w:t>
            </w:r>
          </w:p>
        </w:tc>
        <w:tc>
          <w:tcPr>
            <w:tcW w:w="6486" w:type="dxa"/>
            <w:shd w:val="clear" w:color="auto" w:fill="auto"/>
          </w:tcPr>
          <w:p w14:paraId="5A9E45E3" w14:textId="77777777" w:rsidR="009F7924" w:rsidRPr="007B2F69" w:rsidRDefault="009F7924" w:rsidP="007419C7">
            <w:pPr>
              <w:spacing w:line="276" w:lineRule="auto"/>
              <w:jc w:val="both"/>
              <w:rPr>
                <w:rFonts w:ascii="Arial" w:hAnsi="Arial" w:cs="Arial"/>
                <w:sz w:val="22"/>
                <w:szCs w:val="22"/>
              </w:rPr>
            </w:pPr>
            <w:r w:rsidRPr="007B2F69">
              <w:rPr>
                <w:rFonts w:ascii="Arial" w:hAnsi="Arial" w:cs="Arial"/>
                <w:sz w:val="22"/>
              </w:rPr>
              <w:t>Od roku 2002</w:t>
            </w:r>
          </w:p>
        </w:tc>
      </w:tr>
      <w:tr w:rsidR="009F7924" w:rsidRPr="007B2F69" w14:paraId="6ADEC40D" w14:textId="77777777" w:rsidTr="009F7924">
        <w:tc>
          <w:tcPr>
            <w:tcW w:w="2802" w:type="dxa"/>
            <w:shd w:val="clear" w:color="auto" w:fill="auto"/>
          </w:tcPr>
          <w:p w14:paraId="6BD2234A"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rPr>
              <w:t>Frekvence výstupu:</w:t>
            </w:r>
          </w:p>
        </w:tc>
        <w:tc>
          <w:tcPr>
            <w:tcW w:w="6486" w:type="dxa"/>
            <w:shd w:val="clear" w:color="auto" w:fill="auto"/>
          </w:tcPr>
          <w:p w14:paraId="77A0B222" w14:textId="77777777" w:rsidR="009F7924" w:rsidRPr="007B2F69" w:rsidRDefault="009F7924" w:rsidP="007419C7">
            <w:pPr>
              <w:spacing w:line="276" w:lineRule="auto"/>
              <w:jc w:val="both"/>
              <w:rPr>
                <w:rFonts w:ascii="Arial" w:hAnsi="Arial" w:cs="Arial"/>
                <w:sz w:val="22"/>
                <w:szCs w:val="22"/>
              </w:rPr>
            </w:pPr>
            <w:r w:rsidRPr="007B2F69">
              <w:rPr>
                <w:rFonts w:ascii="Arial" w:hAnsi="Arial" w:cs="Arial"/>
                <w:sz w:val="22"/>
              </w:rPr>
              <w:t>Ročně podle údajů ze statistické úlohy GBARD</w:t>
            </w:r>
          </w:p>
        </w:tc>
      </w:tr>
      <w:tr w:rsidR="009F7924" w:rsidRPr="007B2F69" w14:paraId="27CF8644" w14:textId="77777777" w:rsidTr="009F7924">
        <w:trPr>
          <w:trHeight w:val="70"/>
        </w:trPr>
        <w:tc>
          <w:tcPr>
            <w:tcW w:w="2802" w:type="dxa"/>
            <w:shd w:val="clear" w:color="auto" w:fill="auto"/>
          </w:tcPr>
          <w:p w14:paraId="7F1410BE"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rPr>
              <w:t>Členění indikátoru:</w:t>
            </w:r>
          </w:p>
        </w:tc>
        <w:tc>
          <w:tcPr>
            <w:tcW w:w="6486" w:type="dxa"/>
            <w:shd w:val="clear" w:color="auto" w:fill="auto"/>
          </w:tcPr>
          <w:p w14:paraId="3FD34A20" w14:textId="77777777" w:rsidR="009F7924" w:rsidRPr="007B2F69" w:rsidRDefault="009F7924" w:rsidP="007419C7">
            <w:pPr>
              <w:spacing w:line="276" w:lineRule="auto"/>
              <w:jc w:val="both"/>
              <w:rPr>
                <w:rFonts w:ascii="Arial" w:hAnsi="Arial" w:cs="Arial"/>
                <w:sz w:val="22"/>
                <w:szCs w:val="22"/>
              </w:rPr>
            </w:pPr>
            <w:r w:rsidRPr="007B2F69">
              <w:rPr>
                <w:rFonts w:ascii="Arial" w:hAnsi="Arial" w:cs="Arial"/>
                <w:sz w:val="22"/>
              </w:rPr>
              <w:t xml:space="preserve">Podle socioekonomických cílů (klasifikace NABS), formy podpory (účelová a institucionální), hlavních poskytovatelů a příjemců této podpory.   </w:t>
            </w:r>
          </w:p>
        </w:tc>
      </w:tr>
      <w:tr w:rsidR="009F7924" w:rsidRPr="007B2F69" w14:paraId="089551F3" w14:textId="77777777" w:rsidTr="009F7924">
        <w:trPr>
          <w:trHeight w:val="70"/>
        </w:trPr>
        <w:tc>
          <w:tcPr>
            <w:tcW w:w="2802" w:type="dxa"/>
            <w:shd w:val="clear" w:color="auto" w:fill="auto"/>
          </w:tcPr>
          <w:p w14:paraId="5F5EB3F8"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rPr>
              <w:lastRenderedPageBreak/>
              <w:t>Mezinárodní srovnání:</w:t>
            </w:r>
          </w:p>
        </w:tc>
        <w:tc>
          <w:tcPr>
            <w:tcW w:w="6486" w:type="dxa"/>
            <w:shd w:val="clear" w:color="auto" w:fill="auto"/>
          </w:tcPr>
          <w:p w14:paraId="4F2B260E" w14:textId="77777777" w:rsidR="009F7924" w:rsidRPr="007B2F69" w:rsidRDefault="009F7924" w:rsidP="007419C7">
            <w:pPr>
              <w:spacing w:line="276" w:lineRule="auto"/>
              <w:jc w:val="both"/>
              <w:rPr>
                <w:rFonts w:ascii="Arial" w:hAnsi="Arial" w:cs="Arial"/>
                <w:sz w:val="22"/>
              </w:rPr>
            </w:pPr>
            <w:proofErr w:type="spellStart"/>
            <w:r w:rsidRPr="007B2F69">
              <w:rPr>
                <w:rFonts w:ascii="Arial" w:hAnsi="Arial" w:cs="Arial"/>
                <w:sz w:val="22"/>
              </w:rPr>
              <w:t>Eurostat</w:t>
            </w:r>
            <w:proofErr w:type="spellEnd"/>
            <w:r w:rsidRPr="007B2F69">
              <w:rPr>
                <w:rFonts w:ascii="Arial" w:hAnsi="Arial" w:cs="Arial"/>
                <w:sz w:val="22"/>
              </w:rPr>
              <w:t xml:space="preserve">, OECD </w:t>
            </w:r>
          </w:p>
          <w:p w14:paraId="455FD5AE" w14:textId="77777777" w:rsidR="009F7924" w:rsidRPr="007B2F69" w:rsidRDefault="009F7924" w:rsidP="007419C7">
            <w:pPr>
              <w:spacing w:line="276" w:lineRule="auto"/>
              <w:jc w:val="both"/>
              <w:rPr>
                <w:rFonts w:ascii="Arial" w:hAnsi="Arial" w:cs="Arial"/>
                <w:sz w:val="22"/>
              </w:rPr>
            </w:pPr>
            <w:r w:rsidRPr="007B2F69">
              <w:rPr>
                <w:rFonts w:ascii="Arial" w:hAnsi="Arial" w:cs="Arial"/>
                <w:sz w:val="22"/>
                <w:u w:val="single"/>
              </w:rPr>
              <w:t xml:space="preserve">Poznámka: </w:t>
            </w:r>
            <w:r w:rsidRPr="007B2F69">
              <w:rPr>
                <w:rFonts w:ascii="Arial" w:hAnsi="Arial" w:cs="Arial"/>
                <w:sz w:val="22"/>
              </w:rPr>
              <w:t xml:space="preserve">Za účelem mezinárodního srovnání se celkové veřejné (státní) rozpočtové výdaje na výzkum a vývoj poměřují k HDP nebo celkovým veřejným výdajům. </w:t>
            </w:r>
          </w:p>
        </w:tc>
      </w:tr>
    </w:tbl>
    <w:p w14:paraId="157033E0" w14:textId="77777777" w:rsidR="009F7924" w:rsidRDefault="009F7924" w:rsidP="009F7924">
      <w:pPr>
        <w:pStyle w:val="r2030cle"/>
        <w:numPr>
          <w:ilvl w:val="0"/>
          <w:numId w:val="0"/>
        </w:numPr>
        <w:spacing w:after="0"/>
      </w:pPr>
    </w:p>
    <w:tbl>
      <w:tblPr>
        <w:tblStyle w:val="Mkatabulky"/>
        <w:tblW w:w="0" w:type="auto"/>
        <w:tblLook w:val="04A0" w:firstRow="1" w:lastRow="0" w:firstColumn="1" w:lastColumn="0" w:noHBand="0" w:noVBand="1"/>
      </w:tblPr>
      <w:tblGrid>
        <w:gridCol w:w="2802"/>
        <w:gridCol w:w="6486"/>
      </w:tblGrid>
      <w:tr w:rsidR="009F7924" w:rsidRPr="007B2F69" w14:paraId="198FD039" w14:textId="77777777" w:rsidTr="009F7924">
        <w:tc>
          <w:tcPr>
            <w:tcW w:w="2802" w:type="dxa"/>
          </w:tcPr>
          <w:p w14:paraId="373F8A5A"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szCs w:val="22"/>
              </w:rPr>
              <w:t>Název a označení indikátoru:</w:t>
            </w:r>
          </w:p>
        </w:tc>
        <w:tc>
          <w:tcPr>
            <w:tcW w:w="6486" w:type="dxa"/>
          </w:tcPr>
          <w:p w14:paraId="1BAB66B4" w14:textId="77777777" w:rsidR="009F7924" w:rsidRPr="007B2F69" w:rsidRDefault="009F7924" w:rsidP="009F7924">
            <w:pPr>
              <w:spacing w:line="276" w:lineRule="auto"/>
              <w:rPr>
                <w:rFonts w:ascii="Arial" w:hAnsi="Arial" w:cs="Arial"/>
                <w:b/>
                <w:sz w:val="22"/>
                <w:szCs w:val="22"/>
              </w:rPr>
            </w:pPr>
            <w:r w:rsidRPr="007B2F69">
              <w:rPr>
                <w:rFonts w:ascii="Arial" w:eastAsia="Arial" w:hAnsi="Arial" w:cs="Arial"/>
                <w:b/>
                <w:sz w:val="22"/>
                <w:szCs w:val="22"/>
              </w:rPr>
              <w:t>8.1.3. Celkový počet osob pracujících ve výzkumu a vývoji</w:t>
            </w:r>
          </w:p>
        </w:tc>
      </w:tr>
      <w:tr w:rsidR="009F7924" w:rsidRPr="007B2F69" w14:paraId="38E89BBA" w14:textId="77777777" w:rsidTr="009F7924">
        <w:tc>
          <w:tcPr>
            <w:tcW w:w="2802" w:type="dxa"/>
          </w:tcPr>
          <w:p w14:paraId="3D33E377"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rPr>
              <w:t>Stručná definice:</w:t>
            </w:r>
          </w:p>
        </w:tc>
        <w:tc>
          <w:tcPr>
            <w:tcW w:w="6486" w:type="dxa"/>
          </w:tcPr>
          <w:p w14:paraId="0AAA0E05" w14:textId="77777777" w:rsidR="009F7924" w:rsidRPr="007B2F69" w:rsidRDefault="009F7924" w:rsidP="007419C7">
            <w:pPr>
              <w:spacing w:line="276" w:lineRule="auto"/>
              <w:jc w:val="both"/>
              <w:rPr>
                <w:rFonts w:ascii="Arial" w:hAnsi="Arial" w:cs="Arial"/>
                <w:sz w:val="22"/>
              </w:rPr>
            </w:pPr>
            <w:r w:rsidRPr="007B2F69">
              <w:rPr>
                <w:rFonts w:ascii="Arial" w:hAnsi="Arial" w:cs="Arial"/>
                <w:sz w:val="22"/>
              </w:rPr>
              <w:t xml:space="preserve">Osoby pracující ve výzkumu a vývoji (R&amp;D </w:t>
            </w:r>
            <w:proofErr w:type="spellStart"/>
            <w:r w:rsidRPr="007B2F69">
              <w:rPr>
                <w:rFonts w:ascii="Arial" w:hAnsi="Arial" w:cs="Arial"/>
                <w:sz w:val="22"/>
              </w:rPr>
              <w:t>Personnel</w:t>
            </w:r>
            <w:proofErr w:type="spellEnd"/>
            <w:r w:rsidRPr="007B2F69">
              <w:rPr>
                <w:rFonts w:ascii="Arial" w:hAnsi="Arial" w:cs="Arial"/>
                <w:sz w:val="22"/>
              </w:rPr>
              <w:t>) jsou nejen výzkumní pracovníci, kteří provádějí přímo výzkumnou a vývojovou činnost, ale i techničtí, odborní, administrativní a ostatní pracovníci zaměstnaní na pracovištích, kde se výzkum a vývoj provádí, a kteří zde obstarávají přímé služby pro tato pracoviště. Formální vazbou k placenému zaměstnání se rozumí především pracovní poměr, dohoda o provedení práce a o pracovní činnosti.</w:t>
            </w:r>
          </w:p>
        </w:tc>
      </w:tr>
      <w:tr w:rsidR="009F7924" w:rsidRPr="007B2F69" w14:paraId="5AD886B3" w14:textId="77777777" w:rsidTr="009F7924">
        <w:tc>
          <w:tcPr>
            <w:tcW w:w="2802" w:type="dxa"/>
          </w:tcPr>
          <w:p w14:paraId="4EAAF41A"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rPr>
              <w:t>Jednotka:</w:t>
            </w:r>
          </w:p>
        </w:tc>
        <w:tc>
          <w:tcPr>
            <w:tcW w:w="6486" w:type="dxa"/>
          </w:tcPr>
          <w:p w14:paraId="0F6378DE" w14:textId="457AE45C" w:rsidR="009F7924" w:rsidRPr="007B2F69" w:rsidRDefault="00385A97" w:rsidP="007419C7">
            <w:pPr>
              <w:spacing w:line="276" w:lineRule="auto"/>
              <w:jc w:val="both"/>
              <w:rPr>
                <w:rFonts w:ascii="Arial" w:hAnsi="Arial" w:cs="Arial"/>
                <w:sz w:val="22"/>
              </w:rPr>
            </w:pPr>
            <w:r>
              <w:rPr>
                <w:rFonts w:ascii="Arial" w:hAnsi="Arial" w:cs="Arial"/>
                <w:sz w:val="22"/>
              </w:rPr>
              <w:t>Fyzické osoby (</w:t>
            </w:r>
            <w:proofErr w:type="spellStart"/>
            <w:r>
              <w:rPr>
                <w:rFonts w:ascii="Arial" w:hAnsi="Arial" w:cs="Arial"/>
                <w:sz w:val="22"/>
              </w:rPr>
              <w:t>Head</w:t>
            </w:r>
            <w:proofErr w:type="spellEnd"/>
            <w:r>
              <w:rPr>
                <w:rFonts w:ascii="Arial" w:hAnsi="Arial" w:cs="Arial"/>
                <w:sz w:val="22"/>
              </w:rPr>
              <w:t xml:space="preserve"> </w:t>
            </w:r>
            <w:proofErr w:type="spellStart"/>
            <w:r>
              <w:rPr>
                <w:rFonts w:ascii="Arial" w:hAnsi="Arial" w:cs="Arial"/>
                <w:sz w:val="22"/>
              </w:rPr>
              <w:t>Count</w:t>
            </w:r>
            <w:proofErr w:type="spellEnd"/>
            <w:r w:rsidR="009F7924" w:rsidRPr="007B2F69">
              <w:rPr>
                <w:rFonts w:ascii="Arial" w:hAnsi="Arial" w:cs="Arial"/>
                <w:sz w:val="22"/>
              </w:rPr>
              <w:t>) k </w:t>
            </w:r>
            <w:proofErr w:type="gramStart"/>
            <w:r w:rsidR="009F7924" w:rsidRPr="007B2F69">
              <w:rPr>
                <w:rFonts w:ascii="Arial" w:hAnsi="Arial" w:cs="Arial"/>
                <w:sz w:val="22"/>
              </w:rPr>
              <w:t>31.12</w:t>
            </w:r>
            <w:proofErr w:type="gramEnd"/>
            <w:r w:rsidR="009F7924" w:rsidRPr="007B2F69">
              <w:rPr>
                <w:rFonts w:ascii="Arial" w:hAnsi="Arial" w:cs="Arial"/>
                <w:sz w:val="22"/>
              </w:rPr>
              <w:t xml:space="preserve">. sledovaného roku; </w:t>
            </w:r>
          </w:p>
          <w:p w14:paraId="762093F1" w14:textId="75869293" w:rsidR="009F7924" w:rsidRPr="007B2F69" w:rsidRDefault="009F7924" w:rsidP="007419C7">
            <w:pPr>
              <w:spacing w:line="276" w:lineRule="auto"/>
              <w:jc w:val="both"/>
              <w:rPr>
                <w:rFonts w:ascii="Arial" w:hAnsi="Arial" w:cs="Arial"/>
                <w:sz w:val="22"/>
              </w:rPr>
            </w:pPr>
            <w:r w:rsidRPr="007B2F69">
              <w:rPr>
                <w:rFonts w:ascii="Arial" w:hAnsi="Arial" w:cs="Arial"/>
                <w:sz w:val="22"/>
              </w:rPr>
              <w:t>Přepočtené osoby (FTE) na plnou roční pracovní dobu věnované výzkumné a vývojové činnosti</w:t>
            </w:r>
          </w:p>
        </w:tc>
      </w:tr>
      <w:tr w:rsidR="009F7924" w:rsidRPr="007B2F69" w14:paraId="7F382A87" w14:textId="77777777" w:rsidTr="009F7924">
        <w:tc>
          <w:tcPr>
            <w:tcW w:w="2802" w:type="dxa"/>
          </w:tcPr>
          <w:p w14:paraId="3FB46E7F"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rPr>
              <w:t>Gestor:</w:t>
            </w:r>
          </w:p>
        </w:tc>
        <w:tc>
          <w:tcPr>
            <w:tcW w:w="6486" w:type="dxa"/>
          </w:tcPr>
          <w:p w14:paraId="07FFE671" w14:textId="77777777" w:rsidR="009F7924" w:rsidRPr="007B2F69" w:rsidRDefault="009F7924" w:rsidP="007419C7">
            <w:pPr>
              <w:spacing w:line="276" w:lineRule="auto"/>
              <w:jc w:val="both"/>
              <w:rPr>
                <w:rFonts w:ascii="Arial" w:hAnsi="Arial" w:cs="Arial"/>
                <w:sz w:val="22"/>
                <w:szCs w:val="22"/>
              </w:rPr>
            </w:pPr>
            <w:r w:rsidRPr="007B2F69">
              <w:rPr>
                <w:rFonts w:ascii="Arial" w:hAnsi="Arial" w:cs="Arial"/>
                <w:sz w:val="22"/>
              </w:rPr>
              <w:t>Český statistický úřad</w:t>
            </w:r>
          </w:p>
        </w:tc>
      </w:tr>
      <w:tr w:rsidR="009F7924" w:rsidRPr="007B2F69" w14:paraId="03A155C3" w14:textId="77777777" w:rsidTr="009F7924">
        <w:tc>
          <w:tcPr>
            <w:tcW w:w="2802" w:type="dxa"/>
          </w:tcPr>
          <w:p w14:paraId="28C48710"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rPr>
              <w:t>Význam indikátoru:</w:t>
            </w:r>
          </w:p>
        </w:tc>
        <w:tc>
          <w:tcPr>
            <w:tcW w:w="6486" w:type="dxa"/>
          </w:tcPr>
          <w:p w14:paraId="167E3AC5" w14:textId="77777777" w:rsidR="009F7924" w:rsidRPr="007B2F69" w:rsidRDefault="009F7924" w:rsidP="007419C7">
            <w:pPr>
              <w:spacing w:line="276" w:lineRule="auto"/>
              <w:jc w:val="both"/>
              <w:rPr>
                <w:rFonts w:ascii="Arial" w:hAnsi="Arial" w:cs="Arial"/>
                <w:sz w:val="22"/>
                <w:szCs w:val="22"/>
              </w:rPr>
            </w:pPr>
            <w:r w:rsidRPr="007B2F69">
              <w:rPr>
                <w:rFonts w:ascii="Arial" w:hAnsi="Arial" w:cs="Arial"/>
                <w:sz w:val="22"/>
              </w:rPr>
              <w:t>Kvalifikované lidské zdroje působící přímo ve výzkumu a vývoji sehrávají klíčovou úlohu v procesu vytváření a transferu znalostí a jsou tak jedním ze zásadních předpokladů zajištění dlouhodobě udržitelného ekonomického a technologického rozvoje společnosti prostřednictvím vlastních sil</w:t>
            </w:r>
            <w:r>
              <w:rPr>
                <w:rFonts w:ascii="Arial" w:hAnsi="Arial" w:cs="Arial"/>
                <w:sz w:val="22"/>
              </w:rPr>
              <w:t>.</w:t>
            </w:r>
          </w:p>
        </w:tc>
      </w:tr>
      <w:tr w:rsidR="009F7924" w:rsidRPr="007B2F69" w14:paraId="20A617D0" w14:textId="77777777" w:rsidTr="009F7924">
        <w:tc>
          <w:tcPr>
            <w:tcW w:w="2802" w:type="dxa"/>
          </w:tcPr>
          <w:p w14:paraId="5F63C42C"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rPr>
              <w:t>Časová řada:</w:t>
            </w:r>
          </w:p>
        </w:tc>
        <w:tc>
          <w:tcPr>
            <w:tcW w:w="6486" w:type="dxa"/>
          </w:tcPr>
          <w:p w14:paraId="1169BDE1" w14:textId="77777777" w:rsidR="009F7924" w:rsidRPr="007B2F69" w:rsidRDefault="009F7924" w:rsidP="007419C7">
            <w:pPr>
              <w:spacing w:line="276" w:lineRule="auto"/>
              <w:jc w:val="both"/>
              <w:rPr>
                <w:rFonts w:ascii="Arial" w:hAnsi="Arial" w:cs="Arial"/>
                <w:sz w:val="22"/>
                <w:szCs w:val="22"/>
              </w:rPr>
            </w:pPr>
            <w:r w:rsidRPr="007B2F69">
              <w:rPr>
                <w:rFonts w:ascii="Arial" w:hAnsi="Arial" w:cs="Arial"/>
                <w:sz w:val="22"/>
              </w:rPr>
              <w:t>Od roku 2005</w:t>
            </w:r>
          </w:p>
        </w:tc>
      </w:tr>
      <w:tr w:rsidR="009F7924" w:rsidRPr="007B2F69" w14:paraId="14DAA269" w14:textId="77777777" w:rsidTr="009F7924">
        <w:tc>
          <w:tcPr>
            <w:tcW w:w="2802" w:type="dxa"/>
          </w:tcPr>
          <w:p w14:paraId="1EEC4D72"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rPr>
              <w:t>Frekvence výstupu:</w:t>
            </w:r>
          </w:p>
        </w:tc>
        <w:tc>
          <w:tcPr>
            <w:tcW w:w="6486" w:type="dxa"/>
          </w:tcPr>
          <w:p w14:paraId="6A63E1CF" w14:textId="77777777" w:rsidR="009F7924" w:rsidRPr="007B2F69" w:rsidRDefault="009F7924" w:rsidP="007419C7">
            <w:pPr>
              <w:spacing w:line="276" w:lineRule="auto"/>
              <w:jc w:val="both"/>
              <w:rPr>
                <w:rFonts w:ascii="Arial" w:hAnsi="Arial" w:cs="Arial"/>
                <w:sz w:val="22"/>
                <w:szCs w:val="22"/>
              </w:rPr>
            </w:pPr>
            <w:r w:rsidRPr="007B2F69">
              <w:rPr>
                <w:rFonts w:ascii="Arial" w:hAnsi="Arial" w:cs="Arial"/>
                <w:sz w:val="22"/>
              </w:rPr>
              <w:t xml:space="preserve">Ročně podle údajů z šetření VTR 5-01 </w:t>
            </w:r>
          </w:p>
        </w:tc>
      </w:tr>
      <w:tr w:rsidR="009F7924" w:rsidRPr="007B2F69" w14:paraId="453D3B3A" w14:textId="77777777" w:rsidTr="009F7924">
        <w:trPr>
          <w:trHeight w:val="70"/>
        </w:trPr>
        <w:tc>
          <w:tcPr>
            <w:tcW w:w="2802" w:type="dxa"/>
          </w:tcPr>
          <w:p w14:paraId="22955250"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rPr>
              <w:t>Členění indikátoru:</w:t>
            </w:r>
          </w:p>
        </w:tc>
        <w:tc>
          <w:tcPr>
            <w:tcW w:w="6486" w:type="dxa"/>
          </w:tcPr>
          <w:p w14:paraId="55839B6E" w14:textId="77777777" w:rsidR="009F7924" w:rsidRPr="007B2F69" w:rsidRDefault="009F7924" w:rsidP="007419C7">
            <w:pPr>
              <w:spacing w:line="276" w:lineRule="auto"/>
              <w:jc w:val="both"/>
              <w:rPr>
                <w:rFonts w:ascii="Arial" w:hAnsi="Arial" w:cs="Arial"/>
                <w:sz w:val="22"/>
              </w:rPr>
            </w:pPr>
            <w:r w:rsidRPr="007B2F69">
              <w:rPr>
                <w:rFonts w:ascii="Arial" w:hAnsi="Arial" w:cs="Arial"/>
                <w:sz w:val="22"/>
              </w:rPr>
              <w:t>Podle pracovní činnosti (výzkumní, techničtí a ostatní pracovníc</w:t>
            </w:r>
            <w:r>
              <w:rPr>
                <w:rFonts w:ascii="Arial" w:hAnsi="Arial" w:cs="Arial"/>
                <w:sz w:val="22"/>
              </w:rPr>
              <w:t>i</w:t>
            </w:r>
            <w:r w:rsidRPr="007B2F69">
              <w:rPr>
                <w:rFonts w:ascii="Arial" w:hAnsi="Arial" w:cs="Arial"/>
                <w:sz w:val="22"/>
              </w:rPr>
              <w:t xml:space="preserve"> výzkumu a vývoje), pohlaví a dosaženého vzdělání (klasifikace ISCED). V případě vládního a vysokoškolského sektoru jsou k dispozici každoroční údaje i o státním občanství jejich výzkumných pracovníků. Jednou za pět let se výzkumní pracovníci sledují i podle věku a podrobné klasifikace oblastí výzkumu a vývoje (klasifikace FORD)</w:t>
            </w:r>
            <w:r>
              <w:rPr>
                <w:rFonts w:ascii="Arial" w:hAnsi="Arial" w:cs="Arial"/>
                <w:sz w:val="22"/>
              </w:rPr>
              <w:t>.</w:t>
            </w:r>
          </w:p>
          <w:p w14:paraId="34EEB908" w14:textId="77777777" w:rsidR="009F7924" w:rsidRPr="007B2F69" w:rsidRDefault="009F7924" w:rsidP="007419C7">
            <w:pPr>
              <w:spacing w:line="276" w:lineRule="auto"/>
              <w:jc w:val="both"/>
              <w:rPr>
                <w:rFonts w:ascii="Arial" w:hAnsi="Arial" w:cs="Arial"/>
                <w:sz w:val="22"/>
              </w:rPr>
            </w:pPr>
            <w:r w:rsidRPr="007B2F69">
              <w:rPr>
                <w:rFonts w:ascii="Arial" w:hAnsi="Arial" w:cs="Arial"/>
                <w:sz w:val="22"/>
                <w:u w:val="single"/>
              </w:rPr>
              <w:t>Poznámka:</w:t>
            </w:r>
            <w:r w:rsidRPr="007B2F69">
              <w:rPr>
                <w:rFonts w:ascii="Arial" w:hAnsi="Arial" w:cs="Arial"/>
                <w:sz w:val="22"/>
              </w:rPr>
              <w:t xml:space="preserve"> Výše uvedené členění osob pracujících ve výzkumu a vývoji je dále dostupné v třídění podle sektoru, druhu, převažující ekonomické činnosti (klasifikace CZ-NACE) či sídla (klasifikace CZ-NUTS) pracoviště, kde tyto osoby výzkum a vývoj provádějí.</w:t>
            </w:r>
          </w:p>
        </w:tc>
      </w:tr>
      <w:tr w:rsidR="009F7924" w:rsidRPr="007B2F69" w14:paraId="0B81A388" w14:textId="77777777" w:rsidTr="009F7924">
        <w:trPr>
          <w:trHeight w:val="70"/>
        </w:trPr>
        <w:tc>
          <w:tcPr>
            <w:tcW w:w="2802" w:type="dxa"/>
          </w:tcPr>
          <w:p w14:paraId="5915F94F"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rPr>
              <w:t>Mezinárodní srovnání:</w:t>
            </w:r>
          </w:p>
        </w:tc>
        <w:tc>
          <w:tcPr>
            <w:tcW w:w="6486" w:type="dxa"/>
          </w:tcPr>
          <w:p w14:paraId="3B0A325A" w14:textId="77777777" w:rsidR="009F7924" w:rsidRPr="007B2F69" w:rsidRDefault="009F7924" w:rsidP="009F7924">
            <w:pPr>
              <w:spacing w:line="276" w:lineRule="auto"/>
              <w:rPr>
                <w:rFonts w:ascii="Arial" w:hAnsi="Arial" w:cs="Arial"/>
                <w:sz w:val="22"/>
              </w:rPr>
            </w:pPr>
            <w:proofErr w:type="spellStart"/>
            <w:r w:rsidRPr="007B2F69">
              <w:rPr>
                <w:rFonts w:ascii="Arial" w:hAnsi="Arial" w:cs="Arial"/>
                <w:sz w:val="22"/>
              </w:rPr>
              <w:t>Eurostat</w:t>
            </w:r>
            <w:proofErr w:type="spellEnd"/>
            <w:r w:rsidRPr="007B2F69">
              <w:rPr>
                <w:rFonts w:ascii="Arial" w:hAnsi="Arial" w:cs="Arial"/>
                <w:sz w:val="22"/>
              </w:rPr>
              <w:t>, OECD</w:t>
            </w:r>
          </w:p>
          <w:p w14:paraId="113A7AB1"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u w:val="single"/>
              </w:rPr>
              <w:t>Poznámka:</w:t>
            </w:r>
            <w:r w:rsidRPr="007B2F69">
              <w:rPr>
                <w:rFonts w:ascii="Arial" w:hAnsi="Arial" w:cs="Arial"/>
                <w:sz w:val="22"/>
              </w:rPr>
              <w:t xml:space="preserve"> Celkový počet osob pracujících ve výzkumu a vývoji se pro mezinárodní srovná</w:t>
            </w:r>
            <w:r>
              <w:rPr>
                <w:rFonts w:ascii="Arial" w:hAnsi="Arial" w:cs="Arial"/>
                <w:sz w:val="22"/>
              </w:rPr>
              <w:t>ní</w:t>
            </w:r>
            <w:r w:rsidRPr="007B2F69">
              <w:rPr>
                <w:rFonts w:ascii="Arial" w:hAnsi="Arial" w:cs="Arial"/>
                <w:sz w:val="22"/>
              </w:rPr>
              <w:t xml:space="preserve"> nejčastěji znázorňuje jako podíl na celkové zaměstnanosti v daném státě. </w:t>
            </w:r>
          </w:p>
        </w:tc>
      </w:tr>
    </w:tbl>
    <w:p w14:paraId="22E49BF3" w14:textId="77777777" w:rsidR="009F7924" w:rsidRDefault="009F7924" w:rsidP="009F7924">
      <w:pPr>
        <w:pStyle w:val="r2030cle"/>
        <w:numPr>
          <w:ilvl w:val="0"/>
          <w:numId w:val="0"/>
        </w:numPr>
        <w:spacing w:after="0"/>
      </w:pPr>
    </w:p>
    <w:tbl>
      <w:tblPr>
        <w:tblStyle w:val="Mkatabulky"/>
        <w:tblW w:w="0" w:type="auto"/>
        <w:tblLook w:val="04A0" w:firstRow="1" w:lastRow="0" w:firstColumn="1" w:lastColumn="0" w:noHBand="0" w:noVBand="1"/>
      </w:tblPr>
      <w:tblGrid>
        <w:gridCol w:w="2802"/>
        <w:gridCol w:w="6486"/>
      </w:tblGrid>
      <w:tr w:rsidR="009F7924" w:rsidRPr="007B2F69" w14:paraId="7A84EC69" w14:textId="77777777" w:rsidTr="009F7924">
        <w:tc>
          <w:tcPr>
            <w:tcW w:w="2802" w:type="dxa"/>
          </w:tcPr>
          <w:p w14:paraId="58F3B525"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szCs w:val="22"/>
              </w:rPr>
              <w:t xml:space="preserve">Název a označení </w:t>
            </w:r>
            <w:r w:rsidRPr="007B2F69">
              <w:rPr>
                <w:rFonts w:ascii="Arial" w:hAnsi="Arial" w:cs="Arial"/>
                <w:sz w:val="22"/>
                <w:szCs w:val="22"/>
              </w:rPr>
              <w:lastRenderedPageBreak/>
              <w:t>indikátoru:</w:t>
            </w:r>
          </w:p>
        </w:tc>
        <w:tc>
          <w:tcPr>
            <w:tcW w:w="6486" w:type="dxa"/>
          </w:tcPr>
          <w:p w14:paraId="187924C9" w14:textId="77777777" w:rsidR="009F7924" w:rsidRPr="007B2F69" w:rsidRDefault="009F7924" w:rsidP="009F7924">
            <w:pPr>
              <w:spacing w:line="276" w:lineRule="auto"/>
              <w:rPr>
                <w:rFonts w:ascii="Arial" w:hAnsi="Arial" w:cs="Arial"/>
                <w:b/>
                <w:sz w:val="22"/>
                <w:szCs w:val="22"/>
              </w:rPr>
            </w:pPr>
            <w:r w:rsidRPr="007B2F69">
              <w:rPr>
                <w:rFonts w:ascii="Arial" w:eastAsia="Arial" w:hAnsi="Arial" w:cs="Arial"/>
                <w:b/>
                <w:sz w:val="22"/>
                <w:szCs w:val="22"/>
              </w:rPr>
              <w:lastRenderedPageBreak/>
              <w:t>8.1.4. Výzkumní pracovníci s cizím státním občanstvím</w:t>
            </w:r>
          </w:p>
        </w:tc>
      </w:tr>
      <w:tr w:rsidR="009F7924" w:rsidRPr="007B2F69" w14:paraId="021593F9" w14:textId="77777777" w:rsidTr="009F7924">
        <w:tc>
          <w:tcPr>
            <w:tcW w:w="2802" w:type="dxa"/>
          </w:tcPr>
          <w:p w14:paraId="586E7D97"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rPr>
              <w:lastRenderedPageBreak/>
              <w:t>Stručná definice:</w:t>
            </w:r>
          </w:p>
        </w:tc>
        <w:tc>
          <w:tcPr>
            <w:tcW w:w="6486" w:type="dxa"/>
          </w:tcPr>
          <w:p w14:paraId="21D4F707" w14:textId="77777777" w:rsidR="009F7924" w:rsidRPr="007B2F69" w:rsidRDefault="009F7924" w:rsidP="007419C7">
            <w:pPr>
              <w:spacing w:line="276" w:lineRule="auto"/>
              <w:jc w:val="both"/>
              <w:rPr>
                <w:rFonts w:ascii="Arial" w:hAnsi="Arial" w:cs="Arial"/>
                <w:sz w:val="22"/>
                <w:szCs w:val="22"/>
              </w:rPr>
            </w:pPr>
            <w:r w:rsidRPr="007B2F69">
              <w:rPr>
                <w:rFonts w:ascii="Arial" w:hAnsi="Arial" w:cs="Arial"/>
                <w:sz w:val="22"/>
              </w:rPr>
              <w:t xml:space="preserve">Výzkumní pracovníci jsou osoby zaměstnané na pracovištích, kde se provádí výzkum a vývoj, kde vytvářejí nové či rozšiřují stávající znalosti, a to zpravidla tím, že řídí a/nebo provádí činnosti, které zahrnují koncepci nebo tvorbu nových znalostí, výrobků, procesů, metod a systémů, aplikují vědecké koncepty a teorie. </w:t>
            </w:r>
          </w:p>
        </w:tc>
      </w:tr>
      <w:tr w:rsidR="009F7924" w:rsidRPr="007B2F69" w14:paraId="1417F53A" w14:textId="77777777" w:rsidTr="009F7924">
        <w:tc>
          <w:tcPr>
            <w:tcW w:w="2802" w:type="dxa"/>
          </w:tcPr>
          <w:p w14:paraId="10DA756D"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rPr>
              <w:t>Jednotka:</w:t>
            </w:r>
          </w:p>
        </w:tc>
        <w:tc>
          <w:tcPr>
            <w:tcW w:w="6486" w:type="dxa"/>
          </w:tcPr>
          <w:p w14:paraId="27D79265" w14:textId="4D11A824" w:rsidR="009F7924" w:rsidRPr="007B2F69" w:rsidRDefault="009F7924" w:rsidP="007419C7">
            <w:pPr>
              <w:spacing w:line="276" w:lineRule="auto"/>
              <w:jc w:val="both"/>
              <w:rPr>
                <w:rFonts w:ascii="Arial" w:hAnsi="Arial" w:cs="Arial"/>
                <w:sz w:val="22"/>
              </w:rPr>
            </w:pPr>
            <w:r w:rsidRPr="007B2F69">
              <w:rPr>
                <w:rFonts w:ascii="Arial" w:hAnsi="Arial" w:cs="Arial"/>
                <w:sz w:val="22"/>
              </w:rPr>
              <w:t>Fyzické osoby (</w:t>
            </w:r>
            <w:proofErr w:type="spellStart"/>
            <w:r w:rsidR="00385A97">
              <w:rPr>
                <w:rFonts w:ascii="Arial" w:hAnsi="Arial" w:cs="Arial"/>
                <w:sz w:val="22"/>
              </w:rPr>
              <w:t>Head</w:t>
            </w:r>
            <w:proofErr w:type="spellEnd"/>
            <w:r w:rsidR="00385A97">
              <w:rPr>
                <w:rFonts w:ascii="Arial" w:hAnsi="Arial" w:cs="Arial"/>
                <w:sz w:val="22"/>
              </w:rPr>
              <w:t xml:space="preserve"> </w:t>
            </w:r>
            <w:proofErr w:type="spellStart"/>
            <w:r w:rsidR="00385A97">
              <w:rPr>
                <w:rFonts w:ascii="Arial" w:hAnsi="Arial" w:cs="Arial"/>
                <w:sz w:val="22"/>
              </w:rPr>
              <w:t>Count</w:t>
            </w:r>
            <w:proofErr w:type="spellEnd"/>
            <w:r w:rsidRPr="007B2F69">
              <w:rPr>
                <w:rFonts w:ascii="Arial" w:hAnsi="Arial" w:cs="Arial"/>
                <w:sz w:val="22"/>
              </w:rPr>
              <w:t>) k </w:t>
            </w:r>
            <w:proofErr w:type="gramStart"/>
            <w:r w:rsidRPr="007B2F69">
              <w:rPr>
                <w:rFonts w:ascii="Arial" w:hAnsi="Arial" w:cs="Arial"/>
                <w:sz w:val="22"/>
              </w:rPr>
              <w:t>31.12</w:t>
            </w:r>
            <w:proofErr w:type="gramEnd"/>
            <w:r w:rsidRPr="007B2F69">
              <w:rPr>
                <w:rFonts w:ascii="Arial" w:hAnsi="Arial" w:cs="Arial"/>
                <w:sz w:val="22"/>
              </w:rPr>
              <w:t>. sledovaného roku; podíl na celkovém počtu výzkumných pracovníků</w:t>
            </w:r>
          </w:p>
        </w:tc>
      </w:tr>
      <w:tr w:rsidR="009F7924" w:rsidRPr="007B2F69" w14:paraId="47FB3D91" w14:textId="77777777" w:rsidTr="009F7924">
        <w:tc>
          <w:tcPr>
            <w:tcW w:w="2802" w:type="dxa"/>
          </w:tcPr>
          <w:p w14:paraId="76275EF3"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rPr>
              <w:t>Gestor:</w:t>
            </w:r>
          </w:p>
        </w:tc>
        <w:tc>
          <w:tcPr>
            <w:tcW w:w="6486" w:type="dxa"/>
          </w:tcPr>
          <w:p w14:paraId="5F7288E9" w14:textId="77777777" w:rsidR="009F7924" w:rsidRPr="007B2F69" w:rsidRDefault="009F7924" w:rsidP="007419C7">
            <w:pPr>
              <w:spacing w:line="276" w:lineRule="auto"/>
              <w:jc w:val="both"/>
              <w:rPr>
                <w:rFonts w:ascii="Arial" w:hAnsi="Arial" w:cs="Arial"/>
                <w:sz w:val="22"/>
                <w:szCs w:val="22"/>
              </w:rPr>
            </w:pPr>
            <w:r w:rsidRPr="007B2F69">
              <w:rPr>
                <w:rFonts w:ascii="Arial" w:hAnsi="Arial" w:cs="Arial"/>
                <w:sz w:val="22"/>
              </w:rPr>
              <w:t>Český statistický úřad</w:t>
            </w:r>
          </w:p>
        </w:tc>
      </w:tr>
      <w:tr w:rsidR="009F7924" w:rsidRPr="007B2F69" w14:paraId="63016840" w14:textId="77777777" w:rsidTr="009F7924">
        <w:tc>
          <w:tcPr>
            <w:tcW w:w="2802" w:type="dxa"/>
          </w:tcPr>
          <w:p w14:paraId="0C75C53C"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rPr>
              <w:t>Význam indikátoru:</w:t>
            </w:r>
          </w:p>
        </w:tc>
        <w:tc>
          <w:tcPr>
            <w:tcW w:w="6486" w:type="dxa"/>
          </w:tcPr>
          <w:p w14:paraId="1D1C554F" w14:textId="77777777" w:rsidR="009F7924" w:rsidRPr="007B2F69" w:rsidRDefault="009F7924" w:rsidP="007419C7">
            <w:pPr>
              <w:spacing w:line="276" w:lineRule="auto"/>
              <w:jc w:val="both"/>
              <w:rPr>
                <w:rFonts w:ascii="Arial" w:hAnsi="Arial" w:cs="Arial"/>
                <w:sz w:val="22"/>
                <w:szCs w:val="22"/>
              </w:rPr>
            </w:pPr>
            <w:r w:rsidRPr="007B2F69">
              <w:rPr>
                <w:rFonts w:ascii="Arial" w:hAnsi="Arial" w:cs="Arial"/>
                <w:sz w:val="22"/>
                <w:szCs w:val="22"/>
              </w:rPr>
              <w:t>Při nedostatku domácích kvalitních výzkumníků je schopnost přilákat a zaplatit kvalifikované pracovníky ze zahraničí jedním z předpokladů udržitelnosti vybudovaných nových infrastruktur v oblasti výzkumu a vývoje a rozvoje výzkumné, vývojové a inovační aktivity v podnikatelském sektoru.</w:t>
            </w:r>
          </w:p>
        </w:tc>
      </w:tr>
      <w:tr w:rsidR="009F7924" w:rsidRPr="007B2F69" w14:paraId="52664392" w14:textId="77777777" w:rsidTr="009F7924">
        <w:tc>
          <w:tcPr>
            <w:tcW w:w="2802" w:type="dxa"/>
          </w:tcPr>
          <w:p w14:paraId="48095410"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rPr>
              <w:t>Časová řada:</w:t>
            </w:r>
          </w:p>
        </w:tc>
        <w:tc>
          <w:tcPr>
            <w:tcW w:w="6486" w:type="dxa"/>
          </w:tcPr>
          <w:p w14:paraId="28EACA79" w14:textId="77777777" w:rsidR="009F7924" w:rsidRPr="007B2F69" w:rsidRDefault="009F7924" w:rsidP="007419C7">
            <w:pPr>
              <w:spacing w:line="276" w:lineRule="auto"/>
              <w:jc w:val="both"/>
              <w:rPr>
                <w:rFonts w:ascii="Arial" w:hAnsi="Arial" w:cs="Arial"/>
                <w:sz w:val="22"/>
                <w:szCs w:val="22"/>
              </w:rPr>
            </w:pPr>
            <w:r w:rsidRPr="007B2F69">
              <w:rPr>
                <w:rFonts w:ascii="Arial" w:hAnsi="Arial" w:cs="Arial"/>
                <w:sz w:val="22"/>
              </w:rPr>
              <w:t>Od roku 2015</w:t>
            </w:r>
          </w:p>
        </w:tc>
      </w:tr>
      <w:tr w:rsidR="009F7924" w:rsidRPr="007B2F69" w14:paraId="4842C99E" w14:textId="77777777" w:rsidTr="009F7924">
        <w:tc>
          <w:tcPr>
            <w:tcW w:w="2802" w:type="dxa"/>
          </w:tcPr>
          <w:p w14:paraId="383B1A0C"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rPr>
              <w:t>Frekvence výstupu:</w:t>
            </w:r>
          </w:p>
        </w:tc>
        <w:tc>
          <w:tcPr>
            <w:tcW w:w="6486" w:type="dxa"/>
          </w:tcPr>
          <w:p w14:paraId="4E630850" w14:textId="77777777" w:rsidR="009F7924" w:rsidRPr="007B2F69" w:rsidRDefault="009F7924" w:rsidP="007419C7">
            <w:pPr>
              <w:spacing w:line="276" w:lineRule="auto"/>
              <w:jc w:val="both"/>
              <w:rPr>
                <w:rFonts w:ascii="Arial" w:hAnsi="Arial" w:cs="Arial"/>
                <w:sz w:val="22"/>
                <w:szCs w:val="22"/>
              </w:rPr>
            </w:pPr>
            <w:r w:rsidRPr="007B2F69">
              <w:rPr>
                <w:rFonts w:ascii="Arial" w:hAnsi="Arial" w:cs="Arial"/>
                <w:sz w:val="22"/>
              </w:rPr>
              <w:t xml:space="preserve">Ročně podle údajů z šetření VTR 5-01 za vládní a vysokoškolský sektor a jednou za pět let za sektor podnikatelský </w:t>
            </w:r>
          </w:p>
        </w:tc>
      </w:tr>
      <w:tr w:rsidR="009F7924" w:rsidRPr="007B2F69" w14:paraId="68A53B1B" w14:textId="77777777" w:rsidTr="009F7924">
        <w:trPr>
          <w:trHeight w:val="70"/>
        </w:trPr>
        <w:tc>
          <w:tcPr>
            <w:tcW w:w="2802" w:type="dxa"/>
          </w:tcPr>
          <w:p w14:paraId="453D8319"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rPr>
              <w:t>Členění indikátoru:</w:t>
            </w:r>
          </w:p>
        </w:tc>
        <w:tc>
          <w:tcPr>
            <w:tcW w:w="6486" w:type="dxa"/>
          </w:tcPr>
          <w:p w14:paraId="63DB219C" w14:textId="77777777" w:rsidR="009F7924" w:rsidRPr="007B2F69" w:rsidRDefault="009F7924" w:rsidP="007419C7">
            <w:pPr>
              <w:spacing w:line="276" w:lineRule="auto"/>
              <w:jc w:val="both"/>
              <w:rPr>
                <w:rFonts w:ascii="Arial" w:hAnsi="Arial" w:cs="Arial"/>
                <w:sz w:val="22"/>
              </w:rPr>
            </w:pPr>
            <w:r w:rsidRPr="007B2F69">
              <w:rPr>
                <w:rFonts w:ascii="Arial" w:hAnsi="Arial" w:cs="Arial"/>
                <w:sz w:val="22"/>
              </w:rPr>
              <w:t>Podle sektoru a druhu pracoviště provádění výzkumu a vývoje.</w:t>
            </w:r>
          </w:p>
        </w:tc>
      </w:tr>
      <w:tr w:rsidR="009F7924" w:rsidRPr="007B2F69" w14:paraId="4094B75C" w14:textId="77777777" w:rsidTr="009F7924">
        <w:trPr>
          <w:trHeight w:val="70"/>
        </w:trPr>
        <w:tc>
          <w:tcPr>
            <w:tcW w:w="2802" w:type="dxa"/>
          </w:tcPr>
          <w:p w14:paraId="25D9680E"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rPr>
              <w:t>Mezinárodní srovnání:</w:t>
            </w:r>
          </w:p>
        </w:tc>
        <w:tc>
          <w:tcPr>
            <w:tcW w:w="6486" w:type="dxa"/>
          </w:tcPr>
          <w:p w14:paraId="780DB2E3" w14:textId="1DA5BEBB" w:rsidR="009F7924" w:rsidRPr="007B2F69" w:rsidRDefault="009F7924" w:rsidP="007419C7">
            <w:pPr>
              <w:spacing w:line="276" w:lineRule="auto"/>
              <w:rPr>
                <w:rFonts w:ascii="Arial" w:hAnsi="Arial" w:cs="Arial"/>
                <w:sz w:val="22"/>
                <w:szCs w:val="22"/>
              </w:rPr>
            </w:pPr>
            <w:r w:rsidRPr="007B2F69">
              <w:rPr>
                <w:rFonts w:ascii="Arial" w:hAnsi="Arial" w:cs="Arial"/>
                <w:sz w:val="22"/>
              </w:rPr>
              <w:t>-</w:t>
            </w:r>
          </w:p>
        </w:tc>
      </w:tr>
    </w:tbl>
    <w:p w14:paraId="67B0E99D" w14:textId="77777777" w:rsidR="009F7924" w:rsidRDefault="009F7924" w:rsidP="009F7924">
      <w:pPr>
        <w:pStyle w:val="r2030cle"/>
        <w:numPr>
          <w:ilvl w:val="0"/>
          <w:numId w:val="0"/>
        </w:numPr>
        <w:spacing w:after="0"/>
      </w:pPr>
    </w:p>
    <w:tbl>
      <w:tblPr>
        <w:tblStyle w:val="Mkatabulky"/>
        <w:tblW w:w="0" w:type="auto"/>
        <w:tblLook w:val="04A0" w:firstRow="1" w:lastRow="0" w:firstColumn="1" w:lastColumn="0" w:noHBand="0" w:noVBand="1"/>
      </w:tblPr>
      <w:tblGrid>
        <w:gridCol w:w="2802"/>
        <w:gridCol w:w="6486"/>
      </w:tblGrid>
      <w:tr w:rsidR="009F7924" w:rsidRPr="007B2F69" w14:paraId="0C43F471" w14:textId="77777777" w:rsidTr="009F7924">
        <w:tc>
          <w:tcPr>
            <w:tcW w:w="2802" w:type="dxa"/>
          </w:tcPr>
          <w:p w14:paraId="5F86BC41"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szCs w:val="22"/>
              </w:rPr>
              <w:t>Název a označení indikátoru:</w:t>
            </w:r>
          </w:p>
        </w:tc>
        <w:tc>
          <w:tcPr>
            <w:tcW w:w="6486" w:type="dxa"/>
          </w:tcPr>
          <w:p w14:paraId="4EF0F06A" w14:textId="77777777" w:rsidR="009F7924" w:rsidRPr="007B2F69" w:rsidRDefault="009F7924" w:rsidP="009F7924">
            <w:pPr>
              <w:spacing w:line="276" w:lineRule="auto"/>
              <w:rPr>
                <w:rFonts w:ascii="Arial" w:hAnsi="Arial" w:cs="Arial"/>
                <w:b/>
                <w:sz w:val="22"/>
                <w:szCs w:val="22"/>
              </w:rPr>
            </w:pPr>
            <w:r w:rsidRPr="007B2F69">
              <w:rPr>
                <w:rFonts w:ascii="Arial" w:eastAsia="Arial" w:hAnsi="Arial" w:cs="Arial"/>
                <w:b/>
                <w:sz w:val="22"/>
                <w:szCs w:val="22"/>
              </w:rPr>
              <w:t>8.1.5 Specialisté v oblasti vědy a techniky</w:t>
            </w:r>
          </w:p>
        </w:tc>
      </w:tr>
      <w:tr w:rsidR="009F7924" w:rsidRPr="007B2F69" w14:paraId="4E41491A" w14:textId="77777777" w:rsidTr="009F7924">
        <w:tc>
          <w:tcPr>
            <w:tcW w:w="2802" w:type="dxa"/>
          </w:tcPr>
          <w:p w14:paraId="2605560A"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rPr>
              <w:t>Stručná definice:</w:t>
            </w:r>
          </w:p>
        </w:tc>
        <w:tc>
          <w:tcPr>
            <w:tcW w:w="6486" w:type="dxa"/>
          </w:tcPr>
          <w:p w14:paraId="35C27FF2" w14:textId="77777777" w:rsidR="009F7924" w:rsidRPr="007B2F69" w:rsidRDefault="009F7924" w:rsidP="007419C7">
            <w:pPr>
              <w:spacing w:line="276" w:lineRule="auto"/>
              <w:jc w:val="both"/>
              <w:rPr>
                <w:rFonts w:ascii="Arial" w:hAnsi="Arial" w:cs="Arial"/>
                <w:sz w:val="22"/>
              </w:rPr>
            </w:pPr>
            <w:r w:rsidRPr="007B2F69">
              <w:rPr>
                <w:rFonts w:ascii="Arial" w:hAnsi="Arial" w:cs="Arial"/>
                <w:sz w:val="22"/>
              </w:rPr>
              <w:t>Specialisté ve vědě a technice představují úzkou skupinu odborníků zaměstnaných jako specialisté ve vědeckých a technických zaměstnáních. Tyto osoby v rámci své pracovní činnosti provádějí výzkum, zdokonalují a vyvíjejí nové koncepty, teorie a provozní metody a využívají vědecké poznatky v oblasti fyziky, astronomie, meteorologie, chemie, geofyziky, geologie, biologie, ekologie, farmakologie, medicíny, matematiky, statistiky, architektury, strojírenství, designu a technologie.</w:t>
            </w:r>
          </w:p>
          <w:p w14:paraId="01B3373E" w14:textId="77777777" w:rsidR="009F7924" w:rsidRPr="007B2F69" w:rsidRDefault="009F7924" w:rsidP="007419C7">
            <w:pPr>
              <w:spacing w:line="276" w:lineRule="auto"/>
              <w:jc w:val="both"/>
              <w:rPr>
                <w:rFonts w:ascii="Arial" w:hAnsi="Arial" w:cs="Arial"/>
                <w:sz w:val="22"/>
              </w:rPr>
            </w:pPr>
            <w:r w:rsidRPr="007B2F69">
              <w:rPr>
                <w:rFonts w:ascii="Arial" w:hAnsi="Arial" w:cs="Arial"/>
                <w:sz w:val="22"/>
              </w:rPr>
              <w:t>Specialisté ve vědě a technice jsou vymezeni na základě Klasifikace zaměstnání (CZ-ISCO: 21) následovně:</w:t>
            </w:r>
          </w:p>
          <w:p w14:paraId="535AEE35" w14:textId="77777777" w:rsidR="009F7924" w:rsidRPr="007B2F69" w:rsidRDefault="009F7924" w:rsidP="007419C7">
            <w:pPr>
              <w:spacing w:line="276" w:lineRule="auto"/>
              <w:jc w:val="both"/>
              <w:rPr>
                <w:rFonts w:ascii="Arial" w:hAnsi="Arial" w:cs="Arial"/>
                <w:sz w:val="22"/>
              </w:rPr>
            </w:pPr>
            <w:r w:rsidRPr="007B2F69">
              <w:rPr>
                <w:rFonts w:ascii="Arial" w:hAnsi="Arial" w:cs="Arial"/>
                <w:sz w:val="22"/>
              </w:rPr>
              <w:t>211 Specialisté v oblasti fyziky, chemie a v příbuzných oborech (přírodních věd);</w:t>
            </w:r>
          </w:p>
          <w:p w14:paraId="6271594C" w14:textId="77777777" w:rsidR="009F7924" w:rsidRPr="007B2F69" w:rsidRDefault="009F7924" w:rsidP="007419C7">
            <w:pPr>
              <w:spacing w:line="276" w:lineRule="auto"/>
              <w:jc w:val="both"/>
              <w:rPr>
                <w:rFonts w:ascii="Arial" w:hAnsi="Arial" w:cs="Arial"/>
                <w:sz w:val="22"/>
              </w:rPr>
            </w:pPr>
            <w:r w:rsidRPr="007B2F69">
              <w:rPr>
                <w:rFonts w:ascii="Arial" w:hAnsi="Arial" w:cs="Arial"/>
                <w:sz w:val="22"/>
              </w:rPr>
              <w:t>212 Specialisté v oblasti matematiky, statistiky a pojistné matematiky;</w:t>
            </w:r>
          </w:p>
          <w:p w14:paraId="317B949F" w14:textId="77777777" w:rsidR="009F7924" w:rsidRPr="007B2F69" w:rsidRDefault="009F7924" w:rsidP="007419C7">
            <w:pPr>
              <w:spacing w:line="276" w:lineRule="auto"/>
              <w:jc w:val="both"/>
              <w:rPr>
                <w:rFonts w:ascii="Arial" w:hAnsi="Arial" w:cs="Arial"/>
                <w:sz w:val="22"/>
              </w:rPr>
            </w:pPr>
            <w:r w:rsidRPr="007B2F69">
              <w:rPr>
                <w:rFonts w:ascii="Arial" w:hAnsi="Arial" w:cs="Arial"/>
                <w:sz w:val="22"/>
              </w:rPr>
              <w:t>213 Specialisté v biologických a příbuzných oborech;</w:t>
            </w:r>
          </w:p>
          <w:p w14:paraId="6D0173B2" w14:textId="77777777" w:rsidR="009F7924" w:rsidRPr="007B2F69" w:rsidRDefault="009F7924" w:rsidP="007419C7">
            <w:pPr>
              <w:spacing w:line="276" w:lineRule="auto"/>
              <w:jc w:val="both"/>
              <w:rPr>
                <w:rFonts w:ascii="Arial" w:hAnsi="Arial" w:cs="Arial"/>
                <w:sz w:val="22"/>
              </w:rPr>
            </w:pPr>
            <w:r w:rsidRPr="007B2F69">
              <w:rPr>
                <w:rFonts w:ascii="Arial" w:hAnsi="Arial" w:cs="Arial"/>
                <w:sz w:val="22"/>
              </w:rPr>
              <w:t>214 Specialisté ve výrobě, stavebnictví a příbuzných oborech;</w:t>
            </w:r>
          </w:p>
          <w:p w14:paraId="6BC06EFE" w14:textId="77777777" w:rsidR="009F7924" w:rsidRPr="007B2F69" w:rsidRDefault="009F7924" w:rsidP="007419C7">
            <w:pPr>
              <w:spacing w:line="276" w:lineRule="auto"/>
              <w:jc w:val="both"/>
              <w:rPr>
                <w:rFonts w:ascii="Arial" w:hAnsi="Arial" w:cs="Arial"/>
                <w:sz w:val="22"/>
              </w:rPr>
            </w:pPr>
            <w:r w:rsidRPr="007B2F69">
              <w:rPr>
                <w:rFonts w:ascii="Arial" w:hAnsi="Arial" w:cs="Arial"/>
                <w:sz w:val="22"/>
              </w:rPr>
              <w:t>215 Specialisté v oblasti elektrotechniky, elektroniky a elektronických komunikací;</w:t>
            </w:r>
          </w:p>
          <w:p w14:paraId="506F05E0" w14:textId="77777777" w:rsidR="009F7924" w:rsidRPr="007B2F69" w:rsidRDefault="009F7924" w:rsidP="007419C7">
            <w:pPr>
              <w:spacing w:line="276" w:lineRule="auto"/>
              <w:jc w:val="both"/>
              <w:rPr>
                <w:rFonts w:ascii="Arial" w:hAnsi="Arial" w:cs="Arial"/>
                <w:sz w:val="22"/>
              </w:rPr>
            </w:pPr>
            <w:r w:rsidRPr="007B2F69">
              <w:rPr>
                <w:rFonts w:ascii="Arial" w:hAnsi="Arial" w:cs="Arial"/>
                <w:sz w:val="22"/>
              </w:rPr>
              <w:t>216 Architekti, specialisté v oblasti územního plánování, návrháři a příbuzní pracovníci.</w:t>
            </w:r>
          </w:p>
        </w:tc>
      </w:tr>
      <w:tr w:rsidR="009F7924" w:rsidRPr="007B2F69" w14:paraId="4119438D" w14:textId="77777777" w:rsidTr="009F7924">
        <w:tc>
          <w:tcPr>
            <w:tcW w:w="2802" w:type="dxa"/>
          </w:tcPr>
          <w:p w14:paraId="399E4569"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rPr>
              <w:t>Jednotka:</w:t>
            </w:r>
          </w:p>
        </w:tc>
        <w:tc>
          <w:tcPr>
            <w:tcW w:w="6486" w:type="dxa"/>
          </w:tcPr>
          <w:p w14:paraId="07D99441" w14:textId="77777777" w:rsidR="009F7924" w:rsidRPr="007B2F69" w:rsidRDefault="009F7924" w:rsidP="007419C7">
            <w:pPr>
              <w:spacing w:line="276" w:lineRule="auto"/>
              <w:jc w:val="both"/>
              <w:rPr>
                <w:rFonts w:ascii="Arial" w:hAnsi="Arial" w:cs="Arial"/>
                <w:sz w:val="22"/>
              </w:rPr>
            </w:pPr>
            <w:r w:rsidRPr="007B2F69">
              <w:rPr>
                <w:rFonts w:ascii="Arial" w:hAnsi="Arial" w:cs="Arial"/>
                <w:sz w:val="22"/>
              </w:rPr>
              <w:t xml:space="preserve">Fyzické osoby (průměrné údaje příslušného roku); podíl na </w:t>
            </w:r>
            <w:r w:rsidRPr="007B2F69">
              <w:rPr>
                <w:rFonts w:ascii="Arial" w:hAnsi="Arial" w:cs="Arial"/>
                <w:sz w:val="22"/>
              </w:rPr>
              <w:lastRenderedPageBreak/>
              <w:t>celkovém počtu zaměstnaných osob a podíl na celkovém počtu Specialistů (CZ-ISCO: 2); průměrná hrubá měsíční mzda a medián</w:t>
            </w:r>
            <w:r>
              <w:rPr>
                <w:rFonts w:ascii="Arial" w:hAnsi="Arial" w:cs="Arial"/>
                <w:sz w:val="22"/>
              </w:rPr>
              <w:t xml:space="preserve"> mzdy</w:t>
            </w:r>
            <w:r w:rsidRPr="007B2F69">
              <w:rPr>
                <w:rFonts w:ascii="Arial" w:hAnsi="Arial" w:cs="Arial"/>
                <w:sz w:val="22"/>
              </w:rPr>
              <w:t xml:space="preserve"> těchto specialistů  </w:t>
            </w:r>
          </w:p>
        </w:tc>
      </w:tr>
      <w:tr w:rsidR="009F7924" w:rsidRPr="007B2F69" w14:paraId="1FA2B430" w14:textId="77777777" w:rsidTr="009F7924">
        <w:tc>
          <w:tcPr>
            <w:tcW w:w="2802" w:type="dxa"/>
          </w:tcPr>
          <w:p w14:paraId="01414C12"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rPr>
              <w:lastRenderedPageBreak/>
              <w:t>Gestor:</w:t>
            </w:r>
          </w:p>
        </w:tc>
        <w:tc>
          <w:tcPr>
            <w:tcW w:w="6486" w:type="dxa"/>
          </w:tcPr>
          <w:p w14:paraId="41100BD5" w14:textId="77777777" w:rsidR="009F7924" w:rsidRPr="007B2F69" w:rsidRDefault="009F7924" w:rsidP="007419C7">
            <w:pPr>
              <w:spacing w:line="276" w:lineRule="auto"/>
              <w:jc w:val="both"/>
              <w:rPr>
                <w:rFonts w:ascii="Arial" w:hAnsi="Arial" w:cs="Arial"/>
                <w:sz w:val="22"/>
                <w:szCs w:val="22"/>
              </w:rPr>
            </w:pPr>
            <w:r w:rsidRPr="007B2F69">
              <w:rPr>
                <w:rFonts w:ascii="Arial" w:hAnsi="Arial" w:cs="Arial"/>
                <w:sz w:val="22"/>
              </w:rPr>
              <w:t>Český statistický úřad</w:t>
            </w:r>
          </w:p>
        </w:tc>
      </w:tr>
      <w:tr w:rsidR="009F7924" w:rsidRPr="007B2F69" w14:paraId="1E190E93" w14:textId="77777777" w:rsidTr="009F7924">
        <w:tc>
          <w:tcPr>
            <w:tcW w:w="2802" w:type="dxa"/>
          </w:tcPr>
          <w:p w14:paraId="3FE75128"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rPr>
              <w:t>Význam indikátoru:</w:t>
            </w:r>
          </w:p>
        </w:tc>
        <w:tc>
          <w:tcPr>
            <w:tcW w:w="6486" w:type="dxa"/>
          </w:tcPr>
          <w:p w14:paraId="28213C75" w14:textId="77777777" w:rsidR="009F7924" w:rsidRPr="007B2F69" w:rsidRDefault="009F7924" w:rsidP="007419C7">
            <w:pPr>
              <w:spacing w:line="276" w:lineRule="auto"/>
              <w:jc w:val="both"/>
              <w:rPr>
                <w:rFonts w:ascii="Arial" w:hAnsi="Arial" w:cs="Arial"/>
                <w:sz w:val="22"/>
                <w:szCs w:val="22"/>
              </w:rPr>
            </w:pPr>
            <w:r w:rsidRPr="007B2F69">
              <w:rPr>
                <w:rFonts w:ascii="Arial" w:hAnsi="Arial" w:cs="Arial"/>
                <w:sz w:val="22"/>
                <w:szCs w:val="22"/>
              </w:rPr>
              <w:t xml:space="preserve">Vysoce kvalifikovaná lidská síla představuje klíčovou složku výzkumné, vývojové i inovační kapacity jak na úrovni firem, tak celé ekonomiky. </w:t>
            </w:r>
            <w:r w:rsidRPr="007B2F69">
              <w:rPr>
                <w:rFonts w:ascii="Arial" w:hAnsi="Arial" w:cs="Arial"/>
                <w:sz w:val="22"/>
              </w:rPr>
              <w:t>Specialisté v oblasti vědy a techniky ať už z</w:t>
            </w:r>
            <w:r>
              <w:rPr>
                <w:rFonts w:ascii="Arial" w:hAnsi="Arial" w:cs="Arial"/>
                <w:sz w:val="22"/>
              </w:rPr>
              <w:t> </w:t>
            </w:r>
            <w:r w:rsidRPr="007B2F69">
              <w:rPr>
                <w:rFonts w:ascii="Arial" w:hAnsi="Arial" w:cs="Arial"/>
                <w:sz w:val="22"/>
              </w:rPr>
              <w:t>akademické sféry, z</w:t>
            </w:r>
            <w:r>
              <w:rPr>
                <w:rFonts w:ascii="Arial" w:hAnsi="Arial" w:cs="Arial"/>
                <w:sz w:val="22"/>
              </w:rPr>
              <w:t> </w:t>
            </w:r>
            <w:r w:rsidRPr="007B2F69">
              <w:rPr>
                <w:rFonts w:ascii="Arial" w:hAnsi="Arial" w:cs="Arial"/>
                <w:sz w:val="22"/>
              </w:rPr>
              <w:t>vědeckých pracovišť nebo ze sféry komerční jsou na trhu práce vysoce žádaní a nepostradatelní pro rozvoj české vědy a inovační schopnosti podniků. Na jedné straně se s</w:t>
            </w:r>
            <w:r>
              <w:rPr>
                <w:rFonts w:ascii="Arial" w:hAnsi="Arial" w:cs="Arial"/>
                <w:sz w:val="22"/>
              </w:rPr>
              <w:t> </w:t>
            </w:r>
            <w:r w:rsidRPr="007B2F69">
              <w:rPr>
                <w:rFonts w:ascii="Arial" w:hAnsi="Arial" w:cs="Arial"/>
                <w:sz w:val="22"/>
              </w:rPr>
              <w:t xml:space="preserve">rostoucím významem technologicky a znalostně náročných odvětví zvyšuje poptávka po vysoce kvalifikovaných pracovnících, na druhé straně hrozí riziko slábnutí nabídky těchto kvalifikovaných lidských zdrojů. Ilustrací tohoto vývoje může být například věková struktura Specialistů v oblasti vědy a techniky. </w:t>
            </w:r>
          </w:p>
        </w:tc>
      </w:tr>
      <w:tr w:rsidR="009F7924" w:rsidRPr="007B2F69" w14:paraId="75030D58" w14:textId="77777777" w:rsidTr="009F7924">
        <w:tc>
          <w:tcPr>
            <w:tcW w:w="2802" w:type="dxa"/>
          </w:tcPr>
          <w:p w14:paraId="4250EE7A"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rPr>
              <w:t>Časová řada:</w:t>
            </w:r>
          </w:p>
        </w:tc>
        <w:tc>
          <w:tcPr>
            <w:tcW w:w="6486" w:type="dxa"/>
          </w:tcPr>
          <w:p w14:paraId="35D98654" w14:textId="77777777" w:rsidR="009F7924" w:rsidRPr="007B2F69" w:rsidRDefault="009F7924" w:rsidP="007419C7">
            <w:pPr>
              <w:spacing w:line="276" w:lineRule="auto"/>
              <w:jc w:val="both"/>
              <w:rPr>
                <w:rFonts w:ascii="Arial" w:hAnsi="Arial" w:cs="Arial"/>
                <w:sz w:val="22"/>
                <w:szCs w:val="22"/>
              </w:rPr>
            </w:pPr>
            <w:r w:rsidRPr="007B2F69">
              <w:rPr>
                <w:rFonts w:ascii="Arial" w:hAnsi="Arial" w:cs="Arial"/>
                <w:sz w:val="22"/>
              </w:rPr>
              <w:t>Od roku 2011</w:t>
            </w:r>
          </w:p>
        </w:tc>
      </w:tr>
      <w:tr w:rsidR="009F7924" w:rsidRPr="007B2F69" w14:paraId="6B4CAD38" w14:textId="77777777" w:rsidTr="009F7924">
        <w:tc>
          <w:tcPr>
            <w:tcW w:w="2802" w:type="dxa"/>
          </w:tcPr>
          <w:p w14:paraId="1123D817"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rPr>
              <w:t>Frekvence výstupu:</w:t>
            </w:r>
          </w:p>
        </w:tc>
        <w:tc>
          <w:tcPr>
            <w:tcW w:w="6486" w:type="dxa"/>
          </w:tcPr>
          <w:p w14:paraId="2725AC38" w14:textId="77777777" w:rsidR="009F7924" w:rsidRPr="007B2F69" w:rsidRDefault="009F7924" w:rsidP="007419C7">
            <w:pPr>
              <w:spacing w:line="276" w:lineRule="auto"/>
              <w:jc w:val="both"/>
              <w:rPr>
                <w:rFonts w:ascii="Arial" w:hAnsi="Arial" w:cs="Arial"/>
                <w:sz w:val="22"/>
                <w:szCs w:val="22"/>
              </w:rPr>
            </w:pPr>
            <w:r w:rsidRPr="007B2F69">
              <w:rPr>
                <w:rFonts w:ascii="Arial" w:hAnsi="Arial" w:cs="Arial"/>
                <w:sz w:val="22"/>
              </w:rPr>
              <w:t>Ročně podle údajů z VŠPS a</w:t>
            </w:r>
            <w:r>
              <w:rPr>
                <w:rFonts w:ascii="Arial" w:hAnsi="Arial" w:cs="Arial"/>
                <w:sz w:val="22"/>
              </w:rPr>
              <w:t xml:space="preserve"> Strukturální mzdové statistiky</w:t>
            </w:r>
          </w:p>
        </w:tc>
      </w:tr>
      <w:tr w:rsidR="009F7924" w:rsidRPr="007B2F69" w14:paraId="4E4F4362" w14:textId="77777777" w:rsidTr="009F7924">
        <w:trPr>
          <w:trHeight w:val="70"/>
        </w:trPr>
        <w:tc>
          <w:tcPr>
            <w:tcW w:w="2802" w:type="dxa"/>
          </w:tcPr>
          <w:p w14:paraId="779E251E"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rPr>
              <w:t>Členění indikátoru:</w:t>
            </w:r>
          </w:p>
        </w:tc>
        <w:tc>
          <w:tcPr>
            <w:tcW w:w="6486" w:type="dxa"/>
          </w:tcPr>
          <w:p w14:paraId="0902DFC5" w14:textId="77777777" w:rsidR="009F7924" w:rsidRPr="007B2F69" w:rsidRDefault="009F7924" w:rsidP="007419C7">
            <w:pPr>
              <w:spacing w:line="276" w:lineRule="auto"/>
              <w:jc w:val="both"/>
              <w:rPr>
                <w:rFonts w:ascii="Arial" w:hAnsi="Arial" w:cs="Arial"/>
                <w:sz w:val="22"/>
              </w:rPr>
            </w:pPr>
            <w:r w:rsidRPr="007B2F69">
              <w:rPr>
                <w:rFonts w:ascii="Arial" w:hAnsi="Arial" w:cs="Arial"/>
                <w:sz w:val="22"/>
              </w:rPr>
              <w:t>Podle zaměstnání (klasifikace CZ ISCO), pohlaví, věku, dosaženého vzdělání a místa jejich působení.</w:t>
            </w:r>
          </w:p>
        </w:tc>
      </w:tr>
      <w:tr w:rsidR="009F7924" w:rsidRPr="007B2F69" w14:paraId="08E9B3B1" w14:textId="77777777" w:rsidTr="009F7924">
        <w:trPr>
          <w:trHeight w:val="70"/>
        </w:trPr>
        <w:tc>
          <w:tcPr>
            <w:tcW w:w="2802" w:type="dxa"/>
          </w:tcPr>
          <w:p w14:paraId="51D8F6FE"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rPr>
              <w:t>Mezinárodní srovnání:</w:t>
            </w:r>
          </w:p>
        </w:tc>
        <w:tc>
          <w:tcPr>
            <w:tcW w:w="6486" w:type="dxa"/>
          </w:tcPr>
          <w:p w14:paraId="0B8859CD" w14:textId="77777777" w:rsidR="009F7924" w:rsidRPr="007B2F69" w:rsidRDefault="009F7924" w:rsidP="007419C7">
            <w:pPr>
              <w:spacing w:line="276" w:lineRule="auto"/>
              <w:jc w:val="both"/>
              <w:rPr>
                <w:rFonts w:ascii="Arial" w:hAnsi="Arial" w:cs="Arial"/>
                <w:sz w:val="22"/>
              </w:rPr>
            </w:pPr>
            <w:proofErr w:type="spellStart"/>
            <w:r w:rsidRPr="007B2F69">
              <w:rPr>
                <w:rFonts w:ascii="Arial" w:hAnsi="Arial" w:cs="Arial"/>
                <w:sz w:val="22"/>
              </w:rPr>
              <w:t>Eurostat</w:t>
            </w:r>
            <w:proofErr w:type="spellEnd"/>
            <w:r w:rsidRPr="007B2F69">
              <w:rPr>
                <w:rFonts w:ascii="Arial" w:hAnsi="Arial" w:cs="Arial"/>
                <w:sz w:val="22"/>
              </w:rPr>
              <w:t xml:space="preserve"> – pouze za údaje o počtu těchto Specialistů</w:t>
            </w:r>
          </w:p>
        </w:tc>
      </w:tr>
    </w:tbl>
    <w:p w14:paraId="5A7898B2" w14:textId="77777777" w:rsidR="009F7924" w:rsidRDefault="009F7924" w:rsidP="009F7924">
      <w:pPr>
        <w:pStyle w:val="r2030cle"/>
        <w:numPr>
          <w:ilvl w:val="0"/>
          <w:numId w:val="0"/>
        </w:numPr>
        <w:spacing w:after="0"/>
      </w:pPr>
    </w:p>
    <w:tbl>
      <w:tblPr>
        <w:tblStyle w:val="Mkatabulky"/>
        <w:tblW w:w="0" w:type="auto"/>
        <w:tblLook w:val="04A0" w:firstRow="1" w:lastRow="0" w:firstColumn="1" w:lastColumn="0" w:noHBand="0" w:noVBand="1"/>
      </w:tblPr>
      <w:tblGrid>
        <w:gridCol w:w="2802"/>
        <w:gridCol w:w="6486"/>
      </w:tblGrid>
      <w:tr w:rsidR="009F7924" w:rsidRPr="007B2F69" w14:paraId="0E1E7995" w14:textId="77777777" w:rsidTr="009F7924">
        <w:tc>
          <w:tcPr>
            <w:tcW w:w="2802" w:type="dxa"/>
          </w:tcPr>
          <w:p w14:paraId="3B181C75"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szCs w:val="22"/>
              </w:rPr>
              <w:t>Název a označení indikátoru:</w:t>
            </w:r>
          </w:p>
        </w:tc>
        <w:tc>
          <w:tcPr>
            <w:tcW w:w="6486" w:type="dxa"/>
          </w:tcPr>
          <w:p w14:paraId="27088D39" w14:textId="77777777" w:rsidR="009F7924" w:rsidRPr="007B2F69" w:rsidRDefault="009F7924" w:rsidP="009F7924">
            <w:pPr>
              <w:spacing w:line="276" w:lineRule="auto"/>
              <w:rPr>
                <w:rFonts w:ascii="Arial" w:hAnsi="Arial" w:cs="Arial"/>
                <w:b/>
                <w:sz w:val="22"/>
                <w:szCs w:val="22"/>
              </w:rPr>
            </w:pPr>
            <w:r w:rsidRPr="007B2F69">
              <w:rPr>
                <w:rFonts w:ascii="Arial" w:eastAsia="Arial" w:hAnsi="Arial" w:cs="Arial"/>
                <w:b/>
                <w:sz w:val="22"/>
                <w:szCs w:val="22"/>
              </w:rPr>
              <w:t>8.1.6 Studenti a absolventi přírodovědných a technických oborů vzdělání na vysokých školách</w:t>
            </w:r>
          </w:p>
        </w:tc>
      </w:tr>
      <w:tr w:rsidR="009F7924" w:rsidRPr="007B2F69" w14:paraId="43294E02" w14:textId="77777777" w:rsidTr="009F7924">
        <w:tc>
          <w:tcPr>
            <w:tcW w:w="2802" w:type="dxa"/>
          </w:tcPr>
          <w:p w14:paraId="422B139C"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rPr>
              <w:t>Stručná definice:</w:t>
            </w:r>
          </w:p>
        </w:tc>
        <w:tc>
          <w:tcPr>
            <w:tcW w:w="6486" w:type="dxa"/>
          </w:tcPr>
          <w:p w14:paraId="099C1048" w14:textId="77777777" w:rsidR="009F7924" w:rsidRPr="007B2F69" w:rsidRDefault="009F7924" w:rsidP="007419C7">
            <w:pPr>
              <w:spacing w:line="276" w:lineRule="auto"/>
              <w:jc w:val="both"/>
              <w:rPr>
                <w:rFonts w:ascii="Arial" w:hAnsi="Arial" w:cs="Arial"/>
                <w:sz w:val="22"/>
              </w:rPr>
            </w:pPr>
            <w:r w:rsidRPr="007B2F69">
              <w:rPr>
                <w:rFonts w:ascii="Arial" w:hAnsi="Arial" w:cs="Arial"/>
                <w:sz w:val="22"/>
              </w:rPr>
              <w:t>Přírodovědné a technické obory vzdělání jsou vymezeny na základě Mezinárodní klasifikace vzdělávání ISCED-F 2013. Přírodovědné obory odpovídají třídě 05 (Přírodní vědy, matematika a statistika). Technické obory odpovídají třídě 07 (tec</w:t>
            </w:r>
            <w:r>
              <w:rPr>
                <w:rFonts w:ascii="Arial" w:hAnsi="Arial" w:cs="Arial"/>
                <w:sz w:val="22"/>
              </w:rPr>
              <w:t>hnika, výroba a stavebnictví).</w:t>
            </w:r>
          </w:p>
        </w:tc>
      </w:tr>
      <w:tr w:rsidR="009F7924" w:rsidRPr="007B2F69" w14:paraId="0FA5E0C8" w14:textId="77777777" w:rsidTr="009F7924">
        <w:tc>
          <w:tcPr>
            <w:tcW w:w="2802" w:type="dxa"/>
          </w:tcPr>
          <w:p w14:paraId="22A270E1"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rPr>
              <w:t>Jednotka:</w:t>
            </w:r>
          </w:p>
        </w:tc>
        <w:tc>
          <w:tcPr>
            <w:tcW w:w="6486" w:type="dxa"/>
          </w:tcPr>
          <w:p w14:paraId="4CD12C86" w14:textId="77777777" w:rsidR="009F7924" w:rsidRPr="007B2F69" w:rsidRDefault="009F7924" w:rsidP="007419C7">
            <w:pPr>
              <w:spacing w:line="276" w:lineRule="auto"/>
              <w:jc w:val="both"/>
              <w:rPr>
                <w:rFonts w:ascii="Arial" w:hAnsi="Arial" w:cs="Arial"/>
                <w:sz w:val="22"/>
              </w:rPr>
            </w:pPr>
            <w:r w:rsidRPr="007B2F69">
              <w:rPr>
                <w:rFonts w:ascii="Arial" w:hAnsi="Arial" w:cs="Arial"/>
                <w:sz w:val="22"/>
              </w:rPr>
              <w:t>Fyzické osoby; podíl na celkovém počtu studentů/absolventů vysokých škol daného stupně vzdělávání; podíl na celkové populaci ve věku 20 až 29 let</w:t>
            </w:r>
          </w:p>
        </w:tc>
      </w:tr>
      <w:tr w:rsidR="009F7924" w:rsidRPr="007B2F69" w14:paraId="1E80FDD7" w14:textId="77777777" w:rsidTr="009F7924">
        <w:tc>
          <w:tcPr>
            <w:tcW w:w="2802" w:type="dxa"/>
          </w:tcPr>
          <w:p w14:paraId="69AD12CC"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rPr>
              <w:t>Gestor:</w:t>
            </w:r>
          </w:p>
        </w:tc>
        <w:tc>
          <w:tcPr>
            <w:tcW w:w="6486" w:type="dxa"/>
          </w:tcPr>
          <w:p w14:paraId="2FB71A84" w14:textId="3EC4D8B8" w:rsidR="009F7924" w:rsidRPr="007B2F69" w:rsidRDefault="009F7924" w:rsidP="007419C7">
            <w:pPr>
              <w:spacing w:line="276" w:lineRule="auto"/>
              <w:jc w:val="both"/>
              <w:rPr>
                <w:rFonts w:ascii="Arial" w:hAnsi="Arial" w:cs="Arial"/>
                <w:sz w:val="22"/>
                <w:szCs w:val="22"/>
              </w:rPr>
            </w:pPr>
            <w:r w:rsidRPr="007B2F69">
              <w:rPr>
                <w:rFonts w:ascii="Arial" w:hAnsi="Arial" w:cs="Arial"/>
                <w:sz w:val="22"/>
              </w:rPr>
              <w:t xml:space="preserve">Český statistický úřad podle údajů </w:t>
            </w:r>
            <w:r w:rsidR="00D12CBB">
              <w:rPr>
                <w:rFonts w:ascii="Arial" w:hAnsi="Arial" w:cs="Arial"/>
                <w:sz w:val="22"/>
              </w:rPr>
              <w:t>Ministerstva školství, mládeže a tělovýchovy</w:t>
            </w:r>
          </w:p>
        </w:tc>
      </w:tr>
      <w:tr w:rsidR="009F7924" w:rsidRPr="007B2F69" w14:paraId="54226B27" w14:textId="77777777" w:rsidTr="009F7924">
        <w:tc>
          <w:tcPr>
            <w:tcW w:w="2802" w:type="dxa"/>
          </w:tcPr>
          <w:p w14:paraId="5596EA4F"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rPr>
              <w:t>Význam indikátoru:</w:t>
            </w:r>
          </w:p>
        </w:tc>
        <w:tc>
          <w:tcPr>
            <w:tcW w:w="6486" w:type="dxa"/>
          </w:tcPr>
          <w:p w14:paraId="19A7C44D" w14:textId="77777777" w:rsidR="009F7924" w:rsidRPr="007B2F69" w:rsidRDefault="009F7924" w:rsidP="007419C7">
            <w:pPr>
              <w:spacing w:line="276" w:lineRule="auto"/>
              <w:jc w:val="both"/>
              <w:rPr>
                <w:rFonts w:ascii="Arial" w:hAnsi="Arial" w:cs="Arial"/>
                <w:sz w:val="22"/>
                <w:szCs w:val="22"/>
              </w:rPr>
            </w:pPr>
            <w:r w:rsidRPr="007B2F69">
              <w:rPr>
                <w:rFonts w:ascii="Arial" w:hAnsi="Arial" w:cs="Arial"/>
                <w:sz w:val="22"/>
                <w:szCs w:val="22"/>
              </w:rPr>
              <w:t>Zabezpečení adekvátní základny lidskýc</w:t>
            </w:r>
            <w:r>
              <w:rPr>
                <w:rFonts w:ascii="Arial" w:hAnsi="Arial" w:cs="Arial"/>
                <w:sz w:val="22"/>
                <w:szCs w:val="22"/>
              </w:rPr>
              <w:t>h zdrojů pro činnosti spojené s </w:t>
            </w:r>
            <w:r w:rsidRPr="007B2F69">
              <w:rPr>
                <w:rFonts w:ascii="Arial" w:hAnsi="Arial" w:cs="Arial"/>
                <w:sz w:val="22"/>
                <w:szCs w:val="22"/>
              </w:rPr>
              <w:t xml:space="preserve">výzkumem, vývojem a inovacemi se odvíjí nejen od situace na pracovním trhu, ale také závisí na trendech ve vzdělávání (obzvláště na terciárním stupni). Nezbytným předpokladem pro udržení </w:t>
            </w:r>
            <w:proofErr w:type="spellStart"/>
            <w:r w:rsidRPr="007B2F69">
              <w:rPr>
                <w:rFonts w:ascii="Arial" w:hAnsi="Arial" w:cs="Arial"/>
                <w:sz w:val="22"/>
                <w:szCs w:val="22"/>
              </w:rPr>
              <w:t>existujícíh</w:t>
            </w:r>
            <w:proofErr w:type="spellEnd"/>
            <w:r w:rsidRPr="007B2F69">
              <w:rPr>
                <w:rFonts w:ascii="Arial" w:hAnsi="Arial" w:cs="Arial"/>
                <w:sz w:val="22"/>
                <w:szCs w:val="22"/>
              </w:rPr>
              <w:t xml:space="preserve"> a nově vybudovaných výzkumných a vývojových kapacit, stejně tak pro rozvoj inovační kapacity firem, je potřeba zajistit dostatečnou nabídku nových vysoce kvalifikovaných lidských zdrojů. Za typické aspiranty vědecko-technických profesí lze považovat vysokoškolské studenty přírodovědných a technických oborů vzdělávání. </w:t>
            </w:r>
          </w:p>
        </w:tc>
      </w:tr>
      <w:tr w:rsidR="009F7924" w:rsidRPr="007B2F69" w14:paraId="3439F9D1" w14:textId="77777777" w:rsidTr="009F7924">
        <w:tc>
          <w:tcPr>
            <w:tcW w:w="2802" w:type="dxa"/>
          </w:tcPr>
          <w:p w14:paraId="4775A550"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rPr>
              <w:t>Časová řada:</w:t>
            </w:r>
          </w:p>
        </w:tc>
        <w:tc>
          <w:tcPr>
            <w:tcW w:w="6486" w:type="dxa"/>
          </w:tcPr>
          <w:p w14:paraId="0753C85B" w14:textId="77777777" w:rsidR="009F7924" w:rsidRPr="007B2F69" w:rsidRDefault="009F7924" w:rsidP="007419C7">
            <w:pPr>
              <w:spacing w:line="276" w:lineRule="auto"/>
              <w:jc w:val="both"/>
              <w:rPr>
                <w:rFonts w:ascii="Arial" w:hAnsi="Arial" w:cs="Arial"/>
                <w:sz w:val="22"/>
                <w:szCs w:val="22"/>
              </w:rPr>
            </w:pPr>
            <w:r w:rsidRPr="007B2F69">
              <w:rPr>
                <w:rFonts w:ascii="Arial" w:hAnsi="Arial" w:cs="Arial"/>
                <w:sz w:val="22"/>
              </w:rPr>
              <w:t xml:space="preserve">Od roku 2001 </w:t>
            </w:r>
          </w:p>
        </w:tc>
      </w:tr>
      <w:tr w:rsidR="009F7924" w:rsidRPr="007B2F69" w14:paraId="114D7F81" w14:textId="77777777" w:rsidTr="009F7924">
        <w:tc>
          <w:tcPr>
            <w:tcW w:w="2802" w:type="dxa"/>
          </w:tcPr>
          <w:p w14:paraId="2F318797"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rPr>
              <w:lastRenderedPageBreak/>
              <w:t>Frekvence výstupu:</w:t>
            </w:r>
          </w:p>
        </w:tc>
        <w:tc>
          <w:tcPr>
            <w:tcW w:w="6486" w:type="dxa"/>
          </w:tcPr>
          <w:p w14:paraId="1A2B7C55" w14:textId="4AC9C25D" w:rsidR="009F7924" w:rsidRPr="007B2F69" w:rsidRDefault="009F7924" w:rsidP="007419C7">
            <w:pPr>
              <w:spacing w:line="276" w:lineRule="auto"/>
              <w:jc w:val="both"/>
              <w:rPr>
                <w:rFonts w:ascii="Arial" w:hAnsi="Arial" w:cs="Arial"/>
                <w:sz w:val="22"/>
                <w:szCs w:val="22"/>
              </w:rPr>
            </w:pPr>
            <w:r w:rsidRPr="007B2F69">
              <w:rPr>
                <w:rFonts w:ascii="Arial" w:hAnsi="Arial" w:cs="Arial"/>
                <w:sz w:val="22"/>
              </w:rPr>
              <w:t xml:space="preserve">Ročně podle údajů ze systému </w:t>
            </w:r>
            <w:r w:rsidR="00A046FB">
              <w:rPr>
                <w:rFonts w:ascii="Arial" w:hAnsi="Arial" w:cs="Arial"/>
                <w:sz w:val="22"/>
              </w:rPr>
              <w:t>SIMS</w:t>
            </w:r>
          </w:p>
        </w:tc>
      </w:tr>
      <w:tr w:rsidR="009F7924" w:rsidRPr="007B2F69" w14:paraId="035DE9E6" w14:textId="77777777" w:rsidTr="009F7924">
        <w:trPr>
          <w:trHeight w:val="70"/>
        </w:trPr>
        <w:tc>
          <w:tcPr>
            <w:tcW w:w="2802" w:type="dxa"/>
          </w:tcPr>
          <w:p w14:paraId="65213B4C"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rPr>
              <w:t>Členění indikátoru:</w:t>
            </w:r>
          </w:p>
        </w:tc>
        <w:tc>
          <w:tcPr>
            <w:tcW w:w="6486" w:type="dxa"/>
          </w:tcPr>
          <w:p w14:paraId="46ECBEBB" w14:textId="77777777" w:rsidR="009F7924" w:rsidRPr="007B2F69" w:rsidRDefault="009F7924" w:rsidP="007419C7">
            <w:pPr>
              <w:spacing w:line="276" w:lineRule="auto"/>
              <w:jc w:val="both"/>
              <w:rPr>
                <w:rFonts w:ascii="Arial" w:hAnsi="Arial" w:cs="Arial"/>
                <w:sz w:val="22"/>
              </w:rPr>
            </w:pPr>
            <w:r w:rsidRPr="007B2F69">
              <w:rPr>
                <w:rFonts w:ascii="Arial" w:hAnsi="Arial" w:cs="Arial"/>
                <w:sz w:val="22"/>
              </w:rPr>
              <w:t>Podle pohlaví, občanství, oboru a stupně vzdělání</w:t>
            </w:r>
          </w:p>
        </w:tc>
      </w:tr>
      <w:tr w:rsidR="009F7924" w:rsidRPr="007B2F69" w14:paraId="221CA39F" w14:textId="77777777" w:rsidTr="009F7924">
        <w:trPr>
          <w:trHeight w:val="70"/>
        </w:trPr>
        <w:tc>
          <w:tcPr>
            <w:tcW w:w="2802" w:type="dxa"/>
          </w:tcPr>
          <w:p w14:paraId="44E2C77D"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rPr>
              <w:t>Mezinárodní srovnání:</w:t>
            </w:r>
          </w:p>
        </w:tc>
        <w:tc>
          <w:tcPr>
            <w:tcW w:w="6486" w:type="dxa"/>
          </w:tcPr>
          <w:p w14:paraId="4B0BE352" w14:textId="77777777" w:rsidR="009F7924" w:rsidRPr="007B2F69" w:rsidRDefault="009F7924" w:rsidP="009F7924">
            <w:pPr>
              <w:spacing w:line="276" w:lineRule="auto"/>
              <w:rPr>
                <w:rFonts w:ascii="Arial" w:hAnsi="Arial" w:cs="Arial"/>
                <w:sz w:val="22"/>
              </w:rPr>
            </w:pPr>
            <w:proofErr w:type="spellStart"/>
            <w:r w:rsidRPr="007B2F69">
              <w:rPr>
                <w:rFonts w:ascii="Arial" w:hAnsi="Arial" w:cs="Arial"/>
                <w:sz w:val="22"/>
              </w:rPr>
              <w:t>Eurostat</w:t>
            </w:r>
            <w:proofErr w:type="spellEnd"/>
          </w:p>
        </w:tc>
      </w:tr>
    </w:tbl>
    <w:p w14:paraId="5DC2B4D4" w14:textId="77777777" w:rsidR="009F7924" w:rsidRDefault="009F7924" w:rsidP="007419C7">
      <w:pPr>
        <w:pStyle w:val="r2030cle"/>
        <w:numPr>
          <w:ilvl w:val="0"/>
          <w:numId w:val="0"/>
        </w:numPr>
        <w:ind w:left="567" w:hanging="425"/>
        <w:rPr>
          <w:b w:val="0"/>
        </w:rPr>
      </w:pPr>
      <w:r w:rsidRPr="00C54BB7">
        <w:rPr>
          <w:b w:val="0"/>
        </w:rPr>
        <w:t>8.2. Roste inovační aktivita podniků, založená zejména na výsledcích domácího výzkumu a vývoje, a rozsah spolupráce mezi akademickou a podnikatelskou sférou.</w:t>
      </w:r>
    </w:p>
    <w:tbl>
      <w:tblPr>
        <w:tblStyle w:val="Mkatabulky"/>
        <w:tblW w:w="0" w:type="auto"/>
        <w:tblLook w:val="04A0" w:firstRow="1" w:lastRow="0" w:firstColumn="1" w:lastColumn="0" w:noHBand="0" w:noVBand="1"/>
      </w:tblPr>
      <w:tblGrid>
        <w:gridCol w:w="2802"/>
        <w:gridCol w:w="6486"/>
      </w:tblGrid>
      <w:tr w:rsidR="009F7924" w:rsidRPr="007B2F69" w14:paraId="0367EAF0" w14:textId="77777777" w:rsidTr="009F7924">
        <w:tc>
          <w:tcPr>
            <w:tcW w:w="2802" w:type="dxa"/>
          </w:tcPr>
          <w:p w14:paraId="496E6AAE"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szCs w:val="22"/>
              </w:rPr>
              <w:t>Název a označení indikátoru:</w:t>
            </w:r>
          </w:p>
        </w:tc>
        <w:tc>
          <w:tcPr>
            <w:tcW w:w="6486" w:type="dxa"/>
          </w:tcPr>
          <w:p w14:paraId="2BFF7CEA" w14:textId="77777777" w:rsidR="009F7924" w:rsidRPr="007B2F69" w:rsidRDefault="009F7924" w:rsidP="009F7924">
            <w:pPr>
              <w:spacing w:line="276" w:lineRule="auto"/>
              <w:rPr>
                <w:rFonts w:ascii="Arial" w:hAnsi="Arial" w:cs="Arial"/>
                <w:b/>
                <w:sz w:val="22"/>
                <w:szCs w:val="22"/>
              </w:rPr>
            </w:pPr>
            <w:r w:rsidRPr="007B2F69">
              <w:rPr>
                <w:rFonts w:ascii="Arial" w:eastAsia="Arial" w:hAnsi="Arial" w:cs="Arial"/>
                <w:b/>
                <w:sz w:val="22"/>
                <w:szCs w:val="22"/>
              </w:rPr>
              <w:t>8.2.1 V</w:t>
            </w:r>
            <w:r w:rsidRPr="007B2F69">
              <w:rPr>
                <w:rFonts w:ascii="Arial" w:hAnsi="Arial" w:cs="Arial"/>
                <w:b/>
                <w:sz w:val="22"/>
              </w:rPr>
              <w:t>ýdaje na výzkum a vývoj v podnikatelském sektoru (BERD)</w:t>
            </w:r>
            <w:r w:rsidRPr="007B2F69" w:rsidDel="008D6016">
              <w:rPr>
                <w:rFonts w:ascii="Arial" w:eastAsia="Arial" w:hAnsi="Arial" w:cs="Arial"/>
                <w:b/>
                <w:sz w:val="22"/>
                <w:szCs w:val="22"/>
              </w:rPr>
              <w:t xml:space="preserve"> </w:t>
            </w:r>
          </w:p>
        </w:tc>
      </w:tr>
      <w:tr w:rsidR="009F7924" w:rsidRPr="007B2F69" w14:paraId="3E406130" w14:textId="77777777" w:rsidTr="009F7924">
        <w:tc>
          <w:tcPr>
            <w:tcW w:w="2802" w:type="dxa"/>
          </w:tcPr>
          <w:p w14:paraId="44ACA911"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szCs w:val="22"/>
              </w:rPr>
              <w:t xml:space="preserve">Stručná definice: </w:t>
            </w:r>
          </w:p>
        </w:tc>
        <w:tc>
          <w:tcPr>
            <w:tcW w:w="6486" w:type="dxa"/>
          </w:tcPr>
          <w:p w14:paraId="2EDECDA3" w14:textId="77777777" w:rsidR="009F7924" w:rsidRPr="007B2F69" w:rsidRDefault="009F7924" w:rsidP="007419C7">
            <w:pPr>
              <w:spacing w:line="276" w:lineRule="auto"/>
              <w:jc w:val="both"/>
              <w:rPr>
                <w:rFonts w:ascii="Arial" w:hAnsi="Arial" w:cs="Arial"/>
                <w:sz w:val="22"/>
                <w:szCs w:val="22"/>
              </w:rPr>
            </w:pPr>
            <w:r w:rsidRPr="007B2F69">
              <w:rPr>
                <w:rFonts w:ascii="Arial" w:hAnsi="Arial" w:cs="Arial"/>
                <w:sz w:val="22"/>
                <w:szCs w:val="22"/>
              </w:rPr>
              <w:t>Celkové výdaje na výzkum a vývoj v podnikatelském sektoru zahrnují veškeré neinvestiční a investiční výdaje vynaložené na výzkum a vývoj provedený v podnikatelském sekto</w:t>
            </w:r>
            <w:r>
              <w:rPr>
                <w:rFonts w:ascii="Arial" w:hAnsi="Arial" w:cs="Arial"/>
                <w:sz w:val="22"/>
                <w:szCs w:val="22"/>
              </w:rPr>
              <w:t>r</w:t>
            </w:r>
            <w:r w:rsidRPr="007B2F69">
              <w:rPr>
                <w:rFonts w:ascii="Arial" w:hAnsi="Arial" w:cs="Arial"/>
                <w:sz w:val="22"/>
                <w:szCs w:val="22"/>
              </w:rPr>
              <w:t xml:space="preserve">u na území daného státu, a to bez ohledu na zdroj jejich financování – pro mezinárodní srovnání se používá pro tento ukazatel zkratka BERD (Business </w:t>
            </w:r>
            <w:proofErr w:type="spellStart"/>
            <w:r w:rsidRPr="007B2F69">
              <w:rPr>
                <w:rFonts w:ascii="Arial" w:hAnsi="Arial" w:cs="Arial"/>
                <w:sz w:val="22"/>
                <w:szCs w:val="22"/>
              </w:rPr>
              <w:t>Enterprise</w:t>
            </w:r>
            <w:proofErr w:type="spellEnd"/>
            <w:r w:rsidRPr="007B2F69">
              <w:rPr>
                <w:rFonts w:ascii="Arial" w:hAnsi="Arial" w:cs="Arial"/>
                <w:sz w:val="22"/>
                <w:szCs w:val="22"/>
              </w:rPr>
              <w:t xml:space="preserve"> </w:t>
            </w:r>
            <w:proofErr w:type="spellStart"/>
            <w:r w:rsidRPr="007B2F69">
              <w:rPr>
                <w:rFonts w:ascii="Arial" w:hAnsi="Arial" w:cs="Arial"/>
                <w:sz w:val="22"/>
                <w:szCs w:val="22"/>
              </w:rPr>
              <w:t>Expenditure</w:t>
            </w:r>
            <w:proofErr w:type="spellEnd"/>
            <w:r w:rsidRPr="007B2F69">
              <w:rPr>
                <w:rFonts w:ascii="Arial" w:hAnsi="Arial" w:cs="Arial"/>
                <w:sz w:val="22"/>
                <w:szCs w:val="22"/>
              </w:rPr>
              <w:t xml:space="preserve"> on R&amp;D). U</w:t>
            </w:r>
            <w:r>
              <w:rPr>
                <w:rFonts w:ascii="Arial" w:hAnsi="Arial" w:cs="Arial"/>
                <w:sz w:val="22"/>
                <w:szCs w:val="22"/>
              </w:rPr>
              <w:t xml:space="preserve">kazatel BERD nezahrnuje výdaje </w:t>
            </w:r>
            <w:r w:rsidRPr="007B2F69">
              <w:rPr>
                <w:rFonts w:ascii="Arial" w:hAnsi="Arial" w:cs="Arial"/>
                <w:sz w:val="22"/>
                <w:szCs w:val="22"/>
              </w:rPr>
              <w:t xml:space="preserve">sledovaných podniků provádějících výzkum a vývoj, které byly vynaloženy za nákup služeb VaV od jiných subjektů a dále prostředky převedené ostatním spoluřešitelům v rámci společného VaV projektu a dotace či příspěvky (finanční transfery) poskytnuté třetím </w:t>
            </w:r>
            <w:r>
              <w:rPr>
                <w:rFonts w:ascii="Arial" w:hAnsi="Arial" w:cs="Arial"/>
                <w:sz w:val="22"/>
                <w:szCs w:val="22"/>
              </w:rPr>
              <w:t>osobám na u nich prováděný VaV.</w:t>
            </w:r>
          </w:p>
          <w:p w14:paraId="3483C599" w14:textId="77777777" w:rsidR="009F7924" w:rsidRPr="007B2F69" w:rsidRDefault="009F7924" w:rsidP="007419C7">
            <w:pPr>
              <w:spacing w:line="276" w:lineRule="auto"/>
              <w:jc w:val="both"/>
              <w:rPr>
                <w:rFonts w:ascii="Arial" w:hAnsi="Arial" w:cs="Arial"/>
                <w:sz w:val="22"/>
                <w:szCs w:val="22"/>
              </w:rPr>
            </w:pPr>
            <w:r w:rsidRPr="007B2F69">
              <w:rPr>
                <w:rFonts w:ascii="Arial" w:hAnsi="Arial" w:cs="Arial"/>
                <w:sz w:val="22"/>
                <w:szCs w:val="22"/>
                <w:u w:val="single"/>
              </w:rPr>
              <w:t>Poznámka:</w:t>
            </w:r>
            <w:r w:rsidRPr="007B2F69">
              <w:rPr>
                <w:rFonts w:ascii="Arial" w:hAnsi="Arial" w:cs="Arial"/>
                <w:sz w:val="22"/>
                <w:szCs w:val="22"/>
              </w:rPr>
              <w:t xml:space="preserve"> Podnikatelský sektor zahrnuje všechny ekonomické subjekty, jejichž hlavní činností je tržní výroba zboží nebo služeb pro prodej široké veřejnosti za ekonomicky významnou cenu. Sledují se údaje za všechny ekonomické subjekty podnikatelského sektoru provádějící v sledovaném roce výzkumnou a vývojovou činnost, a to bez ohledu na jejich velikost, vlastnictví či převažující ekonomickou činnost.</w:t>
            </w:r>
          </w:p>
        </w:tc>
      </w:tr>
      <w:tr w:rsidR="009F7924" w:rsidRPr="007B2F69" w14:paraId="4172610B" w14:textId="77777777" w:rsidTr="009F7924">
        <w:tc>
          <w:tcPr>
            <w:tcW w:w="2802" w:type="dxa"/>
          </w:tcPr>
          <w:p w14:paraId="46DD49C6"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szCs w:val="22"/>
              </w:rPr>
              <w:t>Jednotka:</w:t>
            </w:r>
          </w:p>
        </w:tc>
        <w:tc>
          <w:tcPr>
            <w:tcW w:w="6486" w:type="dxa"/>
          </w:tcPr>
          <w:p w14:paraId="32641AE1" w14:textId="77777777" w:rsidR="009F7924" w:rsidRPr="007B2F69" w:rsidRDefault="009F7924" w:rsidP="007419C7">
            <w:pPr>
              <w:spacing w:line="276" w:lineRule="auto"/>
              <w:jc w:val="both"/>
              <w:rPr>
                <w:rFonts w:ascii="Arial" w:hAnsi="Arial" w:cs="Arial"/>
                <w:sz w:val="22"/>
                <w:szCs w:val="22"/>
              </w:rPr>
            </w:pPr>
            <w:r w:rsidRPr="007B2F69">
              <w:rPr>
                <w:rFonts w:ascii="Arial" w:hAnsi="Arial" w:cs="Arial"/>
                <w:sz w:val="22"/>
                <w:szCs w:val="22"/>
              </w:rPr>
              <w:t>Milion Kč, podíl na HDP/ přidané hodnotě či celkové produkci vytvořené v podnikatelském sektoru.</w:t>
            </w:r>
          </w:p>
          <w:p w14:paraId="4567FD6F" w14:textId="77777777" w:rsidR="009F7924" w:rsidRPr="007B2F69" w:rsidRDefault="009F7924" w:rsidP="007419C7">
            <w:pPr>
              <w:spacing w:line="276" w:lineRule="auto"/>
              <w:jc w:val="both"/>
              <w:rPr>
                <w:rFonts w:ascii="Arial" w:hAnsi="Arial" w:cs="Arial"/>
                <w:sz w:val="22"/>
                <w:szCs w:val="22"/>
              </w:rPr>
            </w:pPr>
            <w:r w:rsidRPr="007B2F69">
              <w:rPr>
                <w:rFonts w:ascii="Arial" w:hAnsi="Arial" w:cs="Arial"/>
                <w:sz w:val="22"/>
                <w:szCs w:val="22"/>
                <w:u w:val="single"/>
              </w:rPr>
              <w:t>Poznámka:</w:t>
            </w:r>
            <w:r w:rsidRPr="007B2F69">
              <w:rPr>
                <w:rFonts w:ascii="Arial" w:hAnsi="Arial" w:cs="Arial"/>
                <w:sz w:val="22"/>
                <w:szCs w:val="22"/>
              </w:rPr>
              <w:t xml:space="preserve"> Kromě vyjádření ukazatele BERD v absolutních hodnotách, je pro podrobnější analýzu na úrovni jednotlivých odvětví, vhodné vyjádřit výdaje na výzkum a vývoj v podnikatelském sektoru i poměrově – např. jako podíl na přidané hodnotě či produkci vytvořené v jednotlivých odvětvích podnikatelského sektoru, tj. intenzity VaV v jednotlivých odvětvích.</w:t>
            </w:r>
          </w:p>
        </w:tc>
      </w:tr>
      <w:tr w:rsidR="009F7924" w:rsidRPr="007B2F69" w14:paraId="20AACA45" w14:textId="77777777" w:rsidTr="009F7924">
        <w:tc>
          <w:tcPr>
            <w:tcW w:w="2802" w:type="dxa"/>
          </w:tcPr>
          <w:p w14:paraId="5C01B50B"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szCs w:val="22"/>
              </w:rPr>
              <w:t xml:space="preserve">Gestor: </w:t>
            </w:r>
          </w:p>
        </w:tc>
        <w:tc>
          <w:tcPr>
            <w:tcW w:w="6486" w:type="dxa"/>
          </w:tcPr>
          <w:p w14:paraId="488B3CDD" w14:textId="77777777" w:rsidR="009F7924" w:rsidRPr="007B2F69" w:rsidRDefault="009F7924" w:rsidP="007419C7">
            <w:pPr>
              <w:spacing w:line="276" w:lineRule="auto"/>
              <w:jc w:val="both"/>
              <w:rPr>
                <w:rFonts w:ascii="Arial" w:hAnsi="Arial" w:cs="Arial"/>
                <w:sz w:val="22"/>
                <w:szCs w:val="22"/>
              </w:rPr>
            </w:pPr>
            <w:r w:rsidRPr="007B2F69">
              <w:rPr>
                <w:rFonts w:ascii="Arial" w:hAnsi="Arial" w:cs="Arial"/>
                <w:sz w:val="22"/>
                <w:szCs w:val="22"/>
              </w:rPr>
              <w:t>Český statistický úřad</w:t>
            </w:r>
          </w:p>
        </w:tc>
      </w:tr>
      <w:tr w:rsidR="009F7924" w:rsidRPr="007B2F69" w14:paraId="178DC0DB" w14:textId="77777777" w:rsidTr="009F7924">
        <w:tc>
          <w:tcPr>
            <w:tcW w:w="2802" w:type="dxa"/>
          </w:tcPr>
          <w:p w14:paraId="531E86B1"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szCs w:val="22"/>
              </w:rPr>
              <w:t xml:space="preserve">Význam indikátoru: </w:t>
            </w:r>
          </w:p>
        </w:tc>
        <w:tc>
          <w:tcPr>
            <w:tcW w:w="6486" w:type="dxa"/>
          </w:tcPr>
          <w:p w14:paraId="55221508" w14:textId="77777777" w:rsidR="009F7924" w:rsidRPr="007B2F69" w:rsidRDefault="009F7924" w:rsidP="007419C7">
            <w:pPr>
              <w:spacing w:line="276" w:lineRule="auto"/>
              <w:jc w:val="both"/>
              <w:rPr>
                <w:rFonts w:ascii="Arial" w:hAnsi="Arial" w:cs="Arial"/>
                <w:sz w:val="22"/>
                <w:szCs w:val="22"/>
              </w:rPr>
            </w:pPr>
            <w:r w:rsidRPr="007B2F69">
              <w:rPr>
                <w:rFonts w:ascii="Arial" w:hAnsi="Arial" w:cs="Arial"/>
                <w:sz w:val="22"/>
                <w:szCs w:val="22"/>
              </w:rPr>
              <w:t xml:space="preserve">Inovace jsou úzce spjaty s výzkumem a vývojem, který poskytuje nutnou primární základnu pro tvorbu a zavádění inovací, zejména se zaměřením na produkci nových výrobků a služeb (produktové inovace) nebo inovací procesů. Podnikové výdaje na výzkum a vývoj (ukazatel BERD) jsou tak používány k měření části vstupů do inovačního systému. Lze pomocí nich indikovat objem investic směřujících na tvorbu nových znalostí a technologií sloužících pro inovační proces podniků. Jejich výše </w:t>
            </w:r>
            <w:r w:rsidRPr="007B2F69">
              <w:rPr>
                <w:rFonts w:ascii="Arial" w:hAnsi="Arial" w:cs="Arial"/>
                <w:sz w:val="22"/>
                <w:szCs w:val="22"/>
              </w:rPr>
              <w:lastRenderedPageBreak/>
              <w:t>však není přímo úměrná míře inovativnosti ekonomiky nebo dílčího odvětví. Cílem je číselně podchytit, v kterých odvětvích jsou koncentrovány podnikové výdaje na VaV, jak se vyvíjí jejich objem v čase, jaké je jejich rozložení z pohledu velikostních, odvětvových a dalších charakteristik podnikatelského sektoru.</w:t>
            </w:r>
          </w:p>
        </w:tc>
      </w:tr>
      <w:tr w:rsidR="009F7924" w:rsidRPr="007B2F69" w14:paraId="6D1FBC09" w14:textId="77777777" w:rsidTr="009F7924">
        <w:tc>
          <w:tcPr>
            <w:tcW w:w="2802" w:type="dxa"/>
          </w:tcPr>
          <w:p w14:paraId="342C4915"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szCs w:val="22"/>
              </w:rPr>
              <w:lastRenderedPageBreak/>
              <w:t xml:space="preserve">Časová řada: </w:t>
            </w:r>
          </w:p>
        </w:tc>
        <w:tc>
          <w:tcPr>
            <w:tcW w:w="6486" w:type="dxa"/>
          </w:tcPr>
          <w:p w14:paraId="21FC74F6" w14:textId="77777777" w:rsidR="009F7924" w:rsidRPr="007B2F69" w:rsidRDefault="009F7924" w:rsidP="007419C7">
            <w:pPr>
              <w:spacing w:line="276" w:lineRule="auto"/>
              <w:jc w:val="both"/>
              <w:rPr>
                <w:rFonts w:ascii="Arial" w:hAnsi="Arial" w:cs="Arial"/>
                <w:sz w:val="22"/>
                <w:szCs w:val="22"/>
              </w:rPr>
            </w:pPr>
            <w:r w:rsidRPr="007B2F69">
              <w:rPr>
                <w:rFonts w:ascii="Arial" w:hAnsi="Arial" w:cs="Arial"/>
                <w:sz w:val="22"/>
                <w:szCs w:val="22"/>
              </w:rPr>
              <w:t>Od roku 2005</w:t>
            </w:r>
          </w:p>
        </w:tc>
      </w:tr>
      <w:tr w:rsidR="009F7924" w:rsidRPr="007B2F69" w14:paraId="27C0571A" w14:textId="77777777" w:rsidTr="009F7924">
        <w:tc>
          <w:tcPr>
            <w:tcW w:w="2802" w:type="dxa"/>
          </w:tcPr>
          <w:p w14:paraId="757D87B9"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szCs w:val="22"/>
              </w:rPr>
              <w:t xml:space="preserve">Frekvence výstupu: </w:t>
            </w:r>
          </w:p>
        </w:tc>
        <w:tc>
          <w:tcPr>
            <w:tcW w:w="6486" w:type="dxa"/>
          </w:tcPr>
          <w:p w14:paraId="6BCCB81E" w14:textId="77777777" w:rsidR="009F7924" w:rsidRPr="007B2F69" w:rsidRDefault="009F7924" w:rsidP="007419C7">
            <w:pPr>
              <w:spacing w:line="276" w:lineRule="auto"/>
              <w:jc w:val="both"/>
              <w:rPr>
                <w:rFonts w:ascii="Arial" w:hAnsi="Arial" w:cs="Arial"/>
                <w:sz w:val="22"/>
                <w:szCs w:val="22"/>
              </w:rPr>
            </w:pPr>
            <w:r w:rsidRPr="007B2F69">
              <w:rPr>
                <w:rFonts w:ascii="Arial" w:hAnsi="Arial" w:cs="Arial"/>
                <w:sz w:val="22"/>
                <w:szCs w:val="22"/>
              </w:rPr>
              <w:t>Ročně podle údajů z šetření VTR 5-01</w:t>
            </w:r>
          </w:p>
        </w:tc>
      </w:tr>
      <w:tr w:rsidR="009F7924" w:rsidRPr="007B2F69" w14:paraId="5AF33120" w14:textId="77777777" w:rsidTr="009F7924">
        <w:trPr>
          <w:trHeight w:val="70"/>
        </w:trPr>
        <w:tc>
          <w:tcPr>
            <w:tcW w:w="2802" w:type="dxa"/>
          </w:tcPr>
          <w:p w14:paraId="18DA5232"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szCs w:val="22"/>
              </w:rPr>
              <w:t xml:space="preserve">Členění indikátoru: </w:t>
            </w:r>
          </w:p>
        </w:tc>
        <w:tc>
          <w:tcPr>
            <w:tcW w:w="6486" w:type="dxa"/>
          </w:tcPr>
          <w:p w14:paraId="0A90022A" w14:textId="77777777" w:rsidR="009F7924" w:rsidRPr="007B2F69" w:rsidRDefault="009F7924" w:rsidP="007419C7">
            <w:pPr>
              <w:spacing w:line="276" w:lineRule="auto"/>
              <w:jc w:val="both"/>
              <w:rPr>
                <w:rFonts w:ascii="Arial" w:hAnsi="Arial" w:cs="Arial"/>
                <w:sz w:val="22"/>
                <w:szCs w:val="22"/>
              </w:rPr>
            </w:pPr>
            <w:r w:rsidRPr="007B2F69">
              <w:rPr>
                <w:rFonts w:ascii="Arial" w:hAnsi="Arial" w:cs="Arial"/>
                <w:sz w:val="22"/>
                <w:szCs w:val="22"/>
              </w:rPr>
              <w:t>Podle vlastnictví (veřejné podniky, soukromé domácí podniky a podniky pod zahraniční kontrolou); velikosti (malé, střední a velké podniky), převažující ekonomické činnosti (klasifikace CZ-NACE) a sídla (klasifikace CZ-NUTS) sledovaných podniků.</w:t>
            </w:r>
          </w:p>
          <w:p w14:paraId="51AFA8FF" w14:textId="77777777" w:rsidR="009F7924" w:rsidRPr="007B2F69" w:rsidRDefault="009F7924" w:rsidP="007419C7">
            <w:pPr>
              <w:spacing w:line="276" w:lineRule="auto"/>
              <w:jc w:val="both"/>
              <w:rPr>
                <w:rFonts w:ascii="Arial" w:hAnsi="Arial" w:cs="Arial"/>
                <w:sz w:val="22"/>
                <w:szCs w:val="22"/>
              </w:rPr>
            </w:pPr>
            <w:r w:rsidRPr="007B2F69">
              <w:rPr>
                <w:rFonts w:ascii="Arial" w:hAnsi="Arial" w:cs="Arial"/>
                <w:sz w:val="22"/>
                <w:szCs w:val="22"/>
                <w:u w:val="single"/>
              </w:rPr>
              <w:t>Poznámka:</w:t>
            </w:r>
            <w:r w:rsidRPr="007B2F69">
              <w:rPr>
                <w:rFonts w:ascii="Arial" w:hAnsi="Arial" w:cs="Arial"/>
                <w:sz w:val="22"/>
                <w:szCs w:val="22"/>
              </w:rPr>
              <w:t xml:space="preserve"> Při interpretaci údajů v členění podle převažující ekonomické činnosti sledovaných subjektů je nutno brát v potaz, že tato převažující ekonomická činnost se v některých případech může lišit od charakteru činnosti prováděného výzkumu a vývoje. Tento nedostatek je částečně řešen prostřednictvím kódu produkce činnosti prováděné v oblasti VaV, jenž je za podnikatelský sektor sledován od roku 2012 a údaji za výdaje na VaV ve vybraných technologických oblastech (ICT, biotechnologie a nanotechnologie), které jsou k dispozici od roku 2005</w:t>
            </w:r>
            <w:r>
              <w:rPr>
                <w:rFonts w:ascii="Arial" w:hAnsi="Arial" w:cs="Arial"/>
                <w:sz w:val="22"/>
                <w:szCs w:val="22"/>
              </w:rPr>
              <w:t>.</w:t>
            </w:r>
          </w:p>
        </w:tc>
      </w:tr>
      <w:tr w:rsidR="009F7924" w:rsidRPr="007B2F69" w14:paraId="709928B2" w14:textId="77777777" w:rsidTr="009F7924">
        <w:trPr>
          <w:trHeight w:val="70"/>
        </w:trPr>
        <w:tc>
          <w:tcPr>
            <w:tcW w:w="2802" w:type="dxa"/>
          </w:tcPr>
          <w:p w14:paraId="3EB08772"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szCs w:val="22"/>
              </w:rPr>
              <w:t>Mezinárodní srovnání:</w:t>
            </w:r>
          </w:p>
        </w:tc>
        <w:tc>
          <w:tcPr>
            <w:tcW w:w="6486" w:type="dxa"/>
          </w:tcPr>
          <w:p w14:paraId="1548ECB2" w14:textId="77777777" w:rsidR="009F7924" w:rsidRPr="007B2F69" w:rsidRDefault="009F7924" w:rsidP="007419C7">
            <w:pPr>
              <w:spacing w:line="276" w:lineRule="auto"/>
              <w:jc w:val="both"/>
              <w:rPr>
                <w:rFonts w:ascii="Arial" w:hAnsi="Arial" w:cs="Arial"/>
                <w:sz w:val="22"/>
              </w:rPr>
            </w:pPr>
            <w:proofErr w:type="spellStart"/>
            <w:r w:rsidRPr="007B2F69">
              <w:rPr>
                <w:rFonts w:ascii="Arial" w:hAnsi="Arial" w:cs="Arial"/>
                <w:sz w:val="22"/>
              </w:rPr>
              <w:t>Eurostat</w:t>
            </w:r>
            <w:proofErr w:type="spellEnd"/>
            <w:r w:rsidRPr="007B2F69">
              <w:rPr>
                <w:rFonts w:ascii="Arial" w:hAnsi="Arial" w:cs="Arial"/>
                <w:sz w:val="22"/>
              </w:rPr>
              <w:t xml:space="preserve">, OECD </w:t>
            </w:r>
          </w:p>
          <w:p w14:paraId="29AD18B2" w14:textId="77777777" w:rsidR="009F7924" w:rsidRPr="007B2F69" w:rsidRDefault="009F7924" w:rsidP="007419C7">
            <w:pPr>
              <w:spacing w:line="276" w:lineRule="auto"/>
              <w:jc w:val="both"/>
              <w:rPr>
                <w:rFonts w:ascii="Arial" w:hAnsi="Arial" w:cs="Arial"/>
                <w:sz w:val="22"/>
              </w:rPr>
            </w:pPr>
            <w:r w:rsidRPr="007B2F69">
              <w:rPr>
                <w:rFonts w:ascii="Arial" w:hAnsi="Arial" w:cs="Arial"/>
                <w:sz w:val="22"/>
                <w:u w:val="single"/>
              </w:rPr>
              <w:t xml:space="preserve">Poznámka: </w:t>
            </w:r>
            <w:r w:rsidRPr="007B2F69">
              <w:rPr>
                <w:rFonts w:ascii="Arial" w:hAnsi="Arial" w:cs="Arial"/>
                <w:sz w:val="22"/>
              </w:rPr>
              <w:t xml:space="preserve">Za účelem mezinárodního srovnání se ukazatel BERD nejčastěji vyjadřuje jako podíl na HDP či přidané hodnotě nebo produkci vytvořené v podnikatelském sektoru. </w:t>
            </w:r>
          </w:p>
        </w:tc>
      </w:tr>
    </w:tbl>
    <w:p w14:paraId="627EC541" w14:textId="77777777" w:rsidR="009F7924" w:rsidRDefault="009F7924" w:rsidP="004E105C">
      <w:pPr>
        <w:pStyle w:val="r2030cle"/>
        <w:numPr>
          <w:ilvl w:val="0"/>
          <w:numId w:val="0"/>
        </w:numPr>
        <w:spacing w:after="0"/>
        <w:rPr>
          <w:b w:val="0"/>
        </w:rPr>
      </w:pPr>
    </w:p>
    <w:tbl>
      <w:tblPr>
        <w:tblStyle w:val="Mkatabulky"/>
        <w:tblW w:w="0" w:type="auto"/>
        <w:tblLook w:val="04A0" w:firstRow="1" w:lastRow="0" w:firstColumn="1" w:lastColumn="0" w:noHBand="0" w:noVBand="1"/>
      </w:tblPr>
      <w:tblGrid>
        <w:gridCol w:w="2802"/>
        <w:gridCol w:w="6486"/>
      </w:tblGrid>
      <w:tr w:rsidR="009F7924" w:rsidRPr="007B2F69" w14:paraId="05B2ECE8" w14:textId="77777777" w:rsidTr="009F7924">
        <w:tc>
          <w:tcPr>
            <w:tcW w:w="2802" w:type="dxa"/>
          </w:tcPr>
          <w:p w14:paraId="42819706"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szCs w:val="22"/>
              </w:rPr>
              <w:t xml:space="preserve">Název a označení indikátoru: </w:t>
            </w:r>
          </w:p>
        </w:tc>
        <w:tc>
          <w:tcPr>
            <w:tcW w:w="6486" w:type="dxa"/>
          </w:tcPr>
          <w:p w14:paraId="008B93D4" w14:textId="77777777" w:rsidR="009F7924" w:rsidRPr="007B2F69" w:rsidRDefault="009F7924" w:rsidP="009F7924">
            <w:pPr>
              <w:spacing w:line="276" w:lineRule="auto"/>
              <w:rPr>
                <w:rFonts w:ascii="Arial" w:hAnsi="Arial" w:cs="Arial"/>
                <w:b/>
                <w:sz w:val="22"/>
                <w:szCs w:val="22"/>
              </w:rPr>
            </w:pPr>
            <w:r w:rsidRPr="007B2F69">
              <w:rPr>
                <w:rFonts w:ascii="Arial" w:hAnsi="Arial" w:cs="Arial"/>
                <w:b/>
                <w:sz w:val="22"/>
                <w:szCs w:val="22"/>
              </w:rPr>
              <w:t>8.2.2 Podniky s technickými (produktovými nebo procesními) inovacemi</w:t>
            </w:r>
          </w:p>
        </w:tc>
      </w:tr>
      <w:tr w:rsidR="009F7924" w:rsidRPr="007B2F69" w14:paraId="79BD801B" w14:textId="77777777" w:rsidTr="009F7924">
        <w:tc>
          <w:tcPr>
            <w:tcW w:w="2802" w:type="dxa"/>
          </w:tcPr>
          <w:p w14:paraId="3C373F4C"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szCs w:val="22"/>
              </w:rPr>
              <w:t xml:space="preserve">Stručná definice: </w:t>
            </w:r>
          </w:p>
        </w:tc>
        <w:tc>
          <w:tcPr>
            <w:tcW w:w="6486" w:type="dxa"/>
          </w:tcPr>
          <w:p w14:paraId="2E8422BB" w14:textId="77777777" w:rsidR="009F7924" w:rsidRPr="007B2F69" w:rsidRDefault="009F7924" w:rsidP="007419C7">
            <w:pPr>
              <w:spacing w:line="276" w:lineRule="auto"/>
              <w:jc w:val="both"/>
              <w:rPr>
                <w:rFonts w:ascii="Arial" w:hAnsi="Arial" w:cs="Arial"/>
                <w:sz w:val="22"/>
                <w:szCs w:val="22"/>
              </w:rPr>
            </w:pPr>
            <w:r w:rsidRPr="007B2F69">
              <w:rPr>
                <w:rFonts w:ascii="Arial" w:hAnsi="Arial" w:cs="Arial"/>
                <w:sz w:val="22"/>
                <w:szCs w:val="22"/>
              </w:rPr>
              <w:t xml:space="preserve">Technické inovace zahrnují produktové nebo procesní inovace. Produktová inovace představuje uvedení nového nebo podstatně zlepšeného výrobku nebo služby na trh, u kterých se charakteristiky nebo zamýšlené použití významně liší od předcházejících produktů podniku. Zahrnují se pouze významné změny technických specifikací, komponentů a materiálů, zakomponovaného softwaru, uživatelské přístupnosti nebo ostatních funkčních charakteristik. </w:t>
            </w:r>
          </w:p>
          <w:p w14:paraId="1E352B8A" w14:textId="77777777" w:rsidR="009F7924" w:rsidRPr="007B2F69" w:rsidRDefault="009F7924" w:rsidP="007419C7">
            <w:pPr>
              <w:spacing w:line="276" w:lineRule="auto"/>
              <w:jc w:val="both"/>
              <w:rPr>
                <w:rFonts w:ascii="Arial" w:hAnsi="Arial" w:cs="Arial"/>
                <w:sz w:val="22"/>
                <w:szCs w:val="22"/>
              </w:rPr>
            </w:pPr>
            <w:r w:rsidRPr="007B2F69">
              <w:rPr>
                <w:rFonts w:ascii="Arial" w:hAnsi="Arial" w:cs="Arial"/>
                <w:sz w:val="22"/>
                <w:szCs w:val="22"/>
              </w:rPr>
              <w:t>Procesní inovace představuje nový nebo podstatně zlepšený způsob výroby nebo poskytování služeb, včetně distribuce, skladování a podpůrných podnikových činností jako je údržba, nákup, účetnictví nebo informační systém. Zahrnují se pouze významné změny používaných technologií, zařízení nebo softwaru za účelem zdokonalení kvality, efektivnosti nebo flexibility produkce či dodavatelské činnosti nebo snížení ohrožení (zátěže) ži</w:t>
            </w:r>
            <w:r>
              <w:rPr>
                <w:rFonts w:ascii="Arial" w:hAnsi="Arial" w:cs="Arial"/>
                <w:sz w:val="22"/>
                <w:szCs w:val="22"/>
              </w:rPr>
              <w:t>votního prostředí.</w:t>
            </w:r>
          </w:p>
          <w:p w14:paraId="78D40B2C" w14:textId="77777777" w:rsidR="009F7924" w:rsidRPr="007B2F69" w:rsidRDefault="009F7924" w:rsidP="007419C7">
            <w:pPr>
              <w:spacing w:line="276" w:lineRule="auto"/>
              <w:jc w:val="both"/>
              <w:rPr>
                <w:rFonts w:ascii="Arial" w:hAnsi="Arial" w:cs="Arial"/>
                <w:sz w:val="22"/>
                <w:szCs w:val="22"/>
              </w:rPr>
            </w:pPr>
            <w:r w:rsidRPr="007B2F69">
              <w:rPr>
                <w:rFonts w:ascii="Arial" w:hAnsi="Arial" w:cs="Arial"/>
                <w:sz w:val="22"/>
                <w:szCs w:val="22"/>
              </w:rPr>
              <w:t xml:space="preserve">Inovující podniky jsou podniky, které během sledovaného </w:t>
            </w:r>
            <w:r w:rsidRPr="007B2F69">
              <w:rPr>
                <w:rFonts w:ascii="Arial" w:hAnsi="Arial" w:cs="Arial"/>
                <w:sz w:val="22"/>
                <w:szCs w:val="22"/>
              </w:rPr>
              <w:lastRenderedPageBreak/>
              <w:t>období zavedly alespoň jednu z výše uvedených inovací.</w:t>
            </w:r>
          </w:p>
        </w:tc>
      </w:tr>
      <w:tr w:rsidR="009F7924" w:rsidRPr="007B2F69" w14:paraId="28077AEC" w14:textId="77777777" w:rsidTr="009F7924">
        <w:tc>
          <w:tcPr>
            <w:tcW w:w="2802" w:type="dxa"/>
          </w:tcPr>
          <w:p w14:paraId="75E88604"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szCs w:val="22"/>
              </w:rPr>
              <w:lastRenderedPageBreak/>
              <w:t>Jednotka:</w:t>
            </w:r>
          </w:p>
        </w:tc>
        <w:tc>
          <w:tcPr>
            <w:tcW w:w="6486" w:type="dxa"/>
          </w:tcPr>
          <w:p w14:paraId="746A2B2E" w14:textId="77777777" w:rsidR="009F7924" w:rsidRPr="007B2F69" w:rsidRDefault="009F7924" w:rsidP="007419C7">
            <w:pPr>
              <w:spacing w:line="276" w:lineRule="auto"/>
              <w:jc w:val="both"/>
              <w:rPr>
                <w:rFonts w:ascii="Arial" w:hAnsi="Arial" w:cs="Arial"/>
                <w:sz w:val="22"/>
                <w:szCs w:val="22"/>
              </w:rPr>
            </w:pPr>
            <w:r w:rsidRPr="007B2F69">
              <w:rPr>
                <w:rFonts w:ascii="Arial" w:hAnsi="Arial" w:cs="Arial"/>
                <w:sz w:val="22"/>
                <w:szCs w:val="22"/>
              </w:rPr>
              <w:t>Podíl (v %)</w:t>
            </w:r>
          </w:p>
        </w:tc>
      </w:tr>
      <w:tr w:rsidR="009F7924" w:rsidRPr="007B2F69" w14:paraId="11C070BB" w14:textId="77777777" w:rsidTr="009F7924">
        <w:tc>
          <w:tcPr>
            <w:tcW w:w="2802" w:type="dxa"/>
          </w:tcPr>
          <w:p w14:paraId="42038946"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szCs w:val="22"/>
              </w:rPr>
              <w:t xml:space="preserve">Gestor: </w:t>
            </w:r>
          </w:p>
        </w:tc>
        <w:tc>
          <w:tcPr>
            <w:tcW w:w="6486" w:type="dxa"/>
          </w:tcPr>
          <w:p w14:paraId="1CB61E98" w14:textId="77777777" w:rsidR="009F7924" w:rsidRPr="007B2F69" w:rsidRDefault="009F7924" w:rsidP="007419C7">
            <w:pPr>
              <w:spacing w:line="276" w:lineRule="auto"/>
              <w:jc w:val="both"/>
              <w:rPr>
                <w:rFonts w:ascii="Arial" w:hAnsi="Arial" w:cs="Arial"/>
                <w:sz w:val="22"/>
                <w:szCs w:val="22"/>
              </w:rPr>
            </w:pPr>
            <w:r w:rsidRPr="007B2F69">
              <w:rPr>
                <w:rFonts w:ascii="Arial" w:hAnsi="Arial" w:cs="Arial"/>
                <w:sz w:val="22"/>
                <w:szCs w:val="22"/>
              </w:rPr>
              <w:t>Český statistický úřad</w:t>
            </w:r>
          </w:p>
        </w:tc>
      </w:tr>
      <w:tr w:rsidR="009F7924" w:rsidRPr="007B2F69" w14:paraId="46FB3A78" w14:textId="77777777" w:rsidTr="009F7924">
        <w:tc>
          <w:tcPr>
            <w:tcW w:w="2802" w:type="dxa"/>
          </w:tcPr>
          <w:p w14:paraId="1EB182AA"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szCs w:val="22"/>
              </w:rPr>
              <w:t xml:space="preserve">Význam indikátoru: </w:t>
            </w:r>
          </w:p>
        </w:tc>
        <w:tc>
          <w:tcPr>
            <w:tcW w:w="6486" w:type="dxa"/>
          </w:tcPr>
          <w:p w14:paraId="1AEE673C" w14:textId="77777777" w:rsidR="009F7924" w:rsidRPr="007B2F69" w:rsidRDefault="009F7924" w:rsidP="007419C7">
            <w:pPr>
              <w:spacing w:line="276" w:lineRule="auto"/>
              <w:jc w:val="both"/>
              <w:rPr>
                <w:rFonts w:ascii="Arial" w:hAnsi="Arial" w:cs="Arial"/>
                <w:sz w:val="22"/>
                <w:szCs w:val="22"/>
              </w:rPr>
            </w:pPr>
            <w:r w:rsidRPr="007B2F69">
              <w:rPr>
                <w:rFonts w:ascii="Arial" w:hAnsi="Arial" w:cs="Arial"/>
                <w:sz w:val="22"/>
                <w:szCs w:val="22"/>
              </w:rPr>
              <w:t>Inovace představují z pohledu podniků stěžejní element pro jejich další rozvoj a zvyšování konkurenceschopnosti v rámci s</w:t>
            </w:r>
            <w:r>
              <w:rPr>
                <w:rFonts w:ascii="Arial" w:hAnsi="Arial" w:cs="Arial"/>
                <w:sz w:val="22"/>
                <w:szCs w:val="22"/>
              </w:rPr>
              <w:t>oučasného globalizovaného trhu.</w:t>
            </w:r>
          </w:p>
        </w:tc>
      </w:tr>
      <w:tr w:rsidR="009F7924" w:rsidRPr="007B2F69" w14:paraId="2DFFBAAF" w14:textId="77777777" w:rsidTr="009F7924">
        <w:tc>
          <w:tcPr>
            <w:tcW w:w="2802" w:type="dxa"/>
          </w:tcPr>
          <w:p w14:paraId="2EFEE6FC"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szCs w:val="22"/>
              </w:rPr>
              <w:t xml:space="preserve">Časová řada: </w:t>
            </w:r>
          </w:p>
        </w:tc>
        <w:tc>
          <w:tcPr>
            <w:tcW w:w="6486" w:type="dxa"/>
          </w:tcPr>
          <w:p w14:paraId="03F01FC7" w14:textId="77777777" w:rsidR="009F7924" w:rsidRPr="007B2F69" w:rsidRDefault="009F7924" w:rsidP="007419C7">
            <w:pPr>
              <w:spacing w:line="276" w:lineRule="auto"/>
              <w:jc w:val="both"/>
              <w:rPr>
                <w:rFonts w:ascii="Arial" w:hAnsi="Arial" w:cs="Arial"/>
                <w:sz w:val="22"/>
                <w:szCs w:val="22"/>
              </w:rPr>
            </w:pPr>
            <w:r w:rsidRPr="007B2F69">
              <w:rPr>
                <w:rFonts w:ascii="Arial" w:hAnsi="Arial" w:cs="Arial"/>
                <w:sz w:val="22"/>
                <w:szCs w:val="22"/>
              </w:rPr>
              <w:t xml:space="preserve">1. </w:t>
            </w:r>
            <w:proofErr w:type="spellStart"/>
            <w:r w:rsidRPr="007B2F69">
              <w:rPr>
                <w:rFonts w:ascii="Arial" w:hAnsi="Arial" w:cs="Arial"/>
                <w:sz w:val="22"/>
                <w:szCs w:val="22"/>
              </w:rPr>
              <w:t>ref</w:t>
            </w:r>
            <w:proofErr w:type="spellEnd"/>
            <w:r w:rsidRPr="007B2F69">
              <w:rPr>
                <w:rFonts w:ascii="Arial" w:hAnsi="Arial" w:cs="Arial"/>
                <w:sz w:val="22"/>
                <w:szCs w:val="22"/>
              </w:rPr>
              <w:t>. období 2003-2005</w:t>
            </w:r>
          </w:p>
        </w:tc>
      </w:tr>
      <w:tr w:rsidR="009F7924" w:rsidRPr="007B2F69" w14:paraId="5B5A2954" w14:textId="77777777" w:rsidTr="009F7924">
        <w:tc>
          <w:tcPr>
            <w:tcW w:w="2802" w:type="dxa"/>
          </w:tcPr>
          <w:p w14:paraId="46A9978D"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szCs w:val="22"/>
              </w:rPr>
              <w:t xml:space="preserve">Frekvence výstupu: </w:t>
            </w:r>
          </w:p>
        </w:tc>
        <w:tc>
          <w:tcPr>
            <w:tcW w:w="6486" w:type="dxa"/>
          </w:tcPr>
          <w:p w14:paraId="7327DD1A" w14:textId="77777777" w:rsidR="009F7924" w:rsidRPr="007B2F69" w:rsidRDefault="009F7924" w:rsidP="007419C7">
            <w:pPr>
              <w:spacing w:line="276" w:lineRule="auto"/>
              <w:jc w:val="both"/>
              <w:rPr>
                <w:rFonts w:ascii="Arial" w:hAnsi="Arial" w:cs="Arial"/>
                <w:sz w:val="22"/>
                <w:szCs w:val="22"/>
              </w:rPr>
            </w:pPr>
            <w:r w:rsidRPr="007B2F69">
              <w:rPr>
                <w:rFonts w:ascii="Arial" w:hAnsi="Arial" w:cs="Arial"/>
                <w:sz w:val="22"/>
                <w:szCs w:val="22"/>
              </w:rPr>
              <w:t>Dvouletá z údajů získaných na základě statistického šetření o inovacích v podnicích, které se uskutečňuje za účelem zmapování inovačního potenciálu podniků působících v České republice</w:t>
            </w:r>
          </w:p>
        </w:tc>
      </w:tr>
      <w:tr w:rsidR="009F7924" w:rsidRPr="007B2F69" w14:paraId="64099672" w14:textId="77777777" w:rsidTr="009F7924">
        <w:trPr>
          <w:trHeight w:val="70"/>
        </w:trPr>
        <w:tc>
          <w:tcPr>
            <w:tcW w:w="2802" w:type="dxa"/>
          </w:tcPr>
          <w:p w14:paraId="2CF05129"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szCs w:val="22"/>
              </w:rPr>
              <w:t xml:space="preserve">Členění indikátoru: </w:t>
            </w:r>
          </w:p>
        </w:tc>
        <w:tc>
          <w:tcPr>
            <w:tcW w:w="6486" w:type="dxa"/>
          </w:tcPr>
          <w:p w14:paraId="1A665CFA" w14:textId="77777777" w:rsidR="009F7924" w:rsidRPr="007B2F69" w:rsidRDefault="009F7924" w:rsidP="007419C7">
            <w:pPr>
              <w:spacing w:line="276" w:lineRule="auto"/>
              <w:jc w:val="both"/>
              <w:rPr>
                <w:rFonts w:ascii="Arial" w:hAnsi="Arial" w:cs="Arial"/>
                <w:sz w:val="22"/>
                <w:szCs w:val="22"/>
              </w:rPr>
            </w:pPr>
            <w:r w:rsidRPr="007B2F69">
              <w:rPr>
                <w:rFonts w:ascii="Arial" w:hAnsi="Arial" w:cs="Arial"/>
                <w:sz w:val="22"/>
                <w:szCs w:val="22"/>
              </w:rPr>
              <w:t>Podle typu produktové a procesní inovace v kombinaci s tříděním podle vlastnictví (domácí podniky a podniky pod zahraniční kontrolou); velikosti (malé, střední a velké podniky) a převažující ekonomické činnosti (klasifikace CZ-NACE) sledovaných podniků.</w:t>
            </w:r>
          </w:p>
        </w:tc>
      </w:tr>
      <w:tr w:rsidR="009F7924" w:rsidRPr="007B2F69" w14:paraId="3F052B7E" w14:textId="77777777" w:rsidTr="009F7924">
        <w:trPr>
          <w:trHeight w:val="70"/>
        </w:trPr>
        <w:tc>
          <w:tcPr>
            <w:tcW w:w="2802" w:type="dxa"/>
          </w:tcPr>
          <w:p w14:paraId="5EDD7305" w14:textId="77777777" w:rsidR="009F7924" w:rsidRPr="007B2F69" w:rsidRDefault="009F7924" w:rsidP="009F7924">
            <w:pPr>
              <w:spacing w:line="276" w:lineRule="auto"/>
              <w:rPr>
                <w:rFonts w:ascii="Arial" w:hAnsi="Arial" w:cs="Arial"/>
                <w:sz w:val="22"/>
                <w:szCs w:val="22"/>
              </w:rPr>
            </w:pPr>
            <w:r w:rsidRPr="007B2F69">
              <w:rPr>
                <w:rFonts w:ascii="Arial" w:hAnsi="Arial" w:cs="Arial"/>
                <w:sz w:val="22"/>
                <w:szCs w:val="22"/>
              </w:rPr>
              <w:t>Mezinárodní srovnání:</w:t>
            </w:r>
          </w:p>
        </w:tc>
        <w:tc>
          <w:tcPr>
            <w:tcW w:w="6486" w:type="dxa"/>
          </w:tcPr>
          <w:p w14:paraId="70927E53" w14:textId="77777777" w:rsidR="009F7924" w:rsidRPr="007B2F69" w:rsidRDefault="009F7924" w:rsidP="007419C7">
            <w:pPr>
              <w:spacing w:line="276" w:lineRule="auto"/>
              <w:jc w:val="both"/>
              <w:rPr>
                <w:rFonts w:ascii="Arial" w:hAnsi="Arial" w:cs="Arial"/>
                <w:sz w:val="22"/>
                <w:szCs w:val="22"/>
              </w:rPr>
            </w:pPr>
            <w:proofErr w:type="spellStart"/>
            <w:r w:rsidRPr="007B2F69">
              <w:rPr>
                <w:rFonts w:ascii="Arial" w:hAnsi="Arial" w:cs="Arial"/>
                <w:sz w:val="22"/>
                <w:szCs w:val="22"/>
              </w:rPr>
              <w:t>Eurostat</w:t>
            </w:r>
            <w:proofErr w:type="spellEnd"/>
          </w:p>
        </w:tc>
      </w:tr>
    </w:tbl>
    <w:p w14:paraId="6F4FAED6" w14:textId="77777777" w:rsidR="009F7924" w:rsidRDefault="009F7924" w:rsidP="004E105C">
      <w:pPr>
        <w:pStyle w:val="r2030cle"/>
        <w:numPr>
          <w:ilvl w:val="0"/>
          <w:numId w:val="0"/>
        </w:numPr>
        <w:spacing w:after="0"/>
        <w:rPr>
          <w:b w:val="0"/>
        </w:rPr>
      </w:pPr>
    </w:p>
    <w:tbl>
      <w:tblPr>
        <w:tblStyle w:val="Mkatabulky"/>
        <w:tblW w:w="0" w:type="auto"/>
        <w:tblLook w:val="04A0" w:firstRow="1" w:lastRow="0" w:firstColumn="1" w:lastColumn="0" w:noHBand="0" w:noVBand="1"/>
      </w:tblPr>
      <w:tblGrid>
        <w:gridCol w:w="2802"/>
        <w:gridCol w:w="6486"/>
      </w:tblGrid>
      <w:tr w:rsidR="009D2F31" w:rsidRPr="007B2F69" w14:paraId="018EB2A0" w14:textId="77777777" w:rsidTr="00C375C1">
        <w:tc>
          <w:tcPr>
            <w:tcW w:w="2802" w:type="dxa"/>
          </w:tcPr>
          <w:p w14:paraId="6466708C" w14:textId="77777777" w:rsidR="009D2F31" w:rsidRPr="007B2F69" w:rsidRDefault="009D2F31" w:rsidP="00C375C1">
            <w:pPr>
              <w:spacing w:line="276" w:lineRule="auto"/>
              <w:rPr>
                <w:rFonts w:ascii="Arial" w:hAnsi="Arial" w:cs="Arial"/>
                <w:sz w:val="22"/>
                <w:szCs w:val="22"/>
              </w:rPr>
            </w:pPr>
            <w:r w:rsidRPr="007B2F69">
              <w:rPr>
                <w:rFonts w:ascii="Arial" w:hAnsi="Arial" w:cs="Arial"/>
                <w:sz w:val="22"/>
                <w:szCs w:val="22"/>
              </w:rPr>
              <w:t xml:space="preserve">Název a označení indikátoru: </w:t>
            </w:r>
          </w:p>
        </w:tc>
        <w:tc>
          <w:tcPr>
            <w:tcW w:w="6486" w:type="dxa"/>
          </w:tcPr>
          <w:p w14:paraId="48F88838" w14:textId="325DB07E" w:rsidR="004E105C" w:rsidRPr="007B2F69" w:rsidRDefault="009D2F31" w:rsidP="00C375C1">
            <w:pPr>
              <w:spacing w:line="276" w:lineRule="auto"/>
              <w:rPr>
                <w:rFonts w:ascii="Arial" w:hAnsi="Arial" w:cs="Arial"/>
                <w:b/>
                <w:sz w:val="22"/>
                <w:szCs w:val="22"/>
              </w:rPr>
            </w:pPr>
            <w:r>
              <w:rPr>
                <w:rFonts w:ascii="Arial" w:hAnsi="Arial" w:cs="Arial"/>
                <w:b/>
                <w:sz w:val="22"/>
                <w:szCs w:val="22"/>
              </w:rPr>
              <w:t>8.2.3</w:t>
            </w:r>
            <w:r w:rsidRPr="007B2F69">
              <w:rPr>
                <w:rFonts w:ascii="Arial" w:hAnsi="Arial" w:cs="Arial"/>
                <w:b/>
                <w:sz w:val="22"/>
                <w:szCs w:val="22"/>
              </w:rPr>
              <w:t xml:space="preserve"> Podniky provádějící výzkumnou a vývojovou činnost v rámci svých technických (produktových nebo procesních) inovačních aktivit</w:t>
            </w:r>
          </w:p>
        </w:tc>
      </w:tr>
      <w:tr w:rsidR="009D2F31" w:rsidRPr="007B2F69" w14:paraId="20043FA5" w14:textId="77777777" w:rsidTr="00C375C1">
        <w:tc>
          <w:tcPr>
            <w:tcW w:w="2802" w:type="dxa"/>
          </w:tcPr>
          <w:p w14:paraId="5A675547" w14:textId="77777777" w:rsidR="009D2F31" w:rsidRPr="007B2F69" w:rsidRDefault="009D2F31" w:rsidP="00C375C1">
            <w:pPr>
              <w:spacing w:line="276" w:lineRule="auto"/>
              <w:rPr>
                <w:rFonts w:ascii="Arial" w:hAnsi="Arial" w:cs="Arial"/>
                <w:sz w:val="22"/>
                <w:szCs w:val="22"/>
              </w:rPr>
            </w:pPr>
            <w:r w:rsidRPr="007B2F69">
              <w:rPr>
                <w:rFonts w:ascii="Arial" w:hAnsi="Arial" w:cs="Arial"/>
                <w:sz w:val="22"/>
                <w:szCs w:val="22"/>
              </w:rPr>
              <w:t xml:space="preserve">Stručná definice: </w:t>
            </w:r>
          </w:p>
        </w:tc>
        <w:tc>
          <w:tcPr>
            <w:tcW w:w="6486" w:type="dxa"/>
          </w:tcPr>
          <w:p w14:paraId="493F64A1" w14:textId="77777777" w:rsidR="009D2F31" w:rsidRPr="007B2F69" w:rsidRDefault="009D2F31" w:rsidP="007419C7">
            <w:pPr>
              <w:spacing w:line="276" w:lineRule="auto"/>
              <w:jc w:val="both"/>
              <w:rPr>
                <w:rFonts w:ascii="Arial" w:hAnsi="Arial" w:cs="Arial"/>
                <w:sz w:val="22"/>
                <w:szCs w:val="22"/>
              </w:rPr>
            </w:pPr>
            <w:r w:rsidRPr="007B2F69">
              <w:rPr>
                <w:rFonts w:ascii="Arial" w:hAnsi="Arial" w:cs="Arial"/>
                <w:sz w:val="22"/>
                <w:szCs w:val="22"/>
              </w:rPr>
              <w:t>Podniky, které při zavádění produktové/procesní inovace v sledovaném obdo</w:t>
            </w:r>
            <w:r>
              <w:rPr>
                <w:rFonts w:ascii="Arial" w:hAnsi="Arial" w:cs="Arial"/>
                <w:sz w:val="22"/>
                <w:szCs w:val="22"/>
              </w:rPr>
              <w:t>b</w:t>
            </w:r>
            <w:r w:rsidRPr="007B2F69">
              <w:rPr>
                <w:rFonts w:ascii="Arial" w:hAnsi="Arial" w:cs="Arial"/>
                <w:sz w:val="22"/>
                <w:szCs w:val="22"/>
              </w:rPr>
              <w:t xml:space="preserve">í se soustavně zabývali výzkumem a vývojem.  </w:t>
            </w:r>
          </w:p>
        </w:tc>
      </w:tr>
      <w:tr w:rsidR="009D2F31" w:rsidRPr="007B2F69" w14:paraId="4C42FB80" w14:textId="77777777" w:rsidTr="00C375C1">
        <w:tc>
          <w:tcPr>
            <w:tcW w:w="2802" w:type="dxa"/>
          </w:tcPr>
          <w:p w14:paraId="5E0A5789" w14:textId="77777777" w:rsidR="009D2F31" w:rsidRPr="007B2F69" w:rsidRDefault="009D2F31" w:rsidP="00C375C1">
            <w:pPr>
              <w:spacing w:line="276" w:lineRule="auto"/>
              <w:rPr>
                <w:rFonts w:ascii="Arial" w:hAnsi="Arial" w:cs="Arial"/>
                <w:sz w:val="22"/>
                <w:szCs w:val="22"/>
              </w:rPr>
            </w:pPr>
            <w:r w:rsidRPr="007B2F69">
              <w:rPr>
                <w:rFonts w:ascii="Arial" w:hAnsi="Arial" w:cs="Arial"/>
                <w:sz w:val="22"/>
                <w:szCs w:val="22"/>
              </w:rPr>
              <w:t>Jednotka:</w:t>
            </w:r>
          </w:p>
        </w:tc>
        <w:tc>
          <w:tcPr>
            <w:tcW w:w="6486" w:type="dxa"/>
          </w:tcPr>
          <w:p w14:paraId="4DCCFE42" w14:textId="77777777" w:rsidR="009D2F31" w:rsidRPr="007B2F69" w:rsidRDefault="009D2F31" w:rsidP="007419C7">
            <w:pPr>
              <w:spacing w:line="276" w:lineRule="auto"/>
              <w:jc w:val="both"/>
              <w:rPr>
                <w:rFonts w:ascii="Arial" w:hAnsi="Arial" w:cs="Arial"/>
                <w:sz w:val="22"/>
                <w:szCs w:val="22"/>
              </w:rPr>
            </w:pPr>
            <w:r w:rsidRPr="007B2F69">
              <w:rPr>
                <w:rFonts w:ascii="Arial" w:hAnsi="Arial" w:cs="Arial"/>
                <w:sz w:val="22"/>
                <w:szCs w:val="22"/>
              </w:rPr>
              <w:t>Podíl (v %)</w:t>
            </w:r>
          </w:p>
        </w:tc>
      </w:tr>
      <w:tr w:rsidR="009D2F31" w:rsidRPr="007B2F69" w14:paraId="31A3D02D" w14:textId="77777777" w:rsidTr="00C375C1">
        <w:tc>
          <w:tcPr>
            <w:tcW w:w="2802" w:type="dxa"/>
          </w:tcPr>
          <w:p w14:paraId="40B728F4" w14:textId="77777777" w:rsidR="009D2F31" w:rsidRPr="007B2F69" w:rsidRDefault="009D2F31" w:rsidP="00C375C1">
            <w:pPr>
              <w:spacing w:line="276" w:lineRule="auto"/>
              <w:rPr>
                <w:rFonts w:ascii="Arial" w:hAnsi="Arial" w:cs="Arial"/>
                <w:sz w:val="22"/>
                <w:szCs w:val="22"/>
              </w:rPr>
            </w:pPr>
            <w:r w:rsidRPr="007B2F69">
              <w:rPr>
                <w:rFonts w:ascii="Arial" w:hAnsi="Arial" w:cs="Arial"/>
                <w:sz w:val="22"/>
                <w:szCs w:val="22"/>
              </w:rPr>
              <w:t xml:space="preserve">Gestor: </w:t>
            </w:r>
          </w:p>
        </w:tc>
        <w:tc>
          <w:tcPr>
            <w:tcW w:w="6486" w:type="dxa"/>
          </w:tcPr>
          <w:p w14:paraId="4DAAEF1B" w14:textId="77777777" w:rsidR="009D2F31" w:rsidRPr="007B2F69" w:rsidRDefault="009D2F31" w:rsidP="007419C7">
            <w:pPr>
              <w:spacing w:line="276" w:lineRule="auto"/>
              <w:jc w:val="both"/>
              <w:rPr>
                <w:rFonts w:ascii="Arial" w:hAnsi="Arial" w:cs="Arial"/>
                <w:sz w:val="22"/>
                <w:szCs w:val="22"/>
              </w:rPr>
            </w:pPr>
            <w:r w:rsidRPr="007B2F69">
              <w:rPr>
                <w:rFonts w:ascii="Arial" w:hAnsi="Arial" w:cs="Arial"/>
                <w:sz w:val="22"/>
                <w:szCs w:val="22"/>
              </w:rPr>
              <w:t>Český statistický úřad</w:t>
            </w:r>
          </w:p>
        </w:tc>
      </w:tr>
      <w:tr w:rsidR="009D2F31" w:rsidRPr="007B2F69" w14:paraId="3B0DE696" w14:textId="77777777" w:rsidTr="00C375C1">
        <w:tc>
          <w:tcPr>
            <w:tcW w:w="2802" w:type="dxa"/>
          </w:tcPr>
          <w:p w14:paraId="7476215E" w14:textId="77777777" w:rsidR="009D2F31" w:rsidRPr="007B2F69" w:rsidRDefault="009D2F31" w:rsidP="00C375C1">
            <w:pPr>
              <w:spacing w:line="276" w:lineRule="auto"/>
              <w:rPr>
                <w:rFonts w:ascii="Arial" w:hAnsi="Arial" w:cs="Arial"/>
                <w:sz w:val="22"/>
                <w:szCs w:val="22"/>
              </w:rPr>
            </w:pPr>
            <w:r w:rsidRPr="007B2F69">
              <w:rPr>
                <w:rFonts w:ascii="Arial" w:hAnsi="Arial" w:cs="Arial"/>
                <w:sz w:val="22"/>
                <w:szCs w:val="22"/>
              </w:rPr>
              <w:t xml:space="preserve">Význam indikátoru: </w:t>
            </w:r>
          </w:p>
        </w:tc>
        <w:tc>
          <w:tcPr>
            <w:tcW w:w="6486" w:type="dxa"/>
          </w:tcPr>
          <w:p w14:paraId="72EAF6E0" w14:textId="77777777" w:rsidR="009D2F31" w:rsidRPr="007B2F69" w:rsidRDefault="009D2F31" w:rsidP="007419C7">
            <w:pPr>
              <w:spacing w:line="276" w:lineRule="auto"/>
              <w:jc w:val="both"/>
              <w:rPr>
                <w:rFonts w:ascii="Arial" w:hAnsi="Arial" w:cs="Arial"/>
                <w:sz w:val="22"/>
                <w:szCs w:val="22"/>
              </w:rPr>
            </w:pPr>
            <w:r w:rsidRPr="007B2F69">
              <w:rPr>
                <w:rFonts w:ascii="Arial" w:hAnsi="Arial" w:cs="Arial"/>
                <w:sz w:val="22"/>
                <w:szCs w:val="22"/>
              </w:rPr>
              <w:t>Ve všech zemích a ekonomických odvětvích je převážná část inovací výsledkem přejímání cizích znalostí a technologií. Značně se však liší význam a rozsah firem, které zavádí inovace na základě znalostí a technologií pocházejících z vlastních výzkumných a vývojových aktivit.</w:t>
            </w:r>
          </w:p>
        </w:tc>
      </w:tr>
      <w:tr w:rsidR="009D2F31" w:rsidRPr="007B2F69" w14:paraId="2A1B5B0D" w14:textId="77777777" w:rsidTr="00C375C1">
        <w:tc>
          <w:tcPr>
            <w:tcW w:w="2802" w:type="dxa"/>
          </w:tcPr>
          <w:p w14:paraId="1F53E209" w14:textId="77777777" w:rsidR="009D2F31" w:rsidRPr="007B2F69" w:rsidRDefault="009D2F31" w:rsidP="00C375C1">
            <w:pPr>
              <w:spacing w:line="276" w:lineRule="auto"/>
              <w:rPr>
                <w:rFonts w:ascii="Arial" w:hAnsi="Arial" w:cs="Arial"/>
                <w:sz w:val="22"/>
                <w:szCs w:val="22"/>
              </w:rPr>
            </w:pPr>
            <w:r w:rsidRPr="007B2F69">
              <w:rPr>
                <w:rFonts w:ascii="Arial" w:hAnsi="Arial" w:cs="Arial"/>
                <w:sz w:val="22"/>
                <w:szCs w:val="22"/>
              </w:rPr>
              <w:t xml:space="preserve">Časová řada: </w:t>
            </w:r>
          </w:p>
        </w:tc>
        <w:tc>
          <w:tcPr>
            <w:tcW w:w="6486" w:type="dxa"/>
          </w:tcPr>
          <w:p w14:paraId="70132911" w14:textId="77777777" w:rsidR="009D2F31" w:rsidRPr="007B2F69" w:rsidRDefault="009D2F31" w:rsidP="007419C7">
            <w:pPr>
              <w:spacing w:line="276" w:lineRule="auto"/>
              <w:jc w:val="both"/>
              <w:rPr>
                <w:rFonts w:ascii="Arial" w:hAnsi="Arial" w:cs="Arial"/>
                <w:sz w:val="22"/>
                <w:szCs w:val="22"/>
              </w:rPr>
            </w:pPr>
            <w:r w:rsidRPr="007B2F69">
              <w:rPr>
                <w:rFonts w:ascii="Arial" w:hAnsi="Arial" w:cs="Arial"/>
                <w:sz w:val="22"/>
                <w:szCs w:val="22"/>
              </w:rPr>
              <w:t xml:space="preserve">1. </w:t>
            </w:r>
            <w:proofErr w:type="spellStart"/>
            <w:r w:rsidRPr="007B2F69">
              <w:rPr>
                <w:rFonts w:ascii="Arial" w:hAnsi="Arial" w:cs="Arial"/>
                <w:sz w:val="22"/>
                <w:szCs w:val="22"/>
              </w:rPr>
              <w:t>ref</w:t>
            </w:r>
            <w:proofErr w:type="spellEnd"/>
            <w:r w:rsidRPr="007B2F69">
              <w:rPr>
                <w:rFonts w:ascii="Arial" w:hAnsi="Arial" w:cs="Arial"/>
                <w:sz w:val="22"/>
                <w:szCs w:val="22"/>
              </w:rPr>
              <w:t>. období 2003-2005</w:t>
            </w:r>
          </w:p>
        </w:tc>
      </w:tr>
      <w:tr w:rsidR="009D2F31" w:rsidRPr="007B2F69" w14:paraId="2FAE47F6" w14:textId="77777777" w:rsidTr="00C375C1">
        <w:tc>
          <w:tcPr>
            <w:tcW w:w="2802" w:type="dxa"/>
          </w:tcPr>
          <w:p w14:paraId="7680CE85" w14:textId="77777777" w:rsidR="009D2F31" w:rsidRPr="007B2F69" w:rsidRDefault="009D2F31" w:rsidP="00C375C1">
            <w:pPr>
              <w:spacing w:line="276" w:lineRule="auto"/>
              <w:rPr>
                <w:rFonts w:ascii="Arial" w:hAnsi="Arial" w:cs="Arial"/>
                <w:sz w:val="22"/>
                <w:szCs w:val="22"/>
              </w:rPr>
            </w:pPr>
            <w:r w:rsidRPr="007B2F69">
              <w:rPr>
                <w:rFonts w:ascii="Arial" w:hAnsi="Arial" w:cs="Arial"/>
                <w:sz w:val="22"/>
                <w:szCs w:val="22"/>
              </w:rPr>
              <w:t xml:space="preserve">Frekvence výstupu: </w:t>
            </w:r>
          </w:p>
        </w:tc>
        <w:tc>
          <w:tcPr>
            <w:tcW w:w="6486" w:type="dxa"/>
          </w:tcPr>
          <w:p w14:paraId="467FCB7D" w14:textId="77777777" w:rsidR="009D2F31" w:rsidRPr="007B2F69" w:rsidRDefault="009D2F31" w:rsidP="007419C7">
            <w:pPr>
              <w:spacing w:line="276" w:lineRule="auto"/>
              <w:jc w:val="both"/>
              <w:rPr>
                <w:rFonts w:ascii="Arial" w:hAnsi="Arial" w:cs="Arial"/>
                <w:sz w:val="22"/>
                <w:szCs w:val="22"/>
              </w:rPr>
            </w:pPr>
            <w:r w:rsidRPr="007B2F69">
              <w:rPr>
                <w:rFonts w:ascii="Arial" w:hAnsi="Arial" w:cs="Arial"/>
                <w:sz w:val="22"/>
                <w:szCs w:val="22"/>
              </w:rPr>
              <w:t>Dvouletá z údajů získaných na základě statistického šetření o inovacích v podnicích, které se uskutečňuje za účelem zmapování inovačního potenciálu podniků působících v</w:t>
            </w:r>
            <w:r>
              <w:rPr>
                <w:rFonts w:ascii="Arial" w:hAnsi="Arial" w:cs="Arial"/>
                <w:sz w:val="22"/>
                <w:szCs w:val="22"/>
              </w:rPr>
              <w:t> </w:t>
            </w:r>
            <w:r w:rsidRPr="007B2F69">
              <w:rPr>
                <w:rFonts w:ascii="Arial" w:hAnsi="Arial" w:cs="Arial"/>
                <w:sz w:val="22"/>
                <w:szCs w:val="22"/>
              </w:rPr>
              <w:t>České republice</w:t>
            </w:r>
          </w:p>
        </w:tc>
      </w:tr>
      <w:tr w:rsidR="009D2F31" w:rsidRPr="007B2F69" w14:paraId="4A437F99" w14:textId="77777777" w:rsidTr="00C375C1">
        <w:trPr>
          <w:trHeight w:val="70"/>
        </w:trPr>
        <w:tc>
          <w:tcPr>
            <w:tcW w:w="2802" w:type="dxa"/>
          </w:tcPr>
          <w:p w14:paraId="4C0B8222" w14:textId="77777777" w:rsidR="009D2F31" w:rsidRPr="007B2F69" w:rsidRDefault="009D2F31" w:rsidP="00C375C1">
            <w:pPr>
              <w:spacing w:line="276" w:lineRule="auto"/>
              <w:rPr>
                <w:rFonts w:ascii="Arial" w:hAnsi="Arial" w:cs="Arial"/>
                <w:sz w:val="22"/>
                <w:szCs w:val="22"/>
              </w:rPr>
            </w:pPr>
            <w:r w:rsidRPr="007B2F69">
              <w:rPr>
                <w:rFonts w:ascii="Arial" w:hAnsi="Arial" w:cs="Arial"/>
                <w:sz w:val="22"/>
                <w:szCs w:val="22"/>
              </w:rPr>
              <w:t xml:space="preserve">Členění indikátoru: </w:t>
            </w:r>
          </w:p>
        </w:tc>
        <w:tc>
          <w:tcPr>
            <w:tcW w:w="6486" w:type="dxa"/>
          </w:tcPr>
          <w:p w14:paraId="708C1D0D" w14:textId="77777777" w:rsidR="009D2F31" w:rsidRPr="007B2F69" w:rsidRDefault="009D2F31" w:rsidP="007419C7">
            <w:pPr>
              <w:spacing w:line="276" w:lineRule="auto"/>
              <w:jc w:val="both"/>
              <w:rPr>
                <w:rFonts w:ascii="Arial" w:hAnsi="Arial" w:cs="Arial"/>
                <w:sz w:val="22"/>
                <w:szCs w:val="22"/>
              </w:rPr>
            </w:pPr>
            <w:r w:rsidRPr="007B2F69">
              <w:rPr>
                <w:rFonts w:ascii="Arial" w:hAnsi="Arial" w:cs="Arial"/>
                <w:sz w:val="22"/>
                <w:szCs w:val="22"/>
              </w:rPr>
              <w:t>Podle typ</w:t>
            </w:r>
            <w:r>
              <w:rPr>
                <w:rFonts w:ascii="Arial" w:hAnsi="Arial" w:cs="Arial"/>
                <w:sz w:val="22"/>
                <w:szCs w:val="22"/>
              </w:rPr>
              <w:t>u produktové a procesní inovace</w:t>
            </w:r>
            <w:r w:rsidRPr="007B2F69">
              <w:rPr>
                <w:rFonts w:ascii="Arial" w:hAnsi="Arial" w:cs="Arial"/>
                <w:sz w:val="22"/>
                <w:szCs w:val="22"/>
              </w:rPr>
              <w:t xml:space="preserve"> v kombinaci s tříděním podle vlastnictví (domácí podniky a podniky pod zahraniční kontrolou); velikosti (malé, střední a velké podniky) a převažující ekonomické činnosti (klasifikace CZ-NACE) sledovaných podniků.</w:t>
            </w:r>
          </w:p>
        </w:tc>
      </w:tr>
      <w:tr w:rsidR="009D2F31" w:rsidRPr="007B2F69" w14:paraId="6442292A" w14:textId="77777777" w:rsidTr="00C375C1">
        <w:trPr>
          <w:trHeight w:val="70"/>
        </w:trPr>
        <w:tc>
          <w:tcPr>
            <w:tcW w:w="2802" w:type="dxa"/>
          </w:tcPr>
          <w:p w14:paraId="1A82DE6F" w14:textId="77777777" w:rsidR="009D2F31" w:rsidRPr="007B2F69" w:rsidRDefault="009D2F31" w:rsidP="00C375C1">
            <w:pPr>
              <w:spacing w:line="276" w:lineRule="auto"/>
              <w:rPr>
                <w:rFonts w:ascii="Arial" w:hAnsi="Arial" w:cs="Arial"/>
                <w:sz w:val="22"/>
                <w:szCs w:val="22"/>
              </w:rPr>
            </w:pPr>
            <w:r w:rsidRPr="007B2F69">
              <w:rPr>
                <w:rFonts w:ascii="Arial" w:hAnsi="Arial" w:cs="Arial"/>
                <w:sz w:val="22"/>
                <w:szCs w:val="22"/>
              </w:rPr>
              <w:t>Mezinárodní srovnání:</w:t>
            </w:r>
          </w:p>
        </w:tc>
        <w:tc>
          <w:tcPr>
            <w:tcW w:w="6486" w:type="dxa"/>
          </w:tcPr>
          <w:p w14:paraId="299C179A" w14:textId="77777777" w:rsidR="009D2F31" w:rsidRPr="007B2F69" w:rsidRDefault="009D2F31" w:rsidP="007419C7">
            <w:pPr>
              <w:spacing w:line="276" w:lineRule="auto"/>
              <w:jc w:val="both"/>
              <w:rPr>
                <w:rFonts w:ascii="Arial" w:hAnsi="Arial" w:cs="Arial"/>
                <w:sz w:val="22"/>
                <w:szCs w:val="22"/>
              </w:rPr>
            </w:pPr>
            <w:proofErr w:type="spellStart"/>
            <w:r w:rsidRPr="007B2F69">
              <w:rPr>
                <w:rFonts w:ascii="Arial" w:hAnsi="Arial" w:cs="Arial"/>
                <w:sz w:val="22"/>
                <w:szCs w:val="22"/>
              </w:rPr>
              <w:t>Eurostat</w:t>
            </w:r>
            <w:proofErr w:type="spellEnd"/>
          </w:p>
        </w:tc>
      </w:tr>
    </w:tbl>
    <w:p w14:paraId="1B7B4DDA" w14:textId="77777777" w:rsidR="009D2F31" w:rsidRDefault="009D2F31" w:rsidP="009F7924">
      <w:pPr>
        <w:pStyle w:val="r2030cle"/>
        <w:numPr>
          <w:ilvl w:val="0"/>
          <w:numId w:val="0"/>
        </w:numPr>
        <w:rPr>
          <w:b w:val="0"/>
        </w:rPr>
      </w:pPr>
    </w:p>
    <w:tbl>
      <w:tblPr>
        <w:tblStyle w:val="Mkatabulky"/>
        <w:tblW w:w="0" w:type="auto"/>
        <w:tblLook w:val="04A0" w:firstRow="1" w:lastRow="0" w:firstColumn="1" w:lastColumn="0" w:noHBand="0" w:noVBand="1"/>
      </w:tblPr>
      <w:tblGrid>
        <w:gridCol w:w="2802"/>
        <w:gridCol w:w="6486"/>
      </w:tblGrid>
      <w:tr w:rsidR="009D2F31" w:rsidRPr="007B2F69" w14:paraId="0BC6063A" w14:textId="77777777" w:rsidTr="00C375C1">
        <w:tc>
          <w:tcPr>
            <w:tcW w:w="2802" w:type="dxa"/>
          </w:tcPr>
          <w:p w14:paraId="11C2F32F" w14:textId="77777777" w:rsidR="009D2F31" w:rsidRPr="007B2F69" w:rsidRDefault="009D2F31" w:rsidP="00C375C1">
            <w:pPr>
              <w:spacing w:line="276" w:lineRule="auto"/>
              <w:rPr>
                <w:rFonts w:ascii="Arial" w:hAnsi="Arial" w:cs="Arial"/>
                <w:sz w:val="22"/>
                <w:szCs w:val="22"/>
              </w:rPr>
            </w:pPr>
            <w:r w:rsidRPr="007B2F69">
              <w:rPr>
                <w:rFonts w:ascii="Arial" w:hAnsi="Arial" w:cs="Arial"/>
                <w:sz w:val="22"/>
                <w:szCs w:val="22"/>
              </w:rPr>
              <w:lastRenderedPageBreak/>
              <w:t xml:space="preserve">Název a označení indikátoru: </w:t>
            </w:r>
          </w:p>
        </w:tc>
        <w:tc>
          <w:tcPr>
            <w:tcW w:w="6486" w:type="dxa"/>
          </w:tcPr>
          <w:p w14:paraId="7EF80433" w14:textId="77777777" w:rsidR="009D2F31" w:rsidRPr="007B2F69" w:rsidRDefault="009D2F31" w:rsidP="00C375C1">
            <w:pPr>
              <w:spacing w:line="276" w:lineRule="auto"/>
              <w:rPr>
                <w:rFonts w:ascii="Arial" w:hAnsi="Arial" w:cs="Arial"/>
                <w:b/>
                <w:sz w:val="22"/>
                <w:szCs w:val="22"/>
              </w:rPr>
            </w:pPr>
            <w:r w:rsidRPr="007B2F69">
              <w:rPr>
                <w:rFonts w:ascii="Arial" w:hAnsi="Arial" w:cs="Arial"/>
                <w:b/>
                <w:sz w:val="22"/>
                <w:szCs w:val="22"/>
              </w:rPr>
              <w:t>8.2.4 Celkové náklady na technické inovace</w:t>
            </w:r>
          </w:p>
        </w:tc>
      </w:tr>
      <w:tr w:rsidR="009D2F31" w:rsidRPr="007B2F69" w14:paraId="4BDD6D2B" w14:textId="77777777" w:rsidTr="00C375C1">
        <w:tc>
          <w:tcPr>
            <w:tcW w:w="2802" w:type="dxa"/>
          </w:tcPr>
          <w:p w14:paraId="46E98F8C" w14:textId="77777777" w:rsidR="009D2F31" w:rsidRPr="007B2F69" w:rsidRDefault="009D2F31" w:rsidP="00C375C1">
            <w:pPr>
              <w:spacing w:line="276" w:lineRule="auto"/>
              <w:rPr>
                <w:rFonts w:ascii="Arial" w:hAnsi="Arial" w:cs="Arial"/>
                <w:sz w:val="22"/>
                <w:szCs w:val="22"/>
              </w:rPr>
            </w:pPr>
            <w:r w:rsidRPr="007B2F69">
              <w:rPr>
                <w:rFonts w:ascii="Arial" w:hAnsi="Arial" w:cs="Arial"/>
                <w:sz w:val="22"/>
                <w:szCs w:val="22"/>
              </w:rPr>
              <w:t xml:space="preserve">Stručná definice: </w:t>
            </w:r>
          </w:p>
        </w:tc>
        <w:tc>
          <w:tcPr>
            <w:tcW w:w="6486" w:type="dxa"/>
          </w:tcPr>
          <w:p w14:paraId="0934DBB5" w14:textId="77777777" w:rsidR="009D2F31" w:rsidRPr="007B2F69" w:rsidRDefault="009D2F31" w:rsidP="007419C7">
            <w:pPr>
              <w:spacing w:line="276" w:lineRule="auto"/>
              <w:jc w:val="both"/>
              <w:rPr>
                <w:rFonts w:ascii="Arial" w:hAnsi="Arial" w:cs="Arial"/>
                <w:sz w:val="22"/>
                <w:szCs w:val="22"/>
              </w:rPr>
            </w:pPr>
            <w:r w:rsidRPr="007B2F69">
              <w:rPr>
                <w:rFonts w:ascii="Arial" w:hAnsi="Arial" w:cs="Arial"/>
                <w:sz w:val="22"/>
                <w:szCs w:val="22"/>
              </w:rPr>
              <w:t>Celkové inovační náklady související s produktovými a procesními inovacemi ve sledovaném období zahrnují: vnitropodnikový výzkum a vývoj; nákup služeb výzkumu a vývoje; pořízení přístrojů, strojů, zařízení, softwaru a budov (progresivní stroje, počítačový hardware speciálně koupený pro zavedení nových nebo významně zlepšených produktů a/nebo procesů); pořízení jiných externích znalostí (nákup patentových práv a nepatentovaných vynálezů, licencí, know-how, obchodních známek, softwaru a dalších forem znalostí od jiných subjektů za účelem jejich využití ve firemních inovacích) a od roku 2012 náklady na ostatní inovační činnosti (design, školení, uvádění inovací na trh atd.) související s prováděnými technickými inovacemi.</w:t>
            </w:r>
          </w:p>
        </w:tc>
      </w:tr>
      <w:tr w:rsidR="009D2F31" w:rsidRPr="007B2F69" w14:paraId="6264FC5B" w14:textId="77777777" w:rsidTr="00C375C1">
        <w:tc>
          <w:tcPr>
            <w:tcW w:w="2802" w:type="dxa"/>
          </w:tcPr>
          <w:p w14:paraId="08B1F03A" w14:textId="77777777" w:rsidR="009D2F31" w:rsidRPr="007B2F69" w:rsidRDefault="009D2F31" w:rsidP="00C375C1">
            <w:pPr>
              <w:spacing w:line="276" w:lineRule="auto"/>
              <w:rPr>
                <w:rFonts w:ascii="Arial" w:hAnsi="Arial" w:cs="Arial"/>
                <w:sz w:val="22"/>
                <w:szCs w:val="22"/>
              </w:rPr>
            </w:pPr>
            <w:r w:rsidRPr="007B2F69">
              <w:rPr>
                <w:rFonts w:ascii="Arial" w:hAnsi="Arial" w:cs="Arial"/>
                <w:sz w:val="22"/>
                <w:szCs w:val="22"/>
              </w:rPr>
              <w:t>Jednotka:</w:t>
            </w:r>
          </w:p>
        </w:tc>
        <w:tc>
          <w:tcPr>
            <w:tcW w:w="6486" w:type="dxa"/>
          </w:tcPr>
          <w:p w14:paraId="2D59A03D" w14:textId="77777777" w:rsidR="009D2F31" w:rsidRPr="007B2F69" w:rsidRDefault="009D2F31" w:rsidP="007419C7">
            <w:pPr>
              <w:spacing w:line="276" w:lineRule="auto"/>
              <w:jc w:val="both"/>
              <w:rPr>
                <w:rFonts w:ascii="Arial" w:hAnsi="Arial" w:cs="Arial"/>
                <w:sz w:val="22"/>
                <w:szCs w:val="22"/>
              </w:rPr>
            </w:pPr>
            <w:r w:rsidRPr="007B2F69">
              <w:rPr>
                <w:rFonts w:ascii="Arial" w:hAnsi="Arial" w:cs="Arial"/>
                <w:sz w:val="22"/>
                <w:szCs w:val="22"/>
              </w:rPr>
              <w:t>Mil. Kč; Podíl na celkových podnikových tržbách</w:t>
            </w:r>
          </w:p>
        </w:tc>
      </w:tr>
      <w:tr w:rsidR="009D2F31" w:rsidRPr="007B2F69" w14:paraId="32BE268F" w14:textId="77777777" w:rsidTr="00C375C1">
        <w:tc>
          <w:tcPr>
            <w:tcW w:w="2802" w:type="dxa"/>
          </w:tcPr>
          <w:p w14:paraId="573211BD" w14:textId="77777777" w:rsidR="009D2F31" w:rsidRPr="007B2F69" w:rsidRDefault="009D2F31" w:rsidP="00C375C1">
            <w:pPr>
              <w:spacing w:line="276" w:lineRule="auto"/>
              <w:rPr>
                <w:rFonts w:ascii="Arial" w:hAnsi="Arial" w:cs="Arial"/>
                <w:sz w:val="22"/>
                <w:szCs w:val="22"/>
              </w:rPr>
            </w:pPr>
            <w:r w:rsidRPr="007B2F69">
              <w:rPr>
                <w:rFonts w:ascii="Arial" w:hAnsi="Arial" w:cs="Arial"/>
                <w:sz w:val="22"/>
                <w:szCs w:val="22"/>
              </w:rPr>
              <w:t xml:space="preserve">Gestor: </w:t>
            </w:r>
          </w:p>
        </w:tc>
        <w:tc>
          <w:tcPr>
            <w:tcW w:w="6486" w:type="dxa"/>
          </w:tcPr>
          <w:p w14:paraId="36DF61F8" w14:textId="77777777" w:rsidR="009D2F31" w:rsidRPr="007B2F69" w:rsidRDefault="009D2F31" w:rsidP="007419C7">
            <w:pPr>
              <w:spacing w:line="276" w:lineRule="auto"/>
              <w:jc w:val="both"/>
              <w:rPr>
                <w:rFonts w:ascii="Arial" w:hAnsi="Arial" w:cs="Arial"/>
                <w:sz w:val="22"/>
                <w:szCs w:val="22"/>
              </w:rPr>
            </w:pPr>
            <w:r w:rsidRPr="007B2F69">
              <w:rPr>
                <w:rFonts w:ascii="Arial" w:hAnsi="Arial" w:cs="Arial"/>
                <w:sz w:val="22"/>
                <w:szCs w:val="22"/>
              </w:rPr>
              <w:t>Český statistický úřad</w:t>
            </w:r>
          </w:p>
        </w:tc>
      </w:tr>
      <w:tr w:rsidR="009D2F31" w:rsidRPr="007B2F69" w14:paraId="26ADF0E5" w14:textId="77777777" w:rsidTr="00C375C1">
        <w:tc>
          <w:tcPr>
            <w:tcW w:w="2802" w:type="dxa"/>
          </w:tcPr>
          <w:p w14:paraId="43DA1005" w14:textId="77777777" w:rsidR="009D2F31" w:rsidRPr="007B2F69" w:rsidRDefault="009D2F31" w:rsidP="00C375C1">
            <w:pPr>
              <w:spacing w:line="276" w:lineRule="auto"/>
              <w:rPr>
                <w:rFonts w:ascii="Arial" w:hAnsi="Arial" w:cs="Arial"/>
                <w:sz w:val="22"/>
                <w:szCs w:val="22"/>
              </w:rPr>
            </w:pPr>
            <w:r w:rsidRPr="007B2F69">
              <w:rPr>
                <w:rFonts w:ascii="Arial" w:hAnsi="Arial" w:cs="Arial"/>
                <w:sz w:val="22"/>
                <w:szCs w:val="22"/>
              </w:rPr>
              <w:t xml:space="preserve">Význam indikátoru: </w:t>
            </w:r>
          </w:p>
        </w:tc>
        <w:tc>
          <w:tcPr>
            <w:tcW w:w="6486" w:type="dxa"/>
          </w:tcPr>
          <w:p w14:paraId="1FA56204" w14:textId="77777777" w:rsidR="009D2F31" w:rsidRPr="007B2F69" w:rsidRDefault="009D2F31" w:rsidP="007419C7">
            <w:pPr>
              <w:spacing w:line="276" w:lineRule="auto"/>
              <w:jc w:val="both"/>
              <w:rPr>
                <w:rFonts w:ascii="Arial" w:hAnsi="Arial" w:cs="Arial"/>
                <w:sz w:val="22"/>
                <w:szCs w:val="22"/>
              </w:rPr>
            </w:pPr>
            <w:r w:rsidRPr="007B2F69">
              <w:rPr>
                <w:rFonts w:ascii="Arial" w:hAnsi="Arial" w:cs="Arial"/>
                <w:sz w:val="22"/>
                <w:szCs w:val="22"/>
              </w:rPr>
              <w:t xml:space="preserve">Vysoké náklady a rizika spojená se zaváděním inovací způsobují, že podniky často investují do inovací méně finančních prostředků než by mohlo být společensky žádoucí. Z tohoto důvodu se vlády států snaží vybudovat co nejvhodnější prostředí charakterizované stabilní makroekonomickou politikou, příznivou a transparentní legislativou, které by podniky stimulovalo k vyšší inovační aktivitě a vyšším investicím do svých produktových a procesních inovací. </w:t>
            </w:r>
          </w:p>
        </w:tc>
      </w:tr>
      <w:tr w:rsidR="009D2F31" w:rsidRPr="007B2F69" w14:paraId="28CC595E" w14:textId="77777777" w:rsidTr="00C375C1">
        <w:tc>
          <w:tcPr>
            <w:tcW w:w="2802" w:type="dxa"/>
          </w:tcPr>
          <w:p w14:paraId="79FF58EE" w14:textId="77777777" w:rsidR="009D2F31" w:rsidRPr="007B2F69" w:rsidRDefault="009D2F31" w:rsidP="00C375C1">
            <w:pPr>
              <w:spacing w:line="276" w:lineRule="auto"/>
              <w:rPr>
                <w:rFonts w:ascii="Arial" w:hAnsi="Arial" w:cs="Arial"/>
                <w:sz w:val="22"/>
                <w:szCs w:val="22"/>
              </w:rPr>
            </w:pPr>
            <w:r w:rsidRPr="007B2F69">
              <w:rPr>
                <w:rFonts w:ascii="Arial" w:hAnsi="Arial" w:cs="Arial"/>
                <w:sz w:val="22"/>
                <w:szCs w:val="22"/>
              </w:rPr>
              <w:t xml:space="preserve">Časová řada: </w:t>
            </w:r>
          </w:p>
        </w:tc>
        <w:tc>
          <w:tcPr>
            <w:tcW w:w="6486" w:type="dxa"/>
          </w:tcPr>
          <w:p w14:paraId="54039733" w14:textId="77777777" w:rsidR="009D2F31" w:rsidRPr="007B2F69" w:rsidRDefault="009D2F31" w:rsidP="007419C7">
            <w:pPr>
              <w:spacing w:line="276" w:lineRule="auto"/>
              <w:jc w:val="both"/>
              <w:rPr>
                <w:rFonts w:ascii="Arial" w:hAnsi="Arial" w:cs="Arial"/>
                <w:sz w:val="22"/>
                <w:szCs w:val="22"/>
              </w:rPr>
            </w:pPr>
            <w:r w:rsidRPr="007B2F69">
              <w:rPr>
                <w:rFonts w:ascii="Arial" w:hAnsi="Arial" w:cs="Arial"/>
                <w:sz w:val="22"/>
                <w:szCs w:val="22"/>
              </w:rPr>
              <w:t>Od roku 2003</w:t>
            </w:r>
          </w:p>
        </w:tc>
      </w:tr>
      <w:tr w:rsidR="009D2F31" w:rsidRPr="007B2F69" w14:paraId="58766A6F" w14:textId="77777777" w:rsidTr="00C375C1">
        <w:tc>
          <w:tcPr>
            <w:tcW w:w="2802" w:type="dxa"/>
          </w:tcPr>
          <w:p w14:paraId="428D3CD2" w14:textId="77777777" w:rsidR="009D2F31" w:rsidRPr="007B2F69" w:rsidRDefault="009D2F31" w:rsidP="00C375C1">
            <w:pPr>
              <w:spacing w:line="276" w:lineRule="auto"/>
              <w:rPr>
                <w:rFonts w:ascii="Arial" w:hAnsi="Arial" w:cs="Arial"/>
                <w:sz w:val="22"/>
                <w:szCs w:val="22"/>
              </w:rPr>
            </w:pPr>
            <w:r w:rsidRPr="007B2F69">
              <w:rPr>
                <w:rFonts w:ascii="Arial" w:hAnsi="Arial" w:cs="Arial"/>
                <w:sz w:val="22"/>
                <w:szCs w:val="22"/>
              </w:rPr>
              <w:t xml:space="preserve">Frekvence výstupu: </w:t>
            </w:r>
          </w:p>
        </w:tc>
        <w:tc>
          <w:tcPr>
            <w:tcW w:w="6486" w:type="dxa"/>
          </w:tcPr>
          <w:p w14:paraId="3F631DAE" w14:textId="77777777" w:rsidR="009D2F31" w:rsidRPr="007B2F69" w:rsidRDefault="009D2F31" w:rsidP="007419C7">
            <w:pPr>
              <w:spacing w:line="276" w:lineRule="auto"/>
              <w:jc w:val="both"/>
              <w:rPr>
                <w:rFonts w:ascii="Arial" w:hAnsi="Arial" w:cs="Arial"/>
                <w:sz w:val="22"/>
                <w:szCs w:val="22"/>
              </w:rPr>
            </w:pPr>
            <w:r w:rsidRPr="007B2F69">
              <w:rPr>
                <w:rFonts w:ascii="Arial" w:hAnsi="Arial" w:cs="Arial"/>
                <w:sz w:val="22"/>
                <w:szCs w:val="22"/>
              </w:rPr>
              <w:t xml:space="preserve">Dvouletá z údajů získaných na základě statistického šetření o inovacích v podnicích, které se uskutečňuje za účelem zmapování inovačního potenciálu podniků působících v České republice </w:t>
            </w:r>
          </w:p>
        </w:tc>
      </w:tr>
      <w:tr w:rsidR="009D2F31" w:rsidRPr="007B2F69" w14:paraId="063A226E" w14:textId="77777777" w:rsidTr="00C375C1">
        <w:trPr>
          <w:trHeight w:val="70"/>
        </w:trPr>
        <w:tc>
          <w:tcPr>
            <w:tcW w:w="2802" w:type="dxa"/>
          </w:tcPr>
          <w:p w14:paraId="51DE1670" w14:textId="77777777" w:rsidR="009D2F31" w:rsidRPr="007B2F69" w:rsidRDefault="009D2F31" w:rsidP="00C375C1">
            <w:pPr>
              <w:spacing w:line="276" w:lineRule="auto"/>
              <w:rPr>
                <w:rFonts w:ascii="Arial" w:hAnsi="Arial" w:cs="Arial"/>
                <w:sz w:val="22"/>
                <w:szCs w:val="22"/>
              </w:rPr>
            </w:pPr>
            <w:r w:rsidRPr="007B2F69">
              <w:rPr>
                <w:rFonts w:ascii="Arial" w:hAnsi="Arial" w:cs="Arial"/>
                <w:sz w:val="22"/>
                <w:szCs w:val="22"/>
              </w:rPr>
              <w:t xml:space="preserve">Členění indikátoru: </w:t>
            </w:r>
          </w:p>
        </w:tc>
        <w:tc>
          <w:tcPr>
            <w:tcW w:w="6486" w:type="dxa"/>
          </w:tcPr>
          <w:p w14:paraId="500FB907" w14:textId="77777777" w:rsidR="009D2F31" w:rsidRPr="007B2F69" w:rsidRDefault="009D2F31" w:rsidP="007419C7">
            <w:pPr>
              <w:spacing w:line="276" w:lineRule="auto"/>
              <w:jc w:val="both"/>
              <w:rPr>
                <w:rFonts w:ascii="Arial" w:hAnsi="Arial" w:cs="Arial"/>
                <w:sz w:val="22"/>
                <w:szCs w:val="22"/>
              </w:rPr>
            </w:pPr>
            <w:r w:rsidRPr="007B2F69">
              <w:rPr>
                <w:rFonts w:ascii="Arial" w:hAnsi="Arial" w:cs="Arial"/>
                <w:sz w:val="22"/>
                <w:szCs w:val="22"/>
              </w:rPr>
              <w:t>Podle druhu nákladů na produktové a procesní inovace v kombinaci s tříděním podle vlastnictví (domácí podniky a podniky pod zahraniční kontrolou); velikosti (malé, střední a velké podniky) a převažující ekonomické činnosti (klasifikace CZ-NACE) sledovaných podniků.</w:t>
            </w:r>
          </w:p>
        </w:tc>
      </w:tr>
      <w:tr w:rsidR="009D2F31" w:rsidRPr="007B2F69" w14:paraId="3A7FC7A6" w14:textId="77777777" w:rsidTr="007419C7">
        <w:trPr>
          <w:trHeight w:val="81"/>
        </w:trPr>
        <w:tc>
          <w:tcPr>
            <w:tcW w:w="2802" w:type="dxa"/>
          </w:tcPr>
          <w:p w14:paraId="7F47841D" w14:textId="77777777" w:rsidR="009D2F31" w:rsidRPr="007B2F69" w:rsidRDefault="009D2F31" w:rsidP="00C375C1">
            <w:pPr>
              <w:spacing w:line="276" w:lineRule="auto"/>
              <w:rPr>
                <w:rFonts w:ascii="Arial" w:hAnsi="Arial" w:cs="Arial"/>
                <w:sz w:val="22"/>
                <w:szCs w:val="22"/>
              </w:rPr>
            </w:pPr>
            <w:r w:rsidRPr="007B2F69">
              <w:rPr>
                <w:rFonts w:ascii="Arial" w:hAnsi="Arial" w:cs="Arial"/>
                <w:sz w:val="22"/>
                <w:szCs w:val="22"/>
              </w:rPr>
              <w:t>Mezinárodní srovnání:</w:t>
            </w:r>
          </w:p>
        </w:tc>
        <w:tc>
          <w:tcPr>
            <w:tcW w:w="6486" w:type="dxa"/>
          </w:tcPr>
          <w:p w14:paraId="75A4488A" w14:textId="77777777" w:rsidR="009D2F31" w:rsidRPr="007B2F69" w:rsidRDefault="009D2F31" w:rsidP="007419C7">
            <w:pPr>
              <w:spacing w:line="276" w:lineRule="auto"/>
              <w:jc w:val="both"/>
              <w:rPr>
                <w:rFonts w:ascii="Arial" w:hAnsi="Arial" w:cs="Arial"/>
                <w:sz w:val="22"/>
                <w:szCs w:val="22"/>
              </w:rPr>
            </w:pPr>
            <w:proofErr w:type="spellStart"/>
            <w:r w:rsidRPr="007B2F69">
              <w:rPr>
                <w:rFonts w:ascii="Arial" w:hAnsi="Arial" w:cs="Arial"/>
                <w:sz w:val="22"/>
                <w:szCs w:val="22"/>
              </w:rPr>
              <w:t>Eurostat</w:t>
            </w:r>
            <w:proofErr w:type="spellEnd"/>
          </w:p>
        </w:tc>
      </w:tr>
    </w:tbl>
    <w:p w14:paraId="4A860036" w14:textId="77777777" w:rsidR="009D2F31" w:rsidRDefault="009D2F31" w:rsidP="007419C7">
      <w:pPr>
        <w:pStyle w:val="r2030cle"/>
        <w:numPr>
          <w:ilvl w:val="0"/>
          <w:numId w:val="0"/>
        </w:numPr>
        <w:spacing w:before="0" w:after="0"/>
        <w:rPr>
          <w:b w:val="0"/>
        </w:rPr>
      </w:pPr>
    </w:p>
    <w:tbl>
      <w:tblPr>
        <w:tblStyle w:val="Mkatabulky"/>
        <w:tblW w:w="0" w:type="auto"/>
        <w:tblLook w:val="04A0" w:firstRow="1" w:lastRow="0" w:firstColumn="1" w:lastColumn="0" w:noHBand="0" w:noVBand="1"/>
      </w:tblPr>
      <w:tblGrid>
        <w:gridCol w:w="2802"/>
        <w:gridCol w:w="6486"/>
      </w:tblGrid>
      <w:tr w:rsidR="009D2F31" w:rsidRPr="007B2F69" w14:paraId="1E796F5B" w14:textId="77777777" w:rsidTr="00C375C1">
        <w:tc>
          <w:tcPr>
            <w:tcW w:w="2802" w:type="dxa"/>
          </w:tcPr>
          <w:p w14:paraId="49A82C9A" w14:textId="77777777" w:rsidR="009D2F31" w:rsidRPr="007B2F69" w:rsidRDefault="009D2F31" w:rsidP="00C375C1">
            <w:pPr>
              <w:spacing w:line="276" w:lineRule="auto"/>
              <w:rPr>
                <w:rFonts w:ascii="Arial" w:hAnsi="Arial" w:cs="Arial"/>
                <w:sz w:val="22"/>
                <w:szCs w:val="22"/>
              </w:rPr>
            </w:pPr>
            <w:r w:rsidRPr="007B2F69">
              <w:rPr>
                <w:rFonts w:ascii="Arial" w:hAnsi="Arial" w:cs="Arial"/>
                <w:sz w:val="22"/>
                <w:szCs w:val="22"/>
              </w:rPr>
              <w:t xml:space="preserve">Název a označení indikátoru: </w:t>
            </w:r>
          </w:p>
        </w:tc>
        <w:tc>
          <w:tcPr>
            <w:tcW w:w="6486" w:type="dxa"/>
          </w:tcPr>
          <w:p w14:paraId="53C3ED74" w14:textId="77777777" w:rsidR="009D2F31" w:rsidRPr="007B2F69" w:rsidRDefault="009D2F31" w:rsidP="00C375C1">
            <w:pPr>
              <w:spacing w:line="276" w:lineRule="auto"/>
              <w:rPr>
                <w:rFonts w:ascii="Arial" w:hAnsi="Arial" w:cs="Arial"/>
                <w:b/>
                <w:sz w:val="22"/>
                <w:szCs w:val="22"/>
              </w:rPr>
            </w:pPr>
            <w:r w:rsidRPr="007B2F69">
              <w:rPr>
                <w:rFonts w:ascii="Arial" w:hAnsi="Arial" w:cs="Arial"/>
                <w:b/>
                <w:sz w:val="22"/>
                <w:szCs w:val="22"/>
              </w:rPr>
              <w:t xml:space="preserve">8.2.5 Příjmy z prodeje služeb výzkumu a vývoje </w:t>
            </w:r>
          </w:p>
        </w:tc>
      </w:tr>
      <w:tr w:rsidR="009D2F31" w:rsidRPr="007B2F69" w14:paraId="149BCE81" w14:textId="77777777" w:rsidTr="00C375C1">
        <w:tc>
          <w:tcPr>
            <w:tcW w:w="2802" w:type="dxa"/>
          </w:tcPr>
          <w:p w14:paraId="33B1C555" w14:textId="77777777" w:rsidR="009D2F31" w:rsidRPr="007B2F69" w:rsidRDefault="009D2F31" w:rsidP="00C375C1">
            <w:pPr>
              <w:spacing w:line="276" w:lineRule="auto"/>
              <w:rPr>
                <w:rFonts w:ascii="Arial" w:hAnsi="Arial" w:cs="Arial"/>
                <w:sz w:val="22"/>
                <w:szCs w:val="22"/>
              </w:rPr>
            </w:pPr>
            <w:r w:rsidRPr="007B2F69">
              <w:rPr>
                <w:rFonts w:ascii="Arial" w:hAnsi="Arial" w:cs="Arial"/>
                <w:sz w:val="22"/>
                <w:szCs w:val="22"/>
              </w:rPr>
              <w:t xml:space="preserve">Stručná definice: </w:t>
            </w:r>
          </w:p>
        </w:tc>
        <w:tc>
          <w:tcPr>
            <w:tcW w:w="6486" w:type="dxa"/>
          </w:tcPr>
          <w:p w14:paraId="45EC2E76" w14:textId="77777777" w:rsidR="009D2F31" w:rsidRPr="007B2F69" w:rsidRDefault="009D2F31" w:rsidP="007419C7">
            <w:pPr>
              <w:spacing w:line="276" w:lineRule="auto"/>
              <w:jc w:val="both"/>
              <w:rPr>
                <w:rFonts w:ascii="Arial" w:hAnsi="Arial" w:cs="Arial"/>
                <w:sz w:val="22"/>
                <w:szCs w:val="22"/>
              </w:rPr>
            </w:pPr>
            <w:r w:rsidRPr="007B2F69">
              <w:rPr>
                <w:rFonts w:ascii="Arial" w:hAnsi="Arial" w:cs="Arial"/>
                <w:sz w:val="22"/>
                <w:szCs w:val="22"/>
              </w:rPr>
              <w:t>Příjmy z prodejů služeb výzkumu a vývoje jsou veškeré příjmy, které subjekty provádějící výzkum a vývoj utrží v daném roce za výzkum a vývoj prováděný na zakázku. Údaje jsou publikovány pouze za vládní a vysokoškolský sektor.</w:t>
            </w:r>
          </w:p>
          <w:p w14:paraId="10BF43E1" w14:textId="77777777" w:rsidR="009D2F31" w:rsidRPr="007B2F69" w:rsidRDefault="009D2F31" w:rsidP="007419C7">
            <w:pPr>
              <w:spacing w:line="276" w:lineRule="auto"/>
              <w:jc w:val="both"/>
              <w:rPr>
                <w:rFonts w:ascii="Arial" w:hAnsi="Arial" w:cs="Arial"/>
                <w:sz w:val="22"/>
                <w:szCs w:val="22"/>
              </w:rPr>
            </w:pPr>
            <w:r w:rsidRPr="007B2F69">
              <w:rPr>
                <w:rFonts w:ascii="Arial" w:hAnsi="Arial" w:cs="Arial"/>
                <w:sz w:val="22"/>
                <w:szCs w:val="22"/>
                <w:u w:val="single"/>
              </w:rPr>
              <w:t>Poznámka:</w:t>
            </w:r>
            <w:r w:rsidRPr="007B2F69">
              <w:rPr>
                <w:rFonts w:ascii="Arial" w:hAnsi="Arial" w:cs="Arial"/>
                <w:sz w:val="22"/>
                <w:szCs w:val="22"/>
              </w:rPr>
              <w:t xml:space="preserve"> V případě výzkumných organizací se jedná nejčastěji o příjmy ze smluvního výzkumu. </w:t>
            </w:r>
          </w:p>
        </w:tc>
      </w:tr>
      <w:tr w:rsidR="009D2F31" w:rsidRPr="007B2F69" w14:paraId="312B5FEE" w14:textId="77777777" w:rsidTr="00C375C1">
        <w:tc>
          <w:tcPr>
            <w:tcW w:w="2802" w:type="dxa"/>
          </w:tcPr>
          <w:p w14:paraId="384DF472" w14:textId="77777777" w:rsidR="009D2F31" w:rsidRPr="007B2F69" w:rsidRDefault="009D2F31" w:rsidP="00C375C1">
            <w:pPr>
              <w:spacing w:line="276" w:lineRule="auto"/>
              <w:rPr>
                <w:rFonts w:ascii="Arial" w:hAnsi="Arial" w:cs="Arial"/>
                <w:sz w:val="22"/>
                <w:szCs w:val="22"/>
              </w:rPr>
            </w:pPr>
            <w:r w:rsidRPr="007B2F69">
              <w:rPr>
                <w:rFonts w:ascii="Arial" w:hAnsi="Arial" w:cs="Arial"/>
                <w:sz w:val="22"/>
                <w:szCs w:val="22"/>
              </w:rPr>
              <w:t>Jednotka:</w:t>
            </w:r>
          </w:p>
        </w:tc>
        <w:tc>
          <w:tcPr>
            <w:tcW w:w="6486" w:type="dxa"/>
          </w:tcPr>
          <w:p w14:paraId="21A77B21" w14:textId="77777777" w:rsidR="009D2F31" w:rsidRPr="007B2F69" w:rsidRDefault="009D2F31" w:rsidP="007419C7">
            <w:pPr>
              <w:spacing w:line="276" w:lineRule="auto"/>
              <w:jc w:val="both"/>
              <w:rPr>
                <w:rFonts w:ascii="Arial" w:hAnsi="Arial" w:cs="Arial"/>
                <w:sz w:val="22"/>
                <w:szCs w:val="22"/>
              </w:rPr>
            </w:pPr>
            <w:r w:rsidRPr="007B2F69">
              <w:rPr>
                <w:rFonts w:ascii="Arial" w:hAnsi="Arial" w:cs="Arial"/>
                <w:sz w:val="22"/>
                <w:szCs w:val="22"/>
              </w:rPr>
              <w:t xml:space="preserve">Milion Kč; podíl na celkových výdajích na výzkum a vývoj ve </w:t>
            </w:r>
            <w:r w:rsidRPr="007B2F69">
              <w:rPr>
                <w:rFonts w:ascii="Arial" w:hAnsi="Arial" w:cs="Arial"/>
                <w:sz w:val="22"/>
                <w:szCs w:val="22"/>
              </w:rPr>
              <w:lastRenderedPageBreak/>
              <w:t>vládním a vysokoškolském sektoru; podíl na celkových výdajích na výzkum a vývoj financovaných z podnikatelských zdrojů</w:t>
            </w:r>
          </w:p>
        </w:tc>
      </w:tr>
      <w:tr w:rsidR="009D2F31" w:rsidRPr="007B2F69" w14:paraId="50B3C8F2" w14:textId="77777777" w:rsidTr="00C375C1">
        <w:tc>
          <w:tcPr>
            <w:tcW w:w="2802" w:type="dxa"/>
          </w:tcPr>
          <w:p w14:paraId="680BF71D" w14:textId="77777777" w:rsidR="009D2F31" w:rsidRPr="007B2F69" w:rsidRDefault="009D2F31" w:rsidP="00C375C1">
            <w:pPr>
              <w:spacing w:line="276" w:lineRule="auto"/>
              <w:rPr>
                <w:rFonts w:ascii="Arial" w:hAnsi="Arial" w:cs="Arial"/>
                <w:sz w:val="22"/>
                <w:szCs w:val="22"/>
              </w:rPr>
            </w:pPr>
            <w:r w:rsidRPr="007B2F69">
              <w:rPr>
                <w:rFonts w:ascii="Arial" w:hAnsi="Arial" w:cs="Arial"/>
                <w:sz w:val="22"/>
                <w:szCs w:val="22"/>
              </w:rPr>
              <w:lastRenderedPageBreak/>
              <w:t xml:space="preserve">Gestor: </w:t>
            </w:r>
          </w:p>
        </w:tc>
        <w:tc>
          <w:tcPr>
            <w:tcW w:w="6486" w:type="dxa"/>
          </w:tcPr>
          <w:p w14:paraId="2E140295" w14:textId="77777777" w:rsidR="009D2F31" w:rsidRPr="007B2F69" w:rsidRDefault="009D2F31" w:rsidP="007419C7">
            <w:pPr>
              <w:spacing w:line="276" w:lineRule="auto"/>
              <w:jc w:val="both"/>
              <w:rPr>
                <w:rFonts w:ascii="Arial" w:hAnsi="Arial" w:cs="Arial"/>
                <w:sz w:val="22"/>
                <w:szCs w:val="22"/>
              </w:rPr>
            </w:pPr>
            <w:r w:rsidRPr="007B2F69">
              <w:rPr>
                <w:rFonts w:ascii="Arial" w:hAnsi="Arial" w:cs="Arial"/>
                <w:sz w:val="22"/>
                <w:szCs w:val="22"/>
              </w:rPr>
              <w:t>Český statistický úřad</w:t>
            </w:r>
          </w:p>
        </w:tc>
      </w:tr>
      <w:tr w:rsidR="009D2F31" w:rsidRPr="007B2F69" w14:paraId="72E8CF7F" w14:textId="77777777" w:rsidTr="00C375C1">
        <w:tc>
          <w:tcPr>
            <w:tcW w:w="2802" w:type="dxa"/>
          </w:tcPr>
          <w:p w14:paraId="1C30DC4F" w14:textId="77777777" w:rsidR="009D2F31" w:rsidRPr="007B2F69" w:rsidRDefault="009D2F31" w:rsidP="00C375C1">
            <w:pPr>
              <w:spacing w:line="276" w:lineRule="auto"/>
              <w:rPr>
                <w:rFonts w:ascii="Arial" w:hAnsi="Arial" w:cs="Arial"/>
                <w:sz w:val="22"/>
                <w:szCs w:val="22"/>
              </w:rPr>
            </w:pPr>
            <w:r w:rsidRPr="007B2F69">
              <w:rPr>
                <w:rFonts w:ascii="Arial" w:hAnsi="Arial" w:cs="Arial"/>
                <w:sz w:val="22"/>
                <w:szCs w:val="22"/>
              </w:rPr>
              <w:t xml:space="preserve">Význam indikátoru: </w:t>
            </w:r>
          </w:p>
        </w:tc>
        <w:tc>
          <w:tcPr>
            <w:tcW w:w="6486" w:type="dxa"/>
          </w:tcPr>
          <w:p w14:paraId="198087DC" w14:textId="77777777" w:rsidR="009D2F31" w:rsidRPr="007B2F69" w:rsidRDefault="009D2F31" w:rsidP="007419C7">
            <w:pPr>
              <w:spacing w:line="276" w:lineRule="auto"/>
              <w:jc w:val="both"/>
              <w:rPr>
                <w:rFonts w:ascii="Arial" w:hAnsi="Arial" w:cs="Arial"/>
                <w:sz w:val="22"/>
                <w:szCs w:val="22"/>
              </w:rPr>
            </w:pPr>
            <w:r w:rsidRPr="007B2F69">
              <w:rPr>
                <w:rFonts w:ascii="Arial" w:hAnsi="Arial" w:cs="Arial"/>
                <w:sz w:val="22"/>
                <w:szCs w:val="22"/>
              </w:rPr>
              <w:t>K měření rozsahu spolupráce podnikového a akademického sektoru v oblasti výzkumu a vývoje se využívají údaje o velikosti příjmů veřejných výzkumných organizací z provádění výzkumu a vývoje na zakázku pro podnikatelský sektor.</w:t>
            </w:r>
          </w:p>
        </w:tc>
      </w:tr>
      <w:tr w:rsidR="009D2F31" w:rsidRPr="007B2F69" w14:paraId="522A4F64" w14:textId="77777777" w:rsidTr="00C375C1">
        <w:tc>
          <w:tcPr>
            <w:tcW w:w="2802" w:type="dxa"/>
          </w:tcPr>
          <w:p w14:paraId="686D2D66" w14:textId="77777777" w:rsidR="009D2F31" w:rsidRPr="007B2F69" w:rsidRDefault="009D2F31" w:rsidP="00C375C1">
            <w:pPr>
              <w:spacing w:line="276" w:lineRule="auto"/>
              <w:rPr>
                <w:rFonts w:ascii="Arial" w:hAnsi="Arial" w:cs="Arial"/>
                <w:sz w:val="22"/>
                <w:szCs w:val="22"/>
              </w:rPr>
            </w:pPr>
            <w:r w:rsidRPr="007B2F69">
              <w:rPr>
                <w:rFonts w:ascii="Arial" w:hAnsi="Arial" w:cs="Arial"/>
                <w:sz w:val="22"/>
                <w:szCs w:val="22"/>
              </w:rPr>
              <w:t xml:space="preserve">Časová řada: </w:t>
            </w:r>
          </w:p>
        </w:tc>
        <w:tc>
          <w:tcPr>
            <w:tcW w:w="6486" w:type="dxa"/>
          </w:tcPr>
          <w:p w14:paraId="3F73A268" w14:textId="77777777" w:rsidR="009D2F31" w:rsidRPr="007B2F69" w:rsidRDefault="009D2F31" w:rsidP="007419C7">
            <w:pPr>
              <w:spacing w:line="276" w:lineRule="auto"/>
              <w:jc w:val="both"/>
              <w:rPr>
                <w:rFonts w:ascii="Arial" w:hAnsi="Arial" w:cs="Arial"/>
                <w:sz w:val="22"/>
                <w:szCs w:val="22"/>
              </w:rPr>
            </w:pPr>
            <w:r w:rsidRPr="007B2F69">
              <w:rPr>
                <w:rFonts w:ascii="Arial" w:hAnsi="Arial" w:cs="Arial"/>
                <w:sz w:val="22"/>
                <w:szCs w:val="22"/>
              </w:rPr>
              <w:t>Od roku 2015</w:t>
            </w:r>
          </w:p>
        </w:tc>
      </w:tr>
      <w:tr w:rsidR="009D2F31" w:rsidRPr="007B2F69" w14:paraId="1A860352" w14:textId="77777777" w:rsidTr="00C375C1">
        <w:tc>
          <w:tcPr>
            <w:tcW w:w="2802" w:type="dxa"/>
          </w:tcPr>
          <w:p w14:paraId="3C34807A" w14:textId="77777777" w:rsidR="009D2F31" w:rsidRPr="007B2F69" w:rsidRDefault="009D2F31" w:rsidP="00C375C1">
            <w:pPr>
              <w:spacing w:line="276" w:lineRule="auto"/>
              <w:rPr>
                <w:rFonts w:ascii="Arial" w:hAnsi="Arial" w:cs="Arial"/>
                <w:sz w:val="22"/>
                <w:szCs w:val="22"/>
              </w:rPr>
            </w:pPr>
            <w:r w:rsidRPr="007B2F69">
              <w:rPr>
                <w:rFonts w:ascii="Arial" w:hAnsi="Arial" w:cs="Arial"/>
                <w:sz w:val="22"/>
                <w:szCs w:val="22"/>
              </w:rPr>
              <w:t xml:space="preserve">Frekvence výstupu: </w:t>
            </w:r>
          </w:p>
        </w:tc>
        <w:tc>
          <w:tcPr>
            <w:tcW w:w="6486" w:type="dxa"/>
          </w:tcPr>
          <w:p w14:paraId="4531974B" w14:textId="77777777" w:rsidR="009D2F31" w:rsidRPr="007B2F69" w:rsidRDefault="009D2F31" w:rsidP="007419C7">
            <w:pPr>
              <w:spacing w:line="276" w:lineRule="auto"/>
              <w:jc w:val="both"/>
              <w:rPr>
                <w:rFonts w:ascii="Arial" w:hAnsi="Arial" w:cs="Arial"/>
                <w:sz w:val="22"/>
                <w:szCs w:val="22"/>
              </w:rPr>
            </w:pPr>
            <w:r w:rsidRPr="007B2F69">
              <w:rPr>
                <w:rFonts w:ascii="Arial" w:hAnsi="Arial" w:cs="Arial"/>
                <w:sz w:val="22"/>
                <w:szCs w:val="22"/>
              </w:rPr>
              <w:t xml:space="preserve">Ročně podle údajů z šetření VTR 5-01 </w:t>
            </w:r>
          </w:p>
        </w:tc>
      </w:tr>
      <w:tr w:rsidR="009D2F31" w:rsidRPr="007B2F69" w14:paraId="069E34AC" w14:textId="77777777" w:rsidTr="00C375C1">
        <w:trPr>
          <w:trHeight w:val="70"/>
        </w:trPr>
        <w:tc>
          <w:tcPr>
            <w:tcW w:w="2802" w:type="dxa"/>
          </w:tcPr>
          <w:p w14:paraId="223A29EC" w14:textId="77777777" w:rsidR="009D2F31" w:rsidRPr="007B2F69" w:rsidRDefault="009D2F31" w:rsidP="00C375C1">
            <w:pPr>
              <w:spacing w:line="276" w:lineRule="auto"/>
              <w:rPr>
                <w:rFonts w:ascii="Arial" w:hAnsi="Arial" w:cs="Arial"/>
                <w:sz w:val="22"/>
                <w:szCs w:val="22"/>
              </w:rPr>
            </w:pPr>
            <w:r w:rsidRPr="007B2F69">
              <w:rPr>
                <w:rFonts w:ascii="Arial" w:hAnsi="Arial" w:cs="Arial"/>
                <w:sz w:val="22"/>
                <w:szCs w:val="22"/>
              </w:rPr>
              <w:t xml:space="preserve">Členění indikátoru: </w:t>
            </w:r>
          </w:p>
        </w:tc>
        <w:tc>
          <w:tcPr>
            <w:tcW w:w="6486" w:type="dxa"/>
          </w:tcPr>
          <w:p w14:paraId="2C670100" w14:textId="77777777" w:rsidR="009D2F31" w:rsidRPr="007B2F69" w:rsidRDefault="009D2F31" w:rsidP="007419C7">
            <w:pPr>
              <w:spacing w:line="276" w:lineRule="auto"/>
              <w:jc w:val="both"/>
              <w:rPr>
                <w:rFonts w:ascii="Arial" w:hAnsi="Arial" w:cs="Arial"/>
                <w:sz w:val="22"/>
                <w:szCs w:val="22"/>
              </w:rPr>
            </w:pPr>
            <w:r w:rsidRPr="007B2F69">
              <w:rPr>
                <w:rFonts w:ascii="Arial" w:hAnsi="Arial" w:cs="Arial"/>
                <w:sz w:val="22"/>
                <w:szCs w:val="22"/>
              </w:rPr>
              <w:t>Podle druhu subjektu, kterému byla služba výzkumu a vývoje prodána v kombinaci s druhem pracoviště a převažující vědní oblasti pracovišť provádějících výzkum a vývoj ve vládním a vysokoškolském sektoru.</w:t>
            </w:r>
          </w:p>
        </w:tc>
      </w:tr>
      <w:tr w:rsidR="009D2F31" w:rsidRPr="007B2F69" w14:paraId="79AC2FEA" w14:textId="77777777" w:rsidTr="00C375C1">
        <w:trPr>
          <w:trHeight w:val="70"/>
        </w:trPr>
        <w:tc>
          <w:tcPr>
            <w:tcW w:w="2802" w:type="dxa"/>
          </w:tcPr>
          <w:p w14:paraId="7E574B86" w14:textId="77777777" w:rsidR="009D2F31" w:rsidRPr="007B2F69" w:rsidRDefault="009D2F31" w:rsidP="00C375C1">
            <w:pPr>
              <w:spacing w:line="276" w:lineRule="auto"/>
              <w:rPr>
                <w:rFonts w:ascii="Arial" w:hAnsi="Arial" w:cs="Arial"/>
                <w:sz w:val="22"/>
                <w:szCs w:val="22"/>
              </w:rPr>
            </w:pPr>
            <w:r w:rsidRPr="007B2F69">
              <w:rPr>
                <w:rFonts w:ascii="Arial" w:hAnsi="Arial" w:cs="Arial"/>
                <w:sz w:val="22"/>
                <w:szCs w:val="22"/>
              </w:rPr>
              <w:t>Mezinárodní srovnání:</w:t>
            </w:r>
          </w:p>
        </w:tc>
        <w:tc>
          <w:tcPr>
            <w:tcW w:w="6486" w:type="dxa"/>
          </w:tcPr>
          <w:p w14:paraId="75F957DA" w14:textId="77777777" w:rsidR="009D2F31" w:rsidRPr="007B2F69" w:rsidRDefault="009D2F31" w:rsidP="00C375C1">
            <w:pPr>
              <w:spacing w:line="276" w:lineRule="auto"/>
              <w:rPr>
                <w:rFonts w:ascii="Arial" w:hAnsi="Arial" w:cs="Arial"/>
                <w:sz w:val="22"/>
                <w:szCs w:val="22"/>
              </w:rPr>
            </w:pPr>
            <w:r w:rsidRPr="007B2F69">
              <w:rPr>
                <w:rFonts w:ascii="Arial" w:hAnsi="Arial" w:cs="Arial"/>
                <w:sz w:val="22"/>
                <w:szCs w:val="22"/>
              </w:rPr>
              <w:t>-</w:t>
            </w:r>
          </w:p>
        </w:tc>
      </w:tr>
    </w:tbl>
    <w:p w14:paraId="574D404A" w14:textId="77777777" w:rsidR="009D2F31" w:rsidRDefault="009D2F31" w:rsidP="007419C7">
      <w:pPr>
        <w:pStyle w:val="r2030cle"/>
        <w:numPr>
          <w:ilvl w:val="0"/>
          <w:numId w:val="0"/>
        </w:numPr>
        <w:spacing w:before="0" w:after="0"/>
        <w:rPr>
          <w:b w:val="0"/>
        </w:rPr>
      </w:pPr>
    </w:p>
    <w:tbl>
      <w:tblPr>
        <w:tblStyle w:val="Mkatabulky"/>
        <w:tblW w:w="0" w:type="auto"/>
        <w:tblLook w:val="04A0" w:firstRow="1" w:lastRow="0" w:firstColumn="1" w:lastColumn="0" w:noHBand="0" w:noVBand="1"/>
      </w:tblPr>
      <w:tblGrid>
        <w:gridCol w:w="2802"/>
        <w:gridCol w:w="6486"/>
      </w:tblGrid>
      <w:tr w:rsidR="009D2F31" w:rsidRPr="007B2F69" w14:paraId="18FB220D" w14:textId="77777777" w:rsidTr="00C375C1">
        <w:tc>
          <w:tcPr>
            <w:tcW w:w="2802" w:type="dxa"/>
            <w:shd w:val="clear" w:color="auto" w:fill="auto"/>
          </w:tcPr>
          <w:p w14:paraId="4954E6F0" w14:textId="77777777" w:rsidR="009D2F31" w:rsidRPr="007B2F69" w:rsidRDefault="009D2F31" w:rsidP="00C375C1">
            <w:pPr>
              <w:spacing w:line="276" w:lineRule="auto"/>
              <w:rPr>
                <w:rFonts w:ascii="Arial" w:hAnsi="Arial" w:cs="Arial"/>
                <w:sz w:val="22"/>
                <w:szCs w:val="22"/>
              </w:rPr>
            </w:pPr>
            <w:r w:rsidRPr="007B2F69">
              <w:rPr>
                <w:rFonts w:ascii="Arial" w:hAnsi="Arial" w:cs="Arial"/>
                <w:sz w:val="22"/>
              </w:rPr>
              <w:t>Název a označení indikátoru:</w:t>
            </w:r>
          </w:p>
        </w:tc>
        <w:tc>
          <w:tcPr>
            <w:tcW w:w="6486" w:type="dxa"/>
            <w:shd w:val="clear" w:color="auto" w:fill="auto"/>
          </w:tcPr>
          <w:p w14:paraId="592C7115" w14:textId="77777777" w:rsidR="009D2F31" w:rsidRPr="007B2F69" w:rsidRDefault="009D2F31" w:rsidP="00C375C1">
            <w:pPr>
              <w:spacing w:line="276" w:lineRule="auto"/>
              <w:rPr>
                <w:rFonts w:ascii="Arial" w:hAnsi="Arial" w:cs="Arial"/>
                <w:b/>
                <w:sz w:val="22"/>
                <w:szCs w:val="22"/>
              </w:rPr>
            </w:pPr>
            <w:r w:rsidRPr="007B2F69">
              <w:rPr>
                <w:rFonts w:ascii="Arial" w:hAnsi="Arial"/>
                <w:b/>
                <w:sz w:val="22"/>
              </w:rPr>
              <w:t>8.2</w:t>
            </w:r>
            <w:r w:rsidRPr="007B2F69">
              <w:rPr>
                <w:rFonts w:ascii="Arial" w:hAnsi="Arial" w:cs="Arial"/>
                <w:b/>
                <w:sz w:val="22"/>
              </w:rPr>
              <w:t>.6 Nepřímá veřejná (daňová) podpora výzkumu a vývoje v podnikatelském sektoru (GTARD)</w:t>
            </w:r>
          </w:p>
        </w:tc>
      </w:tr>
      <w:tr w:rsidR="009D2F31" w:rsidRPr="007B2F69" w14:paraId="0742EEE3" w14:textId="77777777" w:rsidTr="00C375C1">
        <w:tc>
          <w:tcPr>
            <w:tcW w:w="2802" w:type="dxa"/>
            <w:shd w:val="clear" w:color="auto" w:fill="auto"/>
          </w:tcPr>
          <w:p w14:paraId="75560404" w14:textId="77777777" w:rsidR="009D2F31" w:rsidRPr="007B2F69" w:rsidRDefault="009D2F31" w:rsidP="00C375C1">
            <w:pPr>
              <w:spacing w:line="276" w:lineRule="auto"/>
              <w:rPr>
                <w:rFonts w:ascii="Arial" w:hAnsi="Arial" w:cs="Arial"/>
                <w:sz w:val="22"/>
                <w:szCs w:val="22"/>
              </w:rPr>
            </w:pPr>
            <w:r w:rsidRPr="007B2F69">
              <w:rPr>
                <w:rFonts w:ascii="Arial" w:hAnsi="Arial" w:cs="Arial"/>
                <w:sz w:val="22"/>
              </w:rPr>
              <w:t>Stručná definice:</w:t>
            </w:r>
          </w:p>
        </w:tc>
        <w:tc>
          <w:tcPr>
            <w:tcW w:w="6486" w:type="dxa"/>
            <w:shd w:val="clear" w:color="auto" w:fill="auto"/>
          </w:tcPr>
          <w:p w14:paraId="7FE50F9A" w14:textId="77777777" w:rsidR="009D2F31" w:rsidRPr="007B2F69" w:rsidRDefault="009D2F31" w:rsidP="007419C7">
            <w:pPr>
              <w:spacing w:line="276" w:lineRule="auto"/>
              <w:jc w:val="both"/>
              <w:rPr>
                <w:rFonts w:ascii="Arial" w:hAnsi="Arial" w:cs="Arial"/>
                <w:sz w:val="22"/>
              </w:rPr>
            </w:pPr>
            <w:r w:rsidRPr="007B2F69">
              <w:rPr>
                <w:rFonts w:ascii="Arial" w:hAnsi="Arial" w:cs="Arial"/>
                <w:sz w:val="22"/>
              </w:rPr>
              <w:t xml:space="preserve">Nepřímou veřejnou podporu výzkumu a vývoje sleduje statistika nepřímé veřejné (daňové) podpory VaV (angl. zkratka GTARD – </w:t>
            </w:r>
            <w:proofErr w:type="spellStart"/>
            <w:r w:rsidRPr="007B2F69">
              <w:rPr>
                <w:rFonts w:ascii="Arial" w:hAnsi="Arial" w:cs="Arial"/>
                <w:sz w:val="22"/>
              </w:rPr>
              <w:t>Government</w:t>
            </w:r>
            <w:proofErr w:type="spellEnd"/>
            <w:r w:rsidRPr="007B2F69">
              <w:rPr>
                <w:rFonts w:ascii="Arial" w:hAnsi="Arial" w:cs="Arial"/>
                <w:sz w:val="22"/>
              </w:rPr>
              <w:t xml:space="preserve"> Tax </w:t>
            </w:r>
            <w:proofErr w:type="spellStart"/>
            <w:r w:rsidRPr="007B2F69">
              <w:rPr>
                <w:rFonts w:ascii="Arial" w:hAnsi="Arial" w:cs="Arial"/>
                <w:sz w:val="22"/>
              </w:rPr>
              <w:t>Relief</w:t>
            </w:r>
            <w:proofErr w:type="spellEnd"/>
            <w:r w:rsidRPr="007B2F69">
              <w:rPr>
                <w:rFonts w:ascii="Arial" w:hAnsi="Arial" w:cs="Arial"/>
                <w:sz w:val="22"/>
              </w:rPr>
              <w:t xml:space="preserve"> </w:t>
            </w:r>
            <w:proofErr w:type="spellStart"/>
            <w:r w:rsidRPr="007B2F69">
              <w:rPr>
                <w:rFonts w:ascii="Arial" w:hAnsi="Arial" w:cs="Arial"/>
                <w:sz w:val="22"/>
              </w:rPr>
              <w:t>for</w:t>
            </w:r>
            <w:proofErr w:type="spellEnd"/>
            <w:r w:rsidRPr="007B2F69">
              <w:rPr>
                <w:rFonts w:ascii="Arial" w:hAnsi="Arial" w:cs="Arial"/>
                <w:sz w:val="22"/>
              </w:rPr>
              <w:t xml:space="preserve"> R&amp;D </w:t>
            </w:r>
            <w:proofErr w:type="spellStart"/>
            <w:r w:rsidRPr="007B2F69">
              <w:rPr>
                <w:rFonts w:ascii="Arial" w:hAnsi="Arial" w:cs="Arial"/>
                <w:sz w:val="22"/>
              </w:rPr>
              <w:t>Expenditures</w:t>
            </w:r>
            <w:proofErr w:type="spellEnd"/>
            <w:r w:rsidRPr="007B2F69">
              <w:rPr>
                <w:rFonts w:ascii="Arial" w:hAnsi="Arial" w:cs="Arial"/>
                <w:sz w:val="22"/>
              </w:rPr>
              <w:t>). V České republice zahrnuje ukazatel GTARD uplatněný odečet výdajů na realizaci projektů VaV z daně příjmů právnických a fyzických osob. Údaje o nepřímé podpoře VaV jsou statisticky sledovány od roku 2007. Administrativním zdrojem dat jsou daňová přiznání. Statisticky jsou sledovány pouze právnické osoby (podniky) v institucionálních sektorech ISEKTOR 11 a 12.</w:t>
            </w:r>
          </w:p>
          <w:p w14:paraId="1194746B" w14:textId="77777777" w:rsidR="009D2F31" w:rsidRPr="007B2F69" w:rsidRDefault="009D2F31" w:rsidP="007419C7">
            <w:pPr>
              <w:spacing w:line="276" w:lineRule="auto"/>
              <w:jc w:val="both"/>
              <w:rPr>
                <w:rFonts w:ascii="Arial" w:hAnsi="Arial" w:cs="Arial"/>
                <w:sz w:val="22"/>
              </w:rPr>
            </w:pPr>
            <w:r w:rsidRPr="007B2F69">
              <w:rPr>
                <w:rFonts w:ascii="Arial" w:hAnsi="Arial" w:cs="Arial"/>
                <w:sz w:val="22"/>
              </w:rPr>
              <w:t>Nepřímá podpora VaV (ukazatel GTARD) se počítá na základě následujícího vzorce: Nepřímá podpora VaV = uplatněný odečet nákladů na VaV od základu daně x sazba daně</w:t>
            </w:r>
          </w:p>
        </w:tc>
      </w:tr>
      <w:tr w:rsidR="009D2F31" w:rsidRPr="007B2F69" w14:paraId="4EF0ECAD" w14:textId="77777777" w:rsidTr="00C375C1">
        <w:tc>
          <w:tcPr>
            <w:tcW w:w="2802" w:type="dxa"/>
            <w:shd w:val="clear" w:color="auto" w:fill="auto"/>
          </w:tcPr>
          <w:p w14:paraId="2DD32EEB" w14:textId="77777777" w:rsidR="009D2F31" w:rsidRPr="007B2F69" w:rsidRDefault="009D2F31" w:rsidP="00C375C1">
            <w:pPr>
              <w:spacing w:line="276" w:lineRule="auto"/>
              <w:rPr>
                <w:rFonts w:ascii="Arial" w:hAnsi="Arial" w:cs="Arial"/>
                <w:sz w:val="22"/>
                <w:szCs w:val="22"/>
              </w:rPr>
            </w:pPr>
            <w:r w:rsidRPr="007B2F69">
              <w:rPr>
                <w:rFonts w:ascii="Arial" w:hAnsi="Arial" w:cs="Arial"/>
                <w:sz w:val="22"/>
              </w:rPr>
              <w:t>Jednotka:</w:t>
            </w:r>
          </w:p>
        </w:tc>
        <w:tc>
          <w:tcPr>
            <w:tcW w:w="6486" w:type="dxa"/>
            <w:shd w:val="clear" w:color="auto" w:fill="auto"/>
          </w:tcPr>
          <w:p w14:paraId="19BBA68B" w14:textId="77777777" w:rsidR="009D2F31" w:rsidRPr="007B2F69" w:rsidRDefault="009D2F31" w:rsidP="007419C7">
            <w:pPr>
              <w:spacing w:line="276" w:lineRule="auto"/>
              <w:jc w:val="both"/>
              <w:rPr>
                <w:rFonts w:ascii="Arial" w:hAnsi="Arial" w:cs="Arial"/>
                <w:sz w:val="22"/>
                <w:szCs w:val="22"/>
              </w:rPr>
            </w:pPr>
            <w:r w:rsidRPr="007B2F69">
              <w:rPr>
                <w:rFonts w:ascii="Arial" w:hAnsi="Arial" w:cs="Arial"/>
                <w:sz w:val="22"/>
              </w:rPr>
              <w:t xml:space="preserve">Milion Kč; podíl na HDP; podíl na státním rozpočtu; podíl na BERD; podíl na celkové veřejné podpoře VaV prováděného v podnikatelském sektoru </w:t>
            </w:r>
          </w:p>
        </w:tc>
      </w:tr>
      <w:tr w:rsidR="009D2F31" w:rsidRPr="007B2F69" w14:paraId="7799DEE6" w14:textId="77777777" w:rsidTr="00C375C1">
        <w:tc>
          <w:tcPr>
            <w:tcW w:w="2802" w:type="dxa"/>
            <w:shd w:val="clear" w:color="auto" w:fill="auto"/>
          </w:tcPr>
          <w:p w14:paraId="0BB47BF2" w14:textId="77777777" w:rsidR="009D2F31" w:rsidRPr="007B2F69" w:rsidRDefault="009D2F31" w:rsidP="00C375C1">
            <w:pPr>
              <w:spacing w:line="276" w:lineRule="auto"/>
              <w:rPr>
                <w:rFonts w:ascii="Arial" w:hAnsi="Arial" w:cs="Arial"/>
                <w:sz w:val="22"/>
                <w:szCs w:val="22"/>
              </w:rPr>
            </w:pPr>
            <w:r w:rsidRPr="007B2F69">
              <w:rPr>
                <w:rFonts w:ascii="Arial" w:hAnsi="Arial" w:cs="Arial"/>
                <w:sz w:val="22"/>
              </w:rPr>
              <w:t>Gestor:</w:t>
            </w:r>
          </w:p>
        </w:tc>
        <w:tc>
          <w:tcPr>
            <w:tcW w:w="6486" w:type="dxa"/>
            <w:shd w:val="clear" w:color="auto" w:fill="auto"/>
          </w:tcPr>
          <w:p w14:paraId="2603B740" w14:textId="77777777" w:rsidR="009D2F31" w:rsidRPr="007B2F69" w:rsidRDefault="009D2F31" w:rsidP="007419C7">
            <w:pPr>
              <w:spacing w:line="276" w:lineRule="auto"/>
              <w:jc w:val="both"/>
              <w:rPr>
                <w:rFonts w:ascii="Arial" w:hAnsi="Arial" w:cs="Arial"/>
                <w:sz w:val="22"/>
                <w:szCs w:val="22"/>
              </w:rPr>
            </w:pPr>
            <w:r w:rsidRPr="007B2F69">
              <w:rPr>
                <w:rFonts w:ascii="Arial" w:hAnsi="Arial" w:cs="Arial"/>
                <w:sz w:val="22"/>
              </w:rPr>
              <w:t>Český statistický úřad</w:t>
            </w:r>
          </w:p>
        </w:tc>
      </w:tr>
      <w:tr w:rsidR="009D2F31" w:rsidRPr="007B2F69" w14:paraId="53246C1A" w14:textId="77777777" w:rsidTr="00C375C1">
        <w:tc>
          <w:tcPr>
            <w:tcW w:w="2802" w:type="dxa"/>
            <w:shd w:val="clear" w:color="auto" w:fill="auto"/>
          </w:tcPr>
          <w:p w14:paraId="650916C9" w14:textId="77777777" w:rsidR="009D2F31" w:rsidRPr="007B2F69" w:rsidRDefault="009D2F31" w:rsidP="00C375C1">
            <w:pPr>
              <w:spacing w:line="276" w:lineRule="auto"/>
              <w:rPr>
                <w:rFonts w:ascii="Arial" w:hAnsi="Arial" w:cs="Arial"/>
                <w:sz w:val="22"/>
                <w:szCs w:val="22"/>
              </w:rPr>
            </w:pPr>
            <w:r w:rsidRPr="007B2F69">
              <w:rPr>
                <w:rFonts w:ascii="Arial" w:hAnsi="Arial" w:cs="Arial"/>
                <w:sz w:val="22"/>
              </w:rPr>
              <w:t>Význam indikátoru:</w:t>
            </w:r>
          </w:p>
        </w:tc>
        <w:tc>
          <w:tcPr>
            <w:tcW w:w="6486" w:type="dxa"/>
            <w:shd w:val="clear" w:color="auto" w:fill="auto"/>
          </w:tcPr>
          <w:p w14:paraId="28BC1954" w14:textId="77777777" w:rsidR="009D2F31" w:rsidRPr="007B2F69" w:rsidRDefault="009D2F31" w:rsidP="007419C7">
            <w:pPr>
              <w:spacing w:line="276" w:lineRule="auto"/>
              <w:jc w:val="both"/>
              <w:rPr>
                <w:rFonts w:ascii="Arial" w:hAnsi="Arial" w:cs="Arial"/>
                <w:sz w:val="22"/>
                <w:szCs w:val="22"/>
              </w:rPr>
            </w:pPr>
            <w:r w:rsidRPr="007B2F69">
              <w:rPr>
                <w:rFonts w:ascii="Arial" w:hAnsi="Arial" w:cs="Arial"/>
                <w:sz w:val="22"/>
              </w:rPr>
              <w:t>Nepřímá veřejná podpora VaV jako nástroj veřejné podpory VaV v</w:t>
            </w:r>
            <w:r>
              <w:rPr>
                <w:rFonts w:ascii="Arial" w:hAnsi="Arial" w:cs="Arial"/>
                <w:sz w:val="22"/>
              </w:rPr>
              <w:t> </w:t>
            </w:r>
            <w:r w:rsidRPr="007B2F69">
              <w:rPr>
                <w:rFonts w:ascii="Arial" w:hAnsi="Arial" w:cs="Arial"/>
                <w:sz w:val="22"/>
              </w:rPr>
              <w:t>soukromých podnicích je v</w:t>
            </w:r>
            <w:r>
              <w:rPr>
                <w:rFonts w:ascii="Arial" w:hAnsi="Arial" w:cs="Arial"/>
                <w:sz w:val="22"/>
              </w:rPr>
              <w:t> </w:t>
            </w:r>
            <w:r w:rsidRPr="007B2F69">
              <w:rPr>
                <w:rFonts w:ascii="Arial" w:hAnsi="Arial" w:cs="Arial"/>
                <w:sz w:val="22"/>
              </w:rPr>
              <w:t>současnosti hojně využívána ve většině vyspělých zemí světa. Tento druh veřejné podpory by měl stimulovat výzkumnou, vývojo</w:t>
            </w:r>
            <w:r>
              <w:rPr>
                <w:rFonts w:ascii="Arial" w:hAnsi="Arial" w:cs="Arial"/>
                <w:sz w:val="22"/>
              </w:rPr>
              <w:t>vo</w:t>
            </w:r>
            <w:r w:rsidRPr="007B2F69">
              <w:rPr>
                <w:rFonts w:ascii="Arial" w:hAnsi="Arial" w:cs="Arial"/>
                <w:sz w:val="22"/>
              </w:rPr>
              <w:t xml:space="preserve">u a inovační aktivitu firem prostřednictvím možnosti jejího plošného využití (tj. všechny podniky ji mohou využít bez rozdílu), které nenarušuje konkurenční prostředí. Díky tomu, že nepřímá podpora VaV není selektivní a není skrze ni stimulován VaV jen v některých oblastech, nedochází tak k rigidní tržní alokaci investic do VaV. Podniky mohou provozovat VaV činnosti v oblastech, které si zvolily, tak aby jim v budoucnu přinesly nejefektivnější alokaci svých prostředků. V neposlední řadě je poskytování nepřímé podpory administrativně méně náročné než u podpory přímé. </w:t>
            </w:r>
            <w:r w:rsidRPr="007B2F69">
              <w:rPr>
                <w:rFonts w:ascii="Arial" w:hAnsi="Arial" w:cs="Arial"/>
                <w:sz w:val="22"/>
              </w:rPr>
              <w:lastRenderedPageBreak/>
              <w:t>Navíc využíváním nepřímé podpory VaV lze předejít možným subjektivním vlivům a zájmům, které by mohly sehrát podstatnou roli při poskytování přímé podpora VaV.</w:t>
            </w:r>
          </w:p>
        </w:tc>
      </w:tr>
      <w:tr w:rsidR="009D2F31" w:rsidRPr="007B2F69" w14:paraId="549E5A0B" w14:textId="77777777" w:rsidTr="00C375C1">
        <w:tc>
          <w:tcPr>
            <w:tcW w:w="2802" w:type="dxa"/>
            <w:shd w:val="clear" w:color="auto" w:fill="auto"/>
          </w:tcPr>
          <w:p w14:paraId="37541150" w14:textId="77777777" w:rsidR="009D2F31" w:rsidRPr="007B2F69" w:rsidRDefault="009D2F31" w:rsidP="00C375C1">
            <w:pPr>
              <w:spacing w:line="276" w:lineRule="auto"/>
              <w:rPr>
                <w:rFonts w:ascii="Arial" w:hAnsi="Arial" w:cs="Arial"/>
                <w:sz w:val="22"/>
                <w:szCs w:val="22"/>
              </w:rPr>
            </w:pPr>
            <w:r w:rsidRPr="007B2F69">
              <w:rPr>
                <w:rFonts w:ascii="Arial" w:hAnsi="Arial" w:cs="Arial"/>
                <w:sz w:val="22"/>
              </w:rPr>
              <w:lastRenderedPageBreak/>
              <w:t>Časová řada:</w:t>
            </w:r>
          </w:p>
        </w:tc>
        <w:tc>
          <w:tcPr>
            <w:tcW w:w="6486" w:type="dxa"/>
            <w:shd w:val="clear" w:color="auto" w:fill="auto"/>
          </w:tcPr>
          <w:p w14:paraId="2F290B2C" w14:textId="77777777" w:rsidR="009D2F31" w:rsidRPr="007B2F69" w:rsidRDefault="009D2F31" w:rsidP="007419C7">
            <w:pPr>
              <w:spacing w:line="276" w:lineRule="auto"/>
              <w:jc w:val="both"/>
              <w:rPr>
                <w:rFonts w:ascii="Arial" w:hAnsi="Arial" w:cs="Arial"/>
                <w:sz w:val="22"/>
                <w:szCs w:val="22"/>
              </w:rPr>
            </w:pPr>
            <w:r w:rsidRPr="007B2F69">
              <w:rPr>
                <w:rFonts w:ascii="Arial" w:hAnsi="Arial" w:cs="Arial"/>
                <w:sz w:val="22"/>
              </w:rPr>
              <w:t>Od roku 2007</w:t>
            </w:r>
          </w:p>
        </w:tc>
      </w:tr>
      <w:tr w:rsidR="009D2F31" w:rsidRPr="007B2F69" w14:paraId="3CB40A15" w14:textId="77777777" w:rsidTr="00C375C1">
        <w:tc>
          <w:tcPr>
            <w:tcW w:w="2802" w:type="dxa"/>
            <w:shd w:val="clear" w:color="auto" w:fill="auto"/>
          </w:tcPr>
          <w:p w14:paraId="59F147A3" w14:textId="77777777" w:rsidR="009D2F31" w:rsidRPr="007B2F69" w:rsidRDefault="009D2F31" w:rsidP="00C375C1">
            <w:pPr>
              <w:spacing w:line="276" w:lineRule="auto"/>
              <w:rPr>
                <w:rFonts w:ascii="Arial" w:hAnsi="Arial" w:cs="Arial"/>
                <w:sz w:val="22"/>
                <w:szCs w:val="22"/>
              </w:rPr>
            </w:pPr>
            <w:r w:rsidRPr="007B2F69">
              <w:rPr>
                <w:rFonts w:ascii="Arial" w:hAnsi="Arial" w:cs="Arial"/>
                <w:sz w:val="22"/>
              </w:rPr>
              <w:t>Frekvence výstupu:</w:t>
            </w:r>
          </w:p>
        </w:tc>
        <w:tc>
          <w:tcPr>
            <w:tcW w:w="6486" w:type="dxa"/>
            <w:shd w:val="clear" w:color="auto" w:fill="auto"/>
          </w:tcPr>
          <w:p w14:paraId="18562AC8" w14:textId="77777777" w:rsidR="009D2F31" w:rsidRPr="007B2F69" w:rsidRDefault="009D2F31" w:rsidP="007419C7">
            <w:pPr>
              <w:spacing w:line="276" w:lineRule="auto"/>
              <w:jc w:val="both"/>
              <w:rPr>
                <w:rFonts w:ascii="Arial" w:hAnsi="Arial" w:cs="Arial"/>
                <w:sz w:val="22"/>
                <w:szCs w:val="22"/>
              </w:rPr>
            </w:pPr>
            <w:r w:rsidRPr="007B2F69">
              <w:rPr>
                <w:rFonts w:ascii="Arial" w:hAnsi="Arial" w:cs="Arial"/>
                <w:sz w:val="22"/>
              </w:rPr>
              <w:t>Ročně podle údajů ze statistické úlohy GTARD</w:t>
            </w:r>
          </w:p>
        </w:tc>
      </w:tr>
      <w:tr w:rsidR="009D2F31" w:rsidRPr="007B2F69" w14:paraId="43F24DE5" w14:textId="77777777" w:rsidTr="00C375C1">
        <w:trPr>
          <w:trHeight w:val="70"/>
        </w:trPr>
        <w:tc>
          <w:tcPr>
            <w:tcW w:w="2802" w:type="dxa"/>
            <w:shd w:val="clear" w:color="auto" w:fill="auto"/>
          </w:tcPr>
          <w:p w14:paraId="61F38FC8" w14:textId="77777777" w:rsidR="009D2F31" w:rsidRPr="007B2F69" w:rsidRDefault="009D2F31" w:rsidP="00C375C1">
            <w:pPr>
              <w:spacing w:line="276" w:lineRule="auto"/>
              <w:rPr>
                <w:rFonts w:ascii="Arial" w:hAnsi="Arial" w:cs="Arial"/>
                <w:sz w:val="22"/>
                <w:szCs w:val="22"/>
              </w:rPr>
            </w:pPr>
            <w:r w:rsidRPr="007B2F69">
              <w:rPr>
                <w:rFonts w:ascii="Arial" w:hAnsi="Arial" w:cs="Arial"/>
                <w:sz w:val="22"/>
              </w:rPr>
              <w:t>Členění indikátoru:</w:t>
            </w:r>
          </w:p>
        </w:tc>
        <w:tc>
          <w:tcPr>
            <w:tcW w:w="6486" w:type="dxa"/>
            <w:shd w:val="clear" w:color="auto" w:fill="auto"/>
          </w:tcPr>
          <w:p w14:paraId="57DFE8C9" w14:textId="77777777" w:rsidR="009D2F31" w:rsidRPr="007B2F69" w:rsidRDefault="009D2F31" w:rsidP="007419C7">
            <w:pPr>
              <w:spacing w:line="276" w:lineRule="auto"/>
              <w:jc w:val="both"/>
              <w:rPr>
                <w:rFonts w:ascii="Arial" w:hAnsi="Arial" w:cs="Arial"/>
                <w:sz w:val="22"/>
                <w:szCs w:val="22"/>
              </w:rPr>
            </w:pPr>
            <w:r w:rsidRPr="007B2F69">
              <w:rPr>
                <w:rFonts w:ascii="Arial" w:hAnsi="Arial" w:cs="Arial"/>
                <w:sz w:val="22"/>
              </w:rPr>
              <w:t>Podle vlastnictví (veřejné podniky, soukromé domácí podniky a podniky pod zahraniční kontrolou); velikosti (malé, střední a velké podniky), převažující ekonomické činnosti (klasifikace CZ-NACE) a sídla (klasifikace CZ-NUTS) podniků, které využily tuto nepřímou (daňovou) podporu jejich výzkumné a vývojové činnosti.</w:t>
            </w:r>
          </w:p>
        </w:tc>
      </w:tr>
      <w:tr w:rsidR="009D2F31" w:rsidRPr="007B2F69" w14:paraId="6FC6E32D" w14:textId="77777777" w:rsidTr="00C375C1">
        <w:trPr>
          <w:trHeight w:val="70"/>
        </w:trPr>
        <w:tc>
          <w:tcPr>
            <w:tcW w:w="2802" w:type="dxa"/>
            <w:shd w:val="clear" w:color="auto" w:fill="auto"/>
          </w:tcPr>
          <w:p w14:paraId="41A33317" w14:textId="77777777" w:rsidR="009D2F31" w:rsidRPr="007B2F69" w:rsidRDefault="009D2F31" w:rsidP="00C375C1">
            <w:pPr>
              <w:spacing w:line="276" w:lineRule="auto"/>
              <w:rPr>
                <w:rFonts w:ascii="Arial" w:hAnsi="Arial" w:cs="Arial"/>
                <w:sz w:val="22"/>
                <w:szCs w:val="22"/>
              </w:rPr>
            </w:pPr>
            <w:r w:rsidRPr="007B2F69">
              <w:rPr>
                <w:rFonts w:ascii="Arial" w:hAnsi="Arial" w:cs="Arial"/>
                <w:sz w:val="22"/>
              </w:rPr>
              <w:t>Mezinárodní srovnání:</w:t>
            </w:r>
          </w:p>
        </w:tc>
        <w:tc>
          <w:tcPr>
            <w:tcW w:w="6486" w:type="dxa"/>
            <w:shd w:val="clear" w:color="auto" w:fill="auto"/>
          </w:tcPr>
          <w:p w14:paraId="2CEBDE96" w14:textId="77777777" w:rsidR="009D2F31" w:rsidRPr="007B2F69" w:rsidRDefault="009D2F31" w:rsidP="007419C7">
            <w:pPr>
              <w:spacing w:line="276" w:lineRule="auto"/>
              <w:jc w:val="both"/>
              <w:rPr>
                <w:rFonts w:ascii="Arial" w:hAnsi="Arial" w:cs="Arial"/>
                <w:sz w:val="22"/>
              </w:rPr>
            </w:pPr>
            <w:proofErr w:type="spellStart"/>
            <w:r w:rsidRPr="007B2F69">
              <w:rPr>
                <w:rFonts w:ascii="Arial" w:hAnsi="Arial" w:cs="Arial"/>
                <w:sz w:val="22"/>
              </w:rPr>
              <w:t>Eurostat</w:t>
            </w:r>
            <w:proofErr w:type="spellEnd"/>
            <w:r w:rsidRPr="007B2F69">
              <w:rPr>
                <w:rFonts w:ascii="Arial" w:hAnsi="Arial" w:cs="Arial"/>
                <w:sz w:val="22"/>
              </w:rPr>
              <w:t xml:space="preserve">, OECD </w:t>
            </w:r>
          </w:p>
        </w:tc>
      </w:tr>
    </w:tbl>
    <w:p w14:paraId="6C29F33E" w14:textId="77777777" w:rsidR="00534B06" w:rsidRPr="00534B06" w:rsidRDefault="00534B06" w:rsidP="007419C7">
      <w:pPr>
        <w:pStyle w:val="r2030cle"/>
        <w:numPr>
          <w:ilvl w:val="0"/>
          <w:numId w:val="17"/>
        </w:numPr>
        <w:ind w:left="567" w:hanging="425"/>
      </w:pPr>
      <w:r w:rsidRPr="00534B06">
        <w:t>Přírodní zdroje jsou využívány co nejefektivněji a nejšetrněji tak, aby se minimalizovaly externí náklady, které jejich spotřeba působí.</w:t>
      </w:r>
    </w:p>
    <w:p w14:paraId="20657C26" w14:textId="77777777" w:rsidR="00666033" w:rsidRDefault="00534B06" w:rsidP="007419C7">
      <w:pPr>
        <w:pStyle w:val="r2030podcle"/>
        <w:numPr>
          <w:ilvl w:val="1"/>
          <w:numId w:val="17"/>
        </w:numPr>
        <w:ind w:left="567" w:hanging="425"/>
      </w:pPr>
      <w:r>
        <w:t>Snižují se emise skleníkových plynů.</w:t>
      </w:r>
    </w:p>
    <w:tbl>
      <w:tblPr>
        <w:tblStyle w:val="Mkatabulky"/>
        <w:tblW w:w="0" w:type="auto"/>
        <w:tblLook w:val="04A0" w:firstRow="1" w:lastRow="0" w:firstColumn="1" w:lastColumn="0" w:noHBand="0" w:noVBand="1"/>
      </w:tblPr>
      <w:tblGrid>
        <w:gridCol w:w="2802"/>
        <w:gridCol w:w="6486"/>
      </w:tblGrid>
      <w:tr w:rsidR="00666033" w:rsidRPr="00CA79AD" w14:paraId="5EBC93E0" w14:textId="77777777" w:rsidTr="00666033">
        <w:tc>
          <w:tcPr>
            <w:tcW w:w="2802" w:type="dxa"/>
          </w:tcPr>
          <w:p w14:paraId="7058838F"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Název a označení indikátoru: </w:t>
            </w:r>
          </w:p>
        </w:tc>
        <w:tc>
          <w:tcPr>
            <w:tcW w:w="6486" w:type="dxa"/>
          </w:tcPr>
          <w:p w14:paraId="0EBC0947" w14:textId="77777777" w:rsidR="00666033" w:rsidRPr="00B405B1" w:rsidRDefault="00666033" w:rsidP="00C51B65">
            <w:pPr>
              <w:spacing w:line="276" w:lineRule="auto"/>
              <w:rPr>
                <w:rFonts w:ascii="Arial" w:eastAsia="Arial" w:hAnsi="Arial" w:cs="Arial"/>
                <w:b/>
                <w:color w:val="000000"/>
                <w:sz w:val="22"/>
                <w:szCs w:val="22"/>
              </w:rPr>
            </w:pPr>
            <w:r w:rsidRPr="00B405B1">
              <w:rPr>
                <w:rFonts w:ascii="Arial" w:eastAsia="Arial" w:hAnsi="Arial" w:cs="Arial"/>
                <w:b/>
                <w:color w:val="000000"/>
                <w:sz w:val="22"/>
                <w:szCs w:val="22"/>
              </w:rPr>
              <w:t>9.1.1 Emise skleníkových plynů</w:t>
            </w:r>
          </w:p>
        </w:tc>
      </w:tr>
      <w:tr w:rsidR="00666033" w:rsidRPr="00CA79AD" w14:paraId="216E1A3D" w14:textId="77777777" w:rsidTr="00666033">
        <w:tc>
          <w:tcPr>
            <w:tcW w:w="2802" w:type="dxa"/>
          </w:tcPr>
          <w:p w14:paraId="0381E33A"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Stručná definice: </w:t>
            </w:r>
          </w:p>
        </w:tc>
        <w:tc>
          <w:tcPr>
            <w:tcW w:w="6486" w:type="dxa"/>
          </w:tcPr>
          <w:p w14:paraId="28F6DC4C" w14:textId="77777777" w:rsidR="00666033" w:rsidRPr="00CA79AD" w:rsidRDefault="00666033" w:rsidP="007419C7">
            <w:pPr>
              <w:spacing w:line="276" w:lineRule="auto"/>
              <w:jc w:val="both"/>
              <w:rPr>
                <w:rFonts w:ascii="Arial" w:hAnsi="Arial" w:cs="Arial"/>
                <w:sz w:val="22"/>
                <w:szCs w:val="22"/>
              </w:rPr>
            </w:pPr>
            <w:r w:rsidRPr="00CA79AD">
              <w:rPr>
                <w:rFonts w:ascii="Arial" w:hAnsi="Arial" w:cs="Arial"/>
                <w:sz w:val="22"/>
                <w:szCs w:val="22"/>
              </w:rPr>
              <w:t>Absolutní</w:t>
            </w:r>
            <w:r w:rsidR="009A7EA3">
              <w:rPr>
                <w:rFonts w:ascii="Arial" w:hAnsi="Arial" w:cs="Arial"/>
                <w:sz w:val="22"/>
                <w:szCs w:val="22"/>
              </w:rPr>
              <w:t xml:space="preserve"> a relativní</w:t>
            </w:r>
            <w:r w:rsidRPr="00CA79AD">
              <w:rPr>
                <w:rFonts w:ascii="Arial" w:hAnsi="Arial" w:cs="Arial"/>
                <w:sz w:val="22"/>
                <w:szCs w:val="22"/>
              </w:rPr>
              <w:t xml:space="preserve"> výše emisí skleníkových plynů</w:t>
            </w:r>
          </w:p>
        </w:tc>
      </w:tr>
      <w:tr w:rsidR="00666033" w:rsidRPr="00CA79AD" w14:paraId="7DFB49AE" w14:textId="77777777" w:rsidTr="00666033">
        <w:tc>
          <w:tcPr>
            <w:tcW w:w="2802" w:type="dxa"/>
          </w:tcPr>
          <w:p w14:paraId="17F16CB5"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Jednotka:</w:t>
            </w:r>
          </w:p>
        </w:tc>
        <w:tc>
          <w:tcPr>
            <w:tcW w:w="6486" w:type="dxa"/>
          </w:tcPr>
          <w:p w14:paraId="23E4075D" w14:textId="77777777" w:rsidR="00666033" w:rsidRPr="00CA79AD" w:rsidRDefault="00666033" w:rsidP="007419C7">
            <w:pPr>
              <w:spacing w:line="276" w:lineRule="auto"/>
              <w:jc w:val="both"/>
              <w:rPr>
                <w:rFonts w:ascii="Arial" w:eastAsia="Arial" w:hAnsi="Arial" w:cs="Arial"/>
                <w:color w:val="000000"/>
                <w:sz w:val="22"/>
                <w:szCs w:val="22"/>
              </w:rPr>
            </w:pPr>
            <w:r w:rsidRPr="00CA79AD">
              <w:rPr>
                <w:rFonts w:ascii="Arial" w:eastAsia="Arial" w:hAnsi="Arial" w:cs="Arial"/>
                <w:color w:val="000000"/>
                <w:sz w:val="22"/>
                <w:szCs w:val="22"/>
              </w:rPr>
              <w:t>Tuny ekvivalentu CO</w:t>
            </w:r>
            <w:r w:rsidRPr="00534B06">
              <w:rPr>
                <w:rFonts w:ascii="Arial" w:eastAsia="Arial" w:hAnsi="Arial" w:cs="Arial"/>
                <w:color w:val="000000"/>
                <w:sz w:val="22"/>
                <w:szCs w:val="22"/>
                <w:vertAlign w:val="subscript"/>
              </w:rPr>
              <w:t>2</w:t>
            </w:r>
            <w:r w:rsidR="00E6072A">
              <w:rPr>
                <w:rFonts w:ascii="Arial" w:eastAsia="Arial" w:hAnsi="Arial" w:cs="Arial"/>
                <w:color w:val="000000"/>
                <w:sz w:val="22"/>
                <w:szCs w:val="22"/>
                <w:vertAlign w:val="subscript"/>
              </w:rPr>
              <w:t xml:space="preserve"> </w:t>
            </w:r>
            <w:r w:rsidR="00E6072A">
              <w:rPr>
                <w:rFonts w:ascii="Arial" w:eastAsia="Arial" w:hAnsi="Arial" w:cs="Arial"/>
                <w:color w:val="000000"/>
                <w:sz w:val="22"/>
                <w:szCs w:val="22"/>
              </w:rPr>
              <w:t xml:space="preserve">plus v přepočtu na </w:t>
            </w:r>
            <w:r w:rsidR="009A7EA3">
              <w:rPr>
                <w:rFonts w:ascii="Arial" w:eastAsia="Arial" w:hAnsi="Arial" w:cs="Arial"/>
                <w:color w:val="000000"/>
                <w:sz w:val="22"/>
                <w:szCs w:val="22"/>
              </w:rPr>
              <w:t>tis. Kč HDP ve stálých cenách</w:t>
            </w:r>
            <w:r w:rsidR="00E6072A">
              <w:rPr>
                <w:rFonts w:ascii="Arial" w:eastAsia="Arial" w:hAnsi="Arial" w:cs="Arial"/>
                <w:color w:val="000000"/>
                <w:sz w:val="22"/>
                <w:szCs w:val="22"/>
              </w:rPr>
              <w:t xml:space="preserve"> a na osobu</w:t>
            </w:r>
          </w:p>
        </w:tc>
      </w:tr>
      <w:tr w:rsidR="00666033" w:rsidRPr="00CA79AD" w14:paraId="048D2520" w14:textId="77777777" w:rsidTr="00666033">
        <w:tc>
          <w:tcPr>
            <w:tcW w:w="2802" w:type="dxa"/>
          </w:tcPr>
          <w:p w14:paraId="2C46A2AE"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Gestor: </w:t>
            </w:r>
          </w:p>
        </w:tc>
        <w:tc>
          <w:tcPr>
            <w:tcW w:w="6486" w:type="dxa"/>
          </w:tcPr>
          <w:p w14:paraId="2CDBBA77" w14:textId="7DC48C42" w:rsidR="00666033" w:rsidRPr="00CA79AD" w:rsidRDefault="00EC15AE" w:rsidP="007419C7">
            <w:pPr>
              <w:spacing w:line="276" w:lineRule="auto"/>
              <w:jc w:val="both"/>
              <w:rPr>
                <w:rFonts w:ascii="Arial" w:hAnsi="Arial" w:cs="Arial"/>
                <w:sz w:val="22"/>
                <w:szCs w:val="22"/>
              </w:rPr>
            </w:pPr>
            <w:r>
              <w:rPr>
                <w:rFonts w:ascii="Arial" w:hAnsi="Arial" w:cs="Arial"/>
                <w:sz w:val="22"/>
                <w:szCs w:val="22"/>
              </w:rPr>
              <w:t xml:space="preserve">Ministerstvo životního prostředí </w:t>
            </w:r>
          </w:p>
        </w:tc>
      </w:tr>
      <w:tr w:rsidR="00666033" w:rsidRPr="00CA79AD" w14:paraId="736AB551" w14:textId="77777777" w:rsidTr="00666033">
        <w:tc>
          <w:tcPr>
            <w:tcW w:w="2802" w:type="dxa"/>
          </w:tcPr>
          <w:p w14:paraId="35D5F173"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Význam indikátoru: </w:t>
            </w:r>
          </w:p>
        </w:tc>
        <w:tc>
          <w:tcPr>
            <w:tcW w:w="6486" w:type="dxa"/>
          </w:tcPr>
          <w:p w14:paraId="6B9CA4C9" w14:textId="77777777" w:rsidR="00666033" w:rsidRPr="00CA79AD" w:rsidRDefault="00666033" w:rsidP="007419C7">
            <w:pPr>
              <w:spacing w:line="276" w:lineRule="auto"/>
              <w:jc w:val="both"/>
              <w:rPr>
                <w:rFonts w:ascii="Arial" w:hAnsi="Arial" w:cs="Arial"/>
                <w:sz w:val="22"/>
                <w:szCs w:val="22"/>
              </w:rPr>
            </w:pPr>
            <w:r w:rsidRPr="00CA79AD">
              <w:rPr>
                <w:rFonts w:ascii="Arial" w:hAnsi="Arial" w:cs="Arial"/>
                <w:sz w:val="22"/>
                <w:szCs w:val="22"/>
              </w:rPr>
              <w:t>Indikuje celkové</w:t>
            </w:r>
            <w:r w:rsidR="009A7EA3">
              <w:rPr>
                <w:rFonts w:ascii="Arial" w:hAnsi="Arial" w:cs="Arial"/>
                <w:sz w:val="22"/>
                <w:szCs w:val="22"/>
              </w:rPr>
              <w:t xml:space="preserve"> a relativní</w:t>
            </w:r>
            <w:r w:rsidRPr="00CA79AD">
              <w:rPr>
                <w:rFonts w:ascii="Arial" w:hAnsi="Arial" w:cs="Arial"/>
                <w:sz w:val="22"/>
                <w:szCs w:val="22"/>
              </w:rPr>
              <w:t xml:space="preserve"> množství skleníkových plynů vypuštěných do atmosféry a jejich propadů.</w:t>
            </w:r>
          </w:p>
        </w:tc>
      </w:tr>
      <w:tr w:rsidR="00666033" w:rsidRPr="00CA79AD" w14:paraId="21E45328" w14:textId="77777777" w:rsidTr="00666033">
        <w:tc>
          <w:tcPr>
            <w:tcW w:w="2802" w:type="dxa"/>
          </w:tcPr>
          <w:p w14:paraId="5FBADFD5"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Časová řada: </w:t>
            </w:r>
          </w:p>
        </w:tc>
        <w:tc>
          <w:tcPr>
            <w:tcW w:w="6486" w:type="dxa"/>
          </w:tcPr>
          <w:p w14:paraId="1F29CE84" w14:textId="77777777" w:rsidR="00666033" w:rsidRPr="00CA79AD" w:rsidRDefault="00666033" w:rsidP="007419C7">
            <w:pPr>
              <w:spacing w:line="276" w:lineRule="auto"/>
              <w:jc w:val="both"/>
              <w:rPr>
                <w:rFonts w:ascii="Arial" w:hAnsi="Arial" w:cs="Arial"/>
                <w:sz w:val="22"/>
                <w:szCs w:val="22"/>
              </w:rPr>
            </w:pPr>
            <w:r w:rsidRPr="00CA79AD">
              <w:rPr>
                <w:rFonts w:ascii="Arial" w:hAnsi="Arial" w:cs="Arial"/>
                <w:sz w:val="22"/>
                <w:szCs w:val="22"/>
              </w:rPr>
              <w:t>Od r</w:t>
            </w:r>
            <w:r w:rsidR="009F3C12">
              <w:rPr>
                <w:rFonts w:ascii="Arial" w:hAnsi="Arial" w:cs="Arial"/>
                <w:sz w:val="22"/>
                <w:szCs w:val="22"/>
              </w:rPr>
              <w:t>oku</w:t>
            </w:r>
            <w:r w:rsidRPr="00CA79AD">
              <w:rPr>
                <w:rFonts w:ascii="Arial" w:hAnsi="Arial" w:cs="Arial"/>
                <w:sz w:val="22"/>
                <w:szCs w:val="22"/>
              </w:rPr>
              <w:t xml:space="preserve"> 1990</w:t>
            </w:r>
          </w:p>
        </w:tc>
      </w:tr>
      <w:tr w:rsidR="00666033" w:rsidRPr="00CA79AD" w14:paraId="70C5F769" w14:textId="77777777" w:rsidTr="00666033">
        <w:tc>
          <w:tcPr>
            <w:tcW w:w="2802" w:type="dxa"/>
          </w:tcPr>
          <w:p w14:paraId="4F56D7A8"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Frekvence výstupu: </w:t>
            </w:r>
          </w:p>
        </w:tc>
        <w:tc>
          <w:tcPr>
            <w:tcW w:w="6486" w:type="dxa"/>
          </w:tcPr>
          <w:p w14:paraId="519C35BA" w14:textId="77777777" w:rsidR="00666033" w:rsidRPr="00CA79AD" w:rsidRDefault="00D11FCC" w:rsidP="007419C7">
            <w:pPr>
              <w:spacing w:line="276" w:lineRule="auto"/>
              <w:jc w:val="both"/>
              <w:rPr>
                <w:rFonts w:ascii="Arial" w:hAnsi="Arial" w:cs="Arial"/>
                <w:sz w:val="22"/>
                <w:szCs w:val="22"/>
              </w:rPr>
            </w:pPr>
            <w:r>
              <w:rPr>
                <w:rFonts w:ascii="Arial" w:hAnsi="Arial" w:cs="Arial"/>
                <w:sz w:val="22"/>
                <w:szCs w:val="22"/>
              </w:rPr>
              <w:t>Ročně</w:t>
            </w:r>
          </w:p>
        </w:tc>
      </w:tr>
      <w:tr w:rsidR="00666033" w:rsidRPr="00CA79AD" w14:paraId="06C40A51" w14:textId="77777777" w:rsidTr="00666033">
        <w:trPr>
          <w:trHeight w:val="70"/>
        </w:trPr>
        <w:tc>
          <w:tcPr>
            <w:tcW w:w="2802" w:type="dxa"/>
          </w:tcPr>
          <w:p w14:paraId="75B164FD"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Členění indikátoru: </w:t>
            </w:r>
          </w:p>
        </w:tc>
        <w:tc>
          <w:tcPr>
            <w:tcW w:w="6486" w:type="dxa"/>
          </w:tcPr>
          <w:p w14:paraId="317C22D7" w14:textId="77777777" w:rsidR="00666033" w:rsidRPr="00CA79AD" w:rsidRDefault="00666033" w:rsidP="007419C7">
            <w:pPr>
              <w:spacing w:line="276" w:lineRule="auto"/>
              <w:jc w:val="both"/>
              <w:rPr>
                <w:rFonts w:ascii="Arial" w:hAnsi="Arial" w:cs="Arial"/>
                <w:sz w:val="22"/>
                <w:szCs w:val="22"/>
              </w:rPr>
            </w:pPr>
            <w:r w:rsidRPr="00CA79AD">
              <w:rPr>
                <w:rFonts w:ascii="Arial" w:hAnsi="Arial" w:cs="Arial"/>
                <w:sz w:val="22"/>
                <w:szCs w:val="22"/>
              </w:rPr>
              <w:t xml:space="preserve">Podle sektorů: energetika, průmyslové procesy a použití produktů, zemědělství, odpady, LULUCF (využívání krajiny, </w:t>
            </w:r>
          </w:p>
          <w:p w14:paraId="02515F5C" w14:textId="77777777" w:rsidR="00666033" w:rsidRPr="00CA79AD" w:rsidRDefault="00666033" w:rsidP="007419C7">
            <w:pPr>
              <w:spacing w:line="276" w:lineRule="auto"/>
              <w:jc w:val="both"/>
              <w:rPr>
                <w:rFonts w:ascii="Arial" w:hAnsi="Arial" w:cs="Arial"/>
                <w:sz w:val="22"/>
                <w:szCs w:val="22"/>
              </w:rPr>
            </w:pPr>
            <w:r w:rsidRPr="00CA79AD">
              <w:rPr>
                <w:rFonts w:ascii="Arial" w:hAnsi="Arial" w:cs="Arial"/>
                <w:sz w:val="22"/>
                <w:szCs w:val="22"/>
              </w:rPr>
              <w:t xml:space="preserve">změny ve využívání krajiny a lesnictví); celkové emise: včetně a bez LULUCF </w:t>
            </w:r>
          </w:p>
        </w:tc>
      </w:tr>
      <w:tr w:rsidR="00666033" w:rsidRPr="00CA79AD" w14:paraId="1860939A" w14:textId="77777777" w:rsidTr="00666033">
        <w:trPr>
          <w:trHeight w:val="70"/>
        </w:trPr>
        <w:tc>
          <w:tcPr>
            <w:tcW w:w="2802" w:type="dxa"/>
          </w:tcPr>
          <w:p w14:paraId="29CC7A41"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Mezinárodní srovnání:</w:t>
            </w:r>
          </w:p>
        </w:tc>
        <w:tc>
          <w:tcPr>
            <w:tcW w:w="6486" w:type="dxa"/>
          </w:tcPr>
          <w:p w14:paraId="247ADC42" w14:textId="77777777" w:rsidR="00666033" w:rsidRPr="00CA79AD" w:rsidRDefault="00666033" w:rsidP="007419C7">
            <w:pPr>
              <w:spacing w:line="276" w:lineRule="auto"/>
              <w:jc w:val="both"/>
              <w:rPr>
                <w:rFonts w:ascii="Arial" w:hAnsi="Arial" w:cs="Arial"/>
                <w:sz w:val="22"/>
                <w:szCs w:val="22"/>
              </w:rPr>
            </w:pPr>
            <w:r w:rsidRPr="00CA79AD">
              <w:rPr>
                <w:rFonts w:ascii="Arial" w:hAnsi="Arial" w:cs="Arial"/>
                <w:sz w:val="22"/>
                <w:szCs w:val="22"/>
              </w:rPr>
              <w:t>Členské země EU, globálně</w:t>
            </w:r>
          </w:p>
        </w:tc>
      </w:tr>
    </w:tbl>
    <w:p w14:paraId="4C0B3EF1" w14:textId="77777777" w:rsidR="00666033" w:rsidRPr="00F677C3" w:rsidRDefault="00534B06" w:rsidP="007419C7">
      <w:pPr>
        <w:pStyle w:val="r2030podcle"/>
        <w:numPr>
          <w:ilvl w:val="1"/>
          <w:numId w:val="17"/>
        </w:numPr>
        <w:ind w:left="567" w:hanging="425"/>
      </w:pPr>
      <w:r>
        <w:t>Zvyšuje se</w:t>
      </w:r>
      <w:r w:rsidR="00666033" w:rsidRPr="00F677C3">
        <w:t xml:space="preserve"> podíl oběhového hospodářství na celkovém objemu materiálových toků</w:t>
      </w:r>
    </w:p>
    <w:tbl>
      <w:tblPr>
        <w:tblStyle w:val="Mkatabulky"/>
        <w:tblW w:w="0" w:type="auto"/>
        <w:tblLook w:val="04A0" w:firstRow="1" w:lastRow="0" w:firstColumn="1" w:lastColumn="0" w:noHBand="0" w:noVBand="1"/>
      </w:tblPr>
      <w:tblGrid>
        <w:gridCol w:w="2802"/>
        <w:gridCol w:w="6486"/>
      </w:tblGrid>
      <w:tr w:rsidR="00666033" w:rsidRPr="00CA79AD" w14:paraId="78EA085A" w14:textId="77777777" w:rsidTr="00666033">
        <w:tc>
          <w:tcPr>
            <w:tcW w:w="2802" w:type="dxa"/>
          </w:tcPr>
          <w:p w14:paraId="667A8A63"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Název a označení indikátoru: </w:t>
            </w:r>
          </w:p>
        </w:tc>
        <w:tc>
          <w:tcPr>
            <w:tcW w:w="6486" w:type="dxa"/>
          </w:tcPr>
          <w:p w14:paraId="061BF09A" w14:textId="77777777" w:rsidR="00666033" w:rsidRPr="00B405B1" w:rsidRDefault="00666033" w:rsidP="00C51B65">
            <w:pPr>
              <w:spacing w:line="276" w:lineRule="auto"/>
              <w:rPr>
                <w:rFonts w:ascii="Arial" w:hAnsi="Arial" w:cs="Arial"/>
                <w:b/>
                <w:sz w:val="22"/>
                <w:szCs w:val="22"/>
              </w:rPr>
            </w:pPr>
            <w:r w:rsidRPr="00B405B1">
              <w:rPr>
                <w:rFonts w:ascii="Arial" w:hAnsi="Arial" w:cs="Arial"/>
                <w:b/>
                <w:sz w:val="22"/>
                <w:szCs w:val="22"/>
              </w:rPr>
              <w:t>9.2.1 Podíl objemu produkce druhotných surovin na přímém materiálovém vstupu</w:t>
            </w:r>
          </w:p>
        </w:tc>
      </w:tr>
      <w:tr w:rsidR="00666033" w:rsidRPr="00CA79AD" w14:paraId="215864D9" w14:textId="77777777" w:rsidTr="00666033">
        <w:tc>
          <w:tcPr>
            <w:tcW w:w="2802" w:type="dxa"/>
          </w:tcPr>
          <w:p w14:paraId="454F5EAE"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Stručná definice: </w:t>
            </w:r>
          </w:p>
        </w:tc>
        <w:tc>
          <w:tcPr>
            <w:tcW w:w="6486" w:type="dxa"/>
          </w:tcPr>
          <w:p w14:paraId="10F007F7" w14:textId="77777777" w:rsidR="00666033" w:rsidRPr="00CA79AD" w:rsidRDefault="008B7571" w:rsidP="007419C7">
            <w:pPr>
              <w:spacing w:line="276" w:lineRule="auto"/>
              <w:jc w:val="both"/>
              <w:rPr>
                <w:rFonts w:ascii="Arial" w:hAnsi="Arial" w:cs="Arial"/>
                <w:sz w:val="22"/>
                <w:szCs w:val="22"/>
              </w:rPr>
            </w:pPr>
            <m:oMathPara>
              <m:oMath>
                <m:f>
                  <m:fPr>
                    <m:ctrlPr>
                      <w:rPr>
                        <w:rFonts w:ascii="Cambria Math" w:hAnsi="Cambria Math" w:cs="Arial"/>
                        <w:i/>
                        <w:sz w:val="22"/>
                        <w:szCs w:val="22"/>
                      </w:rPr>
                    </m:ctrlPr>
                  </m:fPr>
                  <m:num>
                    <m:r>
                      <w:rPr>
                        <w:rFonts w:ascii="Cambria Math" w:hAnsi="Cambria Math" w:cs="Arial"/>
                        <w:sz w:val="22"/>
                        <w:szCs w:val="22"/>
                      </w:rPr>
                      <m:t>produkce DS</m:t>
                    </m:r>
                  </m:num>
                  <m:den>
                    <m:r>
                      <w:rPr>
                        <w:rFonts w:ascii="Cambria Math" w:hAnsi="Cambria Math" w:cs="Arial"/>
                        <w:sz w:val="22"/>
                        <w:szCs w:val="22"/>
                      </w:rPr>
                      <m:t>produkce DS+DMI</m:t>
                    </m:r>
                  </m:den>
                </m:f>
              </m:oMath>
            </m:oMathPara>
          </w:p>
          <w:p w14:paraId="636E3E88" w14:textId="77777777" w:rsidR="00666033" w:rsidRPr="00CA79AD" w:rsidRDefault="00666033" w:rsidP="007419C7">
            <w:pPr>
              <w:spacing w:line="276" w:lineRule="auto"/>
              <w:jc w:val="both"/>
              <w:rPr>
                <w:rFonts w:ascii="Arial" w:hAnsi="Arial" w:cs="Arial"/>
                <w:sz w:val="22"/>
                <w:szCs w:val="22"/>
              </w:rPr>
            </w:pPr>
            <w:r w:rsidRPr="00CA79AD">
              <w:rPr>
                <w:rFonts w:ascii="Arial" w:hAnsi="Arial" w:cs="Arial"/>
                <w:sz w:val="22"/>
                <w:szCs w:val="22"/>
              </w:rPr>
              <w:t>Za druhotnou surovinu (DS) se považují všechny materiály mající charakter vedlejších produktů (včetně certifikovaných výrobků) a upravené odpady, které přestaly být odpadem po té, co splnily kvalitativní požadavky pro další zpracování.</w:t>
            </w:r>
          </w:p>
          <w:p w14:paraId="1761E344" w14:textId="77777777" w:rsidR="00666033" w:rsidRPr="00CA79AD" w:rsidRDefault="00666033" w:rsidP="007419C7">
            <w:pPr>
              <w:spacing w:line="276" w:lineRule="auto"/>
              <w:jc w:val="both"/>
              <w:rPr>
                <w:rFonts w:ascii="Arial" w:hAnsi="Arial" w:cs="Arial"/>
                <w:sz w:val="22"/>
                <w:szCs w:val="22"/>
              </w:rPr>
            </w:pPr>
            <w:r w:rsidRPr="00CA79AD">
              <w:rPr>
                <w:rFonts w:ascii="Arial" w:hAnsi="Arial" w:cs="Arial"/>
                <w:sz w:val="22"/>
                <w:szCs w:val="22"/>
              </w:rPr>
              <w:t>P</w:t>
            </w:r>
            <w:r w:rsidR="00534B06">
              <w:rPr>
                <w:rFonts w:ascii="Arial" w:hAnsi="Arial" w:cs="Arial"/>
                <w:sz w:val="22"/>
                <w:szCs w:val="22"/>
              </w:rPr>
              <w:t>římý materiálový vstup (</w:t>
            </w:r>
            <w:r w:rsidR="00534B06" w:rsidRPr="00534B06">
              <w:rPr>
                <w:rFonts w:ascii="Arial" w:hAnsi="Arial" w:cs="Arial"/>
                <w:i/>
                <w:sz w:val="22"/>
                <w:szCs w:val="22"/>
              </w:rPr>
              <w:t xml:space="preserve">Direct </w:t>
            </w:r>
            <w:proofErr w:type="spellStart"/>
            <w:r w:rsidR="00534B06" w:rsidRPr="00534B06">
              <w:rPr>
                <w:rFonts w:ascii="Arial" w:hAnsi="Arial" w:cs="Arial"/>
                <w:i/>
                <w:sz w:val="22"/>
                <w:szCs w:val="22"/>
              </w:rPr>
              <w:t>Material</w:t>
            </w:r>
            <w:proofErr w:type="spellEnd"/>
            <w:r w:rsidR="00534B06" w:rsidRPr="00534B06">
              <w:rPr>
                <w:rFonts w:ascii="Arial" w:hAnsi="Arial" w:cs="Arial"/>
                <w:i/>
                <w:sz w:val="22"/>
                <w:szCs w:val="22"/>
              </w:rPr>
              <w:t xml:space="preserve"> I</w:t>
            </w:r>
            <w:r w:rsidRPr="00534B06">
              <w:rPr>
                <w:rFonts w:ascii="Arial" w:hAnsi="Arial" w:cs="Arial"/>
                <w:i/>
                <w:sz w:val="22"/>
                <w:szCs w:val="22"/>
              </w:rPr>
              <w:t>nput</w:t>
            </w:r>
            <w:r w:rsidRPr="00CA79AD">
              <w:rPr>
                <w:rFonts w:ascii="Arial" w:hAnsi="Arial" w:cs="Arial"/>
                <w:sz w:val="22"/>
                <w:szCs w:val="22"/>
              </w:rPr>
              <w:t xml:space="preserve"> – DMI) měří vstup </w:t>
            </w:r>
            <w:r w:rsidRPr="00CA79AD">
              <w:rPr>
                <w:rFonts w:ascii="Arial" w:hAnsi="Arial" w:cs="Arial"/>
                <w:sz w:val="22"/>
                <w:szCs w:val="22"/>
              </w:rPr>
              <w:lastRenderedPageBreak/>
              <w:t>používaných materiálů v hospodářství, tj. všechny materiály, které mají ekonomickou hodnotu a jsou používány pro výrobu a spotřebu.</w:t>
            </w:r>
          </w:p>
        </w:tc>
      </w:tr>
      <w:tr w:rsidR="00666033" w:rsidRPr="00CA79AD" w14:paraId="7C815DA7" w14:textId="77777777" w:rsidTr="00666033">
        <w:tc>
          <w:tcPr>
            <w:tcW w:w="2802" w:type="dxa"/>
          </w:tcPr>
          <w:p w14:paraId="572194B3"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lastRenderedPageBreak/>
              <w:t>Jednotka:</w:t>
            </w:r>
          </w:p>
        </w:tc>
        <w:tc>
          <w:tcPr>
            <w:tcW w:w="6486" w:type="dxa"/>
          </w:tcPr>
          <w:p w14:paraId="3E5275E3" w14:textId="77777777" w:rsidR="00666033" w:rsidRPr="00CA79AD" w:rsidRDefault="00534B06" w:rsidP="007419C7">
            <w:pPr>
              <w:spacing w:line="276" w:lineRule="auto"/>
              <w:jc w:val="both"/>
              <w:rPr>
                <w:rFonts w:ascii="Arial" w:hAnsi="Arial" w:cs="Arial"/>
                <w:sz w:val="22"/>
                <w:szCs w:val="22"/>
              </w:rPr>
            </w:pPr>
            <w:r>
              <w:rPr>
                <w:rFonts w:ascii="Arial" w:hAnsi="Arial" w:cs="Arial"/>
                <w:sz w:val="22"/>
                <w:szCs w:val="22"/>
              </w:rPr>
              <w:t xml:space="preserve">Podíl (v </w:t>
            </w:r>
            <w:r w:rsidR="00666033" w:rsidRPr="00CA79AD">
              <w:rPr>
                <w:rFonts w:ascii="Arial" w:hAnsi="Arial" w:cs="Arial"/>
                <w:sz w:val="22"/>
                <w:szCs w:val="22"/>
              </w:rPr>
              <w:t>%</w:t>
            </w:r>
            <w:r>
              <w:rPr>
                <w:rFonts w:ascii="Arial" w:hAnsi="Arial" w:cs="Arial"/>
                <w:sz w:val="22"/>
                <w:szCs w:val="22"/>
              </w:rPr>
              <w:t>)</w:t>
            </w:r>
          </w:p>
        </w:tc>
      </w:tr>
      <w:tr w:rsidR="00666033" w:rsidRPr="00CA79AD" w14:paraId="43E423AA" w14:textId="77777777" w:rsidTr="00666033">
        <w:tc>
          <w:tcPr>
            <w:tcW w:w="2802" w:type="dxa"/>
          </w:tcPr>
          <w:p w14:paraId="09F2C7DB"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Gestor: </w:t>
            </w:r>
          </w:p>
        </w:tc>
        <w:tc>
          <w:tcPr>
            <w:tcW w:w="6486" w:type="dxa"/>
          </w:tcPr>
          <w:p w14:paraId="41E9DD86" w14:textId="77777777" w:rsidR="00666033" w:rsidRPr="00CA79AD" w:rsidRDefault="00666033" w:rsidP="007419C7">
            <w:pPr>
              <w:spacing w:line="276" w:lineRule="auto"/>
              <w:jc w:val="both"/>
              <w:rPr>
                <w:rFonts w:ascii="Arial" w:hAnsi="Arial" w:cs="Arial"/>
                <w:sz w:val="22"/>
                <w:szCs w:val="22"/>
              </w:rPr>
            </w:pPr>
            <w:r>
              <w:rPr>
                <w:rFonts w:ascii="Arial" w:hAnsi="Arial" w:cs="Arial"/>
                <w:sz w:val="22"/>
                <w:szCs w:val="22"/>
              </w:rPr>
              <w:t>Český statistický úřad</w:t>
            </w:r>
          </w:p>
        </w:tc>
      </w:tr>
      <w:tr w:rsidR="00666033" w:rsidRPr="00CA79AD" w14:paraId="09A23378" w14:textId="77777777" w:rsidTr="00666033">
        <w:tc>
          <w:tcPr>
            <w:tcW w:w="2802" w:type="dxa"/>
          </w:tcPr>
          <w:p w14:paraId="2238FD43"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Význam indikátoru: </w:t>
            </w:r>
          </w:p>
        </w:tc>
        <w:tc>
          <w:tcPr>
            <w:tcW w:w="6486" w:type="dxa"/>
          </w:tcPr>
          <w:p w14:paraId="7F58B845" w14:textId="77777777" w:rsidR="00666033" w:rsidRPr="00CA79AD" w:rsidRDefault="00666033" w:rsidP="007419C7">
            <w:pPr>
              <w:spacing w:line="276" w:lineRule="auto"/>
              <w:jc w:val="both"/>
              <w:rPr>
                <w:rFonts w:ascii="Arial" w:hAnsi="Arial" w:cs="Arial"/>
                <w:sz w:val="22"/>
                <w:szCs w:val="22"/>
              </w:rPr>
            </w:pPr>
            <w:r w:rsidRPr="00CA79AD">
              <w:rPr>
                <w:rFonts w:ascii="Arial" w:hAnsi="Arial" w:cs="Arial"/>
                <w:sz w:val="22"/>
                <w:szCs w:val="22"/>
              </w:rPr>
              <w:t>Indikátor ukazuje relativní velikost produkce DS vůči celkovému materiálovému vstupu do ekonomiky.</w:t>
            </w:r>
          </w:p>
        </w:tc>
      </w:tr>
      <w:tr w:rsidR="00666033" w:rsidRPr="00CA79AD" w14:paraId="141D0532" w14:textId="77777777" w:rsidTr="00666033">
        <w:tc>
          <w:tcPr>
            <w:tcW w:w="2802" w:type="dxa"/>
          </w:tcPr>
          <w:p w14:paraId="2E9D3493"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Časová řada: </w:t>
            </w:r>
          </w:p>
        </w:tc>
        <w:tc>
          <w:tcPr>
            <w:tcW w:w="6486" w:type="dxa"/>
          </w:tcPr>
          <w:p w14:paraId="5FF6A4CC" w14:textId="77777777" w:rsidR="00666033" w:rsidRPr="00CA79AD" w:rsidRDefault="00666033" w:rsidP="007419C7">
            <w:pPr>
              <w:spacing w:line="276" w:lineRule="auto"/>
              <w:jc w:val="both"/>
              <w:rPr>
                <w:rFonts w:ascii="Arial" w:hAnsi="Arial" w:cs="Arial"/>
                <w:sz w:val="22"/>
                <w:szCs w:val="22"/>
              </w:rPr>
            </w:pPr>
            <w:r w:rsidRPr="00CA79AD">
              <w:rPr>
                <w:rFonts w:ascii="Arial" w:hAnsi="Arial" w:cs="Arial"/>
                <w:sz w:val="22"/>
                <w:szCs w:val="22"/>
              </w:rPr>
              <w:t xml:space="preserve">Od </w:t>
            </w:r>
            <w:r w:rsidR="00534B06">
              <w:rPr>
                <w:rFonts w:ascii="Arial" w:hAnsi="Arial" w:cs="Arial"/>
                <w:sz w:val="22"/>
                <w:szCs w:val="22"/>
              </w:rPr>
              <w:t xml:space="preserve">roku </w:t>
            </w:r>
            <w:r w:rsidRPr="00CA79AD">
              <w:rPr>
                <w:rFonts w:ascii="Arial" w:hAnsi="Arial" w:cs="Arial"/>
                <w:sz w:val="22"/>
                <w:szCs w:val="22"/>
              </w:rPr>
              <w:t xml:space="preserve">2011 </w:t>
            </w:r>
          </w:p>
        </w:tc>
      </w:tr>
      <w:tr w:rsidR="00666033" w:rsidRPr="00CA79AD" w14:paraId="22DB018B" w14:textId="77777777" w:rsidTr="00666033">
        <w:tc>
          <w:tcPr>
            <w:tcW w:w="2802" w:type="dxa"/>
          </w:tcPr>
          <w:p w14:paraId="385D15E6"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Frekvence výstupu: </w:t>
            </w:r>
          </w:p>
        </w:tc>
        <w:tc>
          <w:tcPr>
            <w:tcW w:w="6486" w:type="dxa"/>
          </w:tcPr>
          <w:p w14:paraId="661DDE03" w14:textId="77777777" w:rsidR="00666033" w:rsidRPr="00CA79AD" w:rsidRDefault="008A4A05" w:rsidP="007419C7">
            <w:pPr>
              <w:spacing w:line="276" w:lineRule="auto"/>
              <w:jc w:val="both"/>
              <w:rPr>
                <w:rFonts w:ascii="Arial" w:hAnsi="Arial" w:cs="Arial"/>
                <w:sz w:val="22"/>
                <w:szCs w:val="22"/>
              </w:rPr>
            </w:pPr>
            <w:r>
              <w:rPr>
                <w:rFonts w:ascii="Arial" w:hAnsi="Arial" w:cs="Arial"/>
                <w:sz w:val="22"/>
                <w:szCs w:val="22"/>
              </w:rPr>
              <w:t>Ročně</w:t>
            </w:r>
            <w:r w:rsidR="00666033" w:rsidRPr="00CA79AD">
              <w:rPr>
                <w:rFonts w:ascii="Arial" w:hAnsi="Arial" w:cs="Arial"/>
                <w:sz w:val="22"/>
                <w:szCs w:val="22"/>
              </w:rPr>
              <w:t xml:space="preserve"> (jednotlivě pro DS a DMI)</w:t>
            </w:r>
          </w:p>
        </w:tc>
      </w:tr>
      <w:tr w:rsidR="00666033" w:rsidRPr="00CA79AD" w14:paraId="778901C9" w14:textId="77777777" w:rsidTr="00666033">
        <w:trPr>
          <w:trHeight w:val="70"/>
        </w:trPr>
        <w:tc>
          <w:tcPr>
            <w:tcW w:w="2802" w:type="dxa"/>
          </w:tcPr>
          <w:p w14:paraId="46D6ECEA"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Členění indikátoru: </w:t>
            </w:r>
          </w:p>
        </w:tc>
        <w:tc>
          <w:tcPr>
            <w:tcW w:w="6486" w:type="dxa"/>
          </w:tcPr>
          <w:p w14:paraId="3E4BA86C" w14:textId="77777777" w:rsidR="00666033" w:rsidRPr="00CA79AD" w:rsidRDefault="00666033" w:rsidP="007419C7">
            <w:pPr>
              <w:spacing w:line="276" w:lineRule="auto"/>
              <w:jc w:val="both"/>
              <w:rPr>
                <w:rFonts w:ascii="Arial" w:hAnsi="Arial" w:cs="Arial"/>
                <w:sz w:val="22"/>
                <w:szCs w:val="22"/>
              </w:rPr>
            </w:pPr>
            <w:r w:rsidRPr="00CA79AD">
              <w:rPr>
                <w:rFonts w:ascii="Arial" w:hAnsi="Arial" w:cs="Arial"/>
                <w:sz w:val="22"/>
                <w:szCs w:val="22"/>
              </w:rPr>
              <w:t>-</w:t>
            </w:r>
          </w:p>
        </w:tc>
      </w:tr>
      <w:tr w:rsidR="00666033" w:rsidRPr="00CA79AD" w14:paraId="17103F5A" w14:textId="77777777" w:rsidTr="00666033">
        <w:trPr>
          <w:trHeight w:val="70"/>
        </w:trPr>
        <w:tc>
          <w:tcPr>
            <w:tcW w:w="2802" w:type="dxa"/>
          </w:tcPr>
          <w:p w14:paraId="5E1671F5"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Mezinárodní srovnání:</w:t>
            </w:r>
          </w:p>
        </w:tc>
        <w:tc>
          <w:tcPr>
            <w:tcW w:w="6486" w:type="dxa"/>
          </w:tcPr>
          <w:p w14:paraId="1E1E9A40" w14:textId="77777777" w:rsidR="00666033" w:rsidRPr="00CA79AD" w:rsidRDefault="00666033" w:rsidP="007419C7">
            <w:pPr>
              <w:spacing w:line="276" w:lineRule="auto"/>
              <w:jc w:val="both"/>
              <w:rPr>
                <w:rFonts w:ascii="Arial" w:hAnsi="Arial" w:cs="Arial"/>
                <w:sz w:val="22"/>
                <w:szCs w:val="22"/>
              </w:rPr>
            </w:pPr>
            <w:r>
              <w:rPr>
                <w:rFonts w:ascii="Arial" w:hAnsi="Arial" w:cs="Arial"/>
                <w:sz w:val="22"/>
                <w:szCs w:val="22"/>
              </w:rPr>
              <w:t>-</w:t>
            </w:r>
          </w:p>
        </w:tc>
      </w:tr>
    </w:tbl>
    <w:p w14:paraId="655B18B7" w14:textId="77777777" w:rsidR="00BD603F" w:rsidRDefault="00BD603F" w:rsidP="00BD603F">
      <w:pPr>
        <w:spacing w:line="276" w:lineRule="auto"/>
        <w:rPr>
          <w:rFonts w:ascii="Arial" w:hAnsi="Arial" w:cs="Arial"/>
          <w:sz w:val="22"/>
          <w:szCs w:val="22"/>
        </w:rPr>
      </w:pPr>
    </w:p>
    <w:tbl>
      <w:tblPr>
        <w:tblStyle w:val="Mkatabulky"/>
        <w:tblW w:w="0" w:type="auto"/>
        <w:shd w:val="clear" w:color="auto" w:fill="D9D9D9" w:themeFill="background1" w:themeFillShade="D9"/>
        <w:tblLook w:val="04A0" w:firstRow="1" w:lastRow="0" w:firstColumn="1" w:lastColumn="0" w:noHBand="0" w:noVBand="1"/>
      </w:tblPr>
      <w:tblGrid>
        <w:gridCol w:w="2802"/>
        <w:gridCol w:w="6486"/>
      </w:tblGrid>
      <w:tr w:rsidR="00184BB6" w:rsidRPr="00B405B1" w14:paraId="30DEF010" w14:textId="77777777" w:rsidTr="002A4D5A">
        <w:tc>
          <w:tcPr>
            <w:tcW w:w="2802" w:type="dxa"/>
            <w:shd w:val="clear" w:color="auto" w:fill="D9D9D9" w:themeFill="background1" w:themeFillShade="D9"/>
          </w:tcPr>
          <w:p w14:paraId="6400EE88" w14:textId="77777777" w:rsidR="00184BB6" w:rsidRPr="00BD603F" w:rsidRDefault="00184BB6" w:rsidP="00184BB6">
            <w:pPr>
              <w:spacing w:line="276" w:lineRule="auto"/>
              <w:rPr>
                <w:rFonts w:ascii="Arial" w:hAnsi="Arial" w:cs="Arial"/>
                <w:sz w:val="22"/>
                <w:szCs w:val="22"/>
              </w:rPr>
            </w:pPr>
            <w:r w:rsidRPr="00BD603F">
              <w:rPr>
                <w:rFonts w:ascii="Arial" w:hAnsi="Arial" w:cs="Arial"/>
                <w:sz w:val="22"/>
              </w:rPr>
              <w:t>Název a označení indikátoru</w:t>
            </w:r>
          </w:p>
        </w:tc>
        <w:tc>
          <w:tcPr>
            <w:tcW w:w="6486" w:type="dxa"/>
            <w:shd w:val="clear" w:color="auto" w:fill="D9D9D9" w:themeFill="background1" w:themeFillShade="D9"/>
          </w:tcPr>
          <w:p w14:paraId="12CBD60A" w14:textId="77777777" w:rsidR="00184BB6" w:rsidRPr="005C4061" w:rsidRDefault="00184BB6" w:rsidP="00184BB6">
            <w:pPr>
              <w:spacing w:line="276" w:lineRule="auto"/>
              <w:rPr>
                <w:rFonts w:ascii="Arial" w:hAnsi="Arial" w:cs="Arial"/>
                <w:b/>
                <w:sz w:val="22"/>
                <w:szCs w:val="22"/>
              </w:rPr>
            </w:pPr>
            <w:r w:rsidRPr="005C4061">
              <w:rPr>
                <w:rFonts w:ascii="Arial" w:hAnsi="Arial" w:cs="Arial"/>
                <w:b/>
                <w:sz w:val="22"/>
              </w:rPr>
              <w:t xml:space="preserve">9.2.2 Celková produkce odpadů </w:t>
            </w:r>
          </w:p>
        </w:tc>
      </w:tr>
      <w:tr w:rsidR="00184BB6" w:rsidRPr="00CA79AD" w14:paraId="52CD6E62" w14:textId="77777777" w:rsidTr="002A4D5A">
        <w:tc>
          <w:tcPr>
            <w:tcW w:w="2802" w:type="dxa"/>
            <w:shd w:val="clear" w:color="auto" w:fill="D9D9D9" w:themeFill="background1" w:themeFillShade="D9"/>
          </w:tcPr>
          <w:p w14:paraId="73AC52A7" w14:textId="77777777" w:rsidR="00184BB6" w:rsidRPr="00BD603F" w:rsidRDefault="00184BB6" w:rsidP="00184BB6">
            <w:pPr>
              <w:spacing w:line="276" w:lineRule="auto"/>
              <w:rPr>
                <w:rFonts w:ascii="Arial" w:hAnsi="Arial" w:cs="Arial"/>
                <w:sz w:val="22"/>
                <w:szCs w:val="22"/>
              </w:rPr>
            </w:pPr>
            <w:r w:rsidRPr="00BD603F">
              <w:rPr>
                <w:rFonts w:ascii="Arial" w:hAnsi="Arial" w:cs="Arial"/>
                <w:sz w:val="22"/>
              </w:rPr>
              <w:t>Stručná definice:</w:t>
            </w:r>
          </w:p>
        </w:tc>
        <w:tc>
          <w:tcPr>
            <w:tcW w:w="6486" w:type="dxa"/>
            <w:shd w:val="clear" w:color="auto" w:fill="D9D9D9" w:themeFill="background1" w:themeFillShade="D9"/>
          </w:tcPr>
          <w:p w14:paraId="34EBBD64" w14:textId="7683BD2C" w:rsidR="00184BB6" w:rsidRPr="00BD603F" w:rsidRDefault="00184BB6" w:rsidP="00184BB6">
            <w:pPr>
              <w:spacing w:line="276" w:lineRule="auto"/>
              <w:rPr>
                <w:rFonts w:ascii="Arial" w:hAnsi="Arial" w:cs="Arial"/>
                <w:sz w:val="22"/>
                <w:szCs w:val="22"/>
              </w:rPr>
            </w:pPr>
          </w:p>
        </w:tc>
      </w:tr>
      <w:tr w:rsidR="00184BB6" w:rsidRPr="00CA79AD" w14:paraId="71352205" w14:textId="77777777" w:rsidTr="002A4D5A">
        <w:tc>
          <w:tcPr>
            <w:tcW w:w="2802" w:type="dxa"/>
            <w:shd w:val="clear" w:color="auto" w:fill="D9D9D9" w:themeFill="background1" w:themeFillShade="D9"/>
          </w:tcPr>
          <w:p w14:paraId="2E108343" w14:textId="77777777" w:rsidR="00184BB6" w:rsidRPr="00BD603F" w:rsidRDefault="00184BB6" w:rsidP="00184BB6">
            <w:pPr>
              <w:spacing w:line="276" w:lineRule="auto"/>
              <w:rPr>
                <w:rFonts w:ascii="Arial" w:hAnsi="Arial" w:cs="Arial"/>
                <w:sz w:val="22"/>
                <w:szCs w:val="22"/>
              </w:rPr>
            </w:pPr>
            <w:r w:rsidRPr="00BD603F">
              <w:rPr>
                <w:rFonts w:ascii="Arial" w:hAnsi="Arial" w:cs="Arial"/>
                <w:sz w:val="22"/>
              </w:rPr>
              <w:t>Jednotka:</w:t>
            </w:r>
          </w:p>
        </w:tc>
        <w:tc>
          <w:tcPr>
            <w:tcW w:w="6486" w:type="dxa"/>
            <w:shd w:val="clear" w:color="auto" w:fill="D9D9D9" w:themeFill="background1" w:themeFillShade="D9"/>
          </w:tcPr>
          <w:p w14:paraId="4A887D20" w14:textId="36FD35B9" w:rsidR="00184BB6" w:rsidRPr="00BD603F" w:rsidRDefault="00184BB6" w:rsidP="00184BB6">
            <w:pPr>
              <w:spacing w:line="276" w:lineRule="auto"/>
              <w:rPr>
                <w:rFonts w:ascii="Arial" w:hAnsi="Arial" w:cs="Arial"/>
                <w:sz w:val="22"/>
                <w:szCs w:val="22"/>
              </w:rPr>
            </w:pPr>
          </w:p>
        </w:tc>
      </w:tr>
      <w:tr w:rsidR="00184BB6" w:rsidRPr="00CA79AD" w14:paraId="5C6920B7" w14:textId="77777777" w:rsidTr="002A4D5A">
        <w:tc>
          <w:tcPr>
            <w:tcW w:w="2802" w:type="dxa"/>
            <w:shd w:val="clear" w:color="auto" w:fill="D9D9D9" w:themeFill="background1" w:themeFillShade="D9"/>
          </w:tcPr>
          <w:p w14:paraId="1E66FB27" w14:textId="77777777" w:rsidR="00184BB6" w:rsidRPr="00BD603F" w:rsidRDefault="00184BB6" w:rsidP="00184BB6">
            <w:pPr>
              <w:spacing w:line="276" w:lineRule="auto"/>
              <w:rPr>
                <w:rFonts w:ascii="Arial" w:hAnsi="Arial" w:cs="Arial"/>
                <w:sz w:val="22"/>
                <w:szCs w:val="22"/>
              </w:rPr>
            </w:pPr>
            <w:r w:rsidRPr="00BD603F">
              <w:rPr>
                <w:rFonts w:ascii="Arial" w:hAnsi="Arial" w:cs="Arial"/>
                <w:sz w:val="22"/>
              </w:rPr>
              <w:t>Gestor:</w:t>
            </w:r>
          </w:p>
        </w:tc>
        <w:tc>
          <w:tcPr>
            <w:tcW w:w="6486" w:type="dxa"/>
            <w:shd w:val="clear" w:color="auto" w:fill="D9D9D9" w:themeFill="background1" w:themeFillShade="D9"/>
          </w:tcPr>
          <w:p w14:paraId="6FBDB8D8" w14:textId="2B02D3E6" w:rsidR="00184BB6" w:rsidRPr="00BD603F" w:rsidRDefault="00184BB6" w:rsidP="00184BB6">
            <w:pPr>
              <w:spacing w:line="276" w:lineRule="auto"/>
              <w:rPr>
                <w:rFonts w:ascii="Arial" w:hAnsi="Arial" w:cs="Arial"/>
                <w:sz w:val="22"/>
                <w:szCs w:val="22"/>
              </w:rPr>
            </w:pPr>
          </w:p>
        </w:tc>
      </w:tr>
      <w:tr w:rsidR="00184BB6" w:rsidRPr="00CA79AD" w14:paraId="0CEAB555" w14:textId="77777777" w:rsidTr="002A4D5A">
        <w:tc>
          <w:tcPr>
            <w:tcW w:w="2802" w:type="dxa"/>
            <w:shd w:val="clear" w:color="auto" w:fill="D9D9D9" w:themeFill="background1" w:themeFillShade="D9"/>
          </w:tcPr>
          <w:p w14:paraId="4818FC33" w14:textId="77777777" w:rsidR="00184BB6" w:rsidRPr="00BD603F" w:rsidRDefault="00184BB6" w:rsidP="00184BB6">
            <w:pPr>
              <w:spacing w:line="276" w:lineRule="auto"/>
              <w:rPr>
                <w:rFonts w:ascii="Arial" w:hAnsi="Arial" w:cs="Arial"/>
                <w:sz w:val="22"/>
                <w:szCs w:val="22"/>
              </w:rPr>
            </w:pPr>
            <w:r w:rsidRPr="00BD603F">
              <w:rPr>
                <w:rFonts w:ascii="Arial" w:hAnsi="Arial" w:cs="Arial"/>
                <w:sz w:val="22"/>
              </w:rPr>
              <w:t>Význam indikátoru:</w:t>
            </w:r>
          </w:p>
        </w:tc>
        <w:tc>
          <w:tcPr>
            <w:tcW w:w="6486" w:type="dxa"/>
            <w:shd w:val="clear" w:color="auto" w:fill="D9D9D9" w:themeFill="background1" w:themeFillShade="D9"/>
          </w:tcPr>
          <w:p w14:paraId="019003B4" w14:textId="2687E24B" w:rsidR="00184BB6" w:rsidRPr="00BD603F" w:rsidRDefault="00184BB6" w:rsidP="00184BB6">
            <w:pPr>
              <w:spacing w:line="276" w:lineRule="auto"/>
              <w:rPr>
                <w:rFonts w:ascii="Arial" w:hAnsi="Arial" w:cs="Arial"/>
                <w:sz w:val="22"/>
                <w:szCs w:val="22"/>
              </w:rPr>
            </w:pPr>
          </w:p>
        </w:tc>
      </w:tr>
      <w:tr w:rsidR="00184BB6" w:rsidRPr="00CA79AD" w14:paraId="59A6F3BF" w14:textId="77777777" w:rsidTr="002A4D5A">
        <w:tc>
          <w:tcPr>
            <w:tcW w:w="2802" w:type="dxa"/>
            <w:shd w:val="clear" w:color="auto" w:fill="D9D9D9" w:themeFill="background1" w:themeFillShade="D9"/>
          </w:tcPr>
          <w:p w14:paraId="233B466A" w14:textId="77777777" w:rsidR="00184BB6" w:rsidRPr="00BD603F" w:rsidRDefault="00184BB6" w:rsidP="00184BB6">
            <w:pPr>
              <w:spacing w:line="276" w:lineRule="auto"/>
              <w:rPr>
                <w:rFonts w:ascii="Arial" w:hAnsi="Arial" w:cs="Arial"/>
                <w:sz w:val="22"/>
                <w:szCs w:val="22"/>
              </w:rPr>
            </w:pPr>
            <w:r w:rsidRPr="00BD603F">
              <w:rPr>
                <w:rFonts w:ascii="Arial" w:hAnsi="Arial" w:cs="Arial"/>
                <w:sz w:val="22"/>
              </w:rPr>
              <w:t>Časová řada:</w:t>
            </w:r>
          </w:p>
        </w:tc>
        <w:tc>
          <w:tcPr>
            <w:tcW w:w="6486" w:type="dxa"/>
            <w:shd w:val="clear" w:color="auto" w:fill="D9D9D9" w:themeFill="background1" w:themeFillShade="D9"/>
          </w:tcPr>
          <w:p w14:paraId="340908E4" w14:textId="46011284" w:rsidR="00184BB6" w:rsidRPr="00BD603F" w:rsidRDefault="00184BB6" w:rsidP="00184BB6">
            <w:pPr>
              <w:spacing w:line="276" w:lineRule="auto"/>
              <w:rPr>
                <w:rFonts w:ascii="Arial" w:hAnsi="Arial" w:cs="Arial"/>
                <w:sz w:val="22"/>
                <w:szCs w:val="22"/>
              </w:rPr>
            </w:pPr>
          </w:p>
        </w:tc>
      </w:tr>
      <w:tr w:rsidR="00184BB6" w:rsidRPr="00CA79AD" w14:paraId="0BF37E0A" w14:textId="77777777" w:rsidTr="002A4D5A">
        <w:tc>
          <w:tcPr>
            <w:tcW w:w="2802" w:type="dxa"/>
            <w:shd w:val="clear" w:color="auto" w:fill="D9D9D9" w:themeFill="background1" w:themeFillShade="D9"/>
          </w:tcPr>
          <w:p w14:paraId="74E1D192" w14:textId="77777777" w:rsidR="00184BB6" w:rsidRPr="00BD603F" w:rsidRDefault="00184BB6" w:rsidP="00184BB6">
            <w:pPr>
              <w:spacing w:line="276" w:lineRule="auto"/>
              <w:rPr>
                <w:rFonts w:ascii="Arial" w:hAnsi="Arial" w:cs="Arial"/>
                <w:sz w:val="22"/>
                <w:szCs w:val="22"/>
              </w:rPr>
            </w:pPr>
            <w:r w:rsidRPr="00BD603F">
              <w:rPr>
                <w:rFonts w:ascii="Arial" w:hAnsi="Arial" w:cs="Arial"/>
                <w:sz w:val="22"/>
              </w:rPr>
              <w:t>Frekvence výstupu:</w:t>
            </w:r>
          </w:p>
        </w:tc>
        <w:tc>
          <w:tcPr>
            <w:tcW w:w="6486" w:type="dxa"/>
            <w:shd w:val="clear" w:color="auto" w:fill="D9D9D9" w:themeFill="background1" w:themeFillShade="D9"/>
          </w:tcPr>
          <w:p w14:paraId="1631B4D8" w14:textId="32301F6E" w:rsidR="00184BB6" w:rsidRPr="00BD603F" w:rsidRDefault="00184BB6" w:rsidP="00184BB6">
            <w:pPr>
              <w:spacing w:line="276" w:lineRule="auto"/>
              <w:rPr>
                <w:rFonts w:ascii="Arial" w:hAnsi="Arial" w:cs="Arial"/>
                <w:sz w:val="22"/>
                <w:szCs w:val="22"/>
              </w:rPr>
            </w:pPr>
          </w:p>
        </w:tc>
      </w:tr>
      <w:tr w:rsidR="00184BB6" w:rsidRPr="00CA79AD" w14:paraId="38BB6F3A" w14:textId="77777777" w:rsidTr="002A4D5A">
        <w:trPr>
          <w:trHeight w:val="70"/>
        </w:trPr>
        <w:tc>
          <w:tcPr>
            <w:tcW w:w="2802" w:type="dxa"/>
            <w:shd w:val="clear" w:color="auto" w:fill="D9D9D9" w:themeFill="background1" w:themeFillShade="D9"/>
          </w:tcPr>
          <w:p w14:paraId="1737089F" w14:textId="77777777" w:rsidR="00184BB6" w:rsidRPr="00BD603F" w:rsidRDefault="00184BB6" w:rsidP="00184BB6">
            <w:pPr>
              <w:spacing w:line="276" w:lineRule="auto"/>
              <w:rPr>
                <w:rFonts w:ascii="Arial" w:hAnsi="Arial" w:cs="Arial"/>
                <w:sz w:val="22"/>
                <w:szCs w:val="22"/>
              </w:rPr>
            </w:pPr>
            <w:r w:rsidRPr="00BD603F">
              <w:rPr>
                <w:rFonts w:ascii="Arial" w:hAnsi="Arial" w:cs="Arial"/>
                <w:sz w:val="22"/>
              </w:rPr>
              <w:t>Členění indikátoru:</w:t>
            </w:r>
          </w:p>
        </w:tc>
        <w:tc>
          <w:tcPr>
            <w:tcW w:w="6486" w:type="dxa"/>
            <w:shd w:val="clear" w:color="auto" w:fill="D9D9D9" w:themeFill="background1" w:themeFillShade="D9"/>
          </w:tcPr>
          <w:p w14:paraId="35527E13" w14:textId="7B3291C1" w:rsidR="00184BB6" w:rsidRPr="00BD603F" w:rsidRDefault="00184BB6" w:rsidP="00184BB6">
            <w:pPr>
              <w:spacing w:line="276" w:lineRule="auto"/>
              <w:rPr>
                <w:rFonts w:ascii="Arial" w:hAnsi="Arial" w:cs="Arial"/>
                <w:sz w:val="22"/>
                <w:szCs w:val="22"/>
              </w:rPr>
            </w:pPr>
          </w:p>
        </w:tc>
      </w:tr>
      <w:tr w:rsidR="00184BB6" w:rsidRPr="00CA79AD" w14:paraId="31E93D90" w14:textId="77777777" w:rsidTr="002A4D5A">
        <w:trPr>
          <w:trHeight w:val="70"/>
        </w:trPr>
        <w:tc>
          <w:tcPr>
            <w:tcW w:w="2802" w:type="dxa"/>
            <w:shd w:val="clear" w:color="auto" w:fill="D9D9D9" w:themeFill="background1" w:themeFillShade="D9"/>
          </w:tcPr>
          <w:p w14:paraId="09A6D320" w14:textId="77777777" w:rsidR="00184BB6" w:rsidRPr="00BD603F" w:rsidRDefault="00184BB6" w:rsidP="00184BB6">
            <w:pPr>
              <w:spacing w:line="276" w:lineRule="auto"/>
              <w:rPr>
                <w:rFonts w:ascii="Arial" w:hAnsi="Arial" w:cs="Arial"/>
                <w:sz w:val="22"/>
                <w:szCs w:val="22"/>
              </w:rPr>
            </w:pPr>
            <w:r>
              <w:rPr>
                <w:rFonts w:ascii="Arial" w:hAnsi="Arial" w:cs="Arial"/>
                <w:sz w:val="22"/>
                <w:szCs w:val="22"/>
              </w:rPr>
              <w:t>Mezinárodní srovnání:</w:t>
            </w:r>
          </w:p>
        </w:tc>
        <w:tc>
          <w:tcPr>
            <w:tcW w:w="6486" w:type="dxa"/>
            <w:shd w:val="clear" w:color="auto" w:fill="D9D9D9" w:themeFill="background1" w:themeFillShade="D9"/>
          </w:tcPr>
          <w:p w14:paraId="5FFE17F0" w14:textId="5E0E8E4D" w:rsidR="00184BB6" w:rsidRPr="00BD603F" w:rsidRDefault="00184BB6" w:rsidP="00184BB6">
            <w:pPr>
              <w:spacing w:line="276" w:lineRule="auto"/>
              <w:rPr>
                <w:rFonts w:ascii="Arial" w:hAnsi="Arial" w:cs="Arial"/>
                <w:sz w:val="22"/>
                <w:szCs w:val="22"/>
              </w:rPr>
            </w:pPr>
          </w:p>
        </w:tc>
      </w:tr>
    </w:tbl>
    <w:p w14:paraId="04524A81" w14:textId="77777777" w:rsidR="00184BB6" w:rsidRPr="00BD603F" w:rsidRDefault="00184BB6" w:rsidP="00BD603F">
      <w:pPr>
        <w:spacing w:line="276" w:lineRule="auto"/>
        <w:rPr>
          <w:rFonts w:ascii="Arial" w:hAnsi="Arial" w:cs="Arial"/>
          <w:sz w:val="22"/>
          <w:szCs w:val="22"/>
        </w:rPr>
      </w:pPr>
    </w:p>
    <w:p w14:paraId="03510DD4" w14:textId="77777777" w:rsidR="00666033" w:rsidRPr="003247D0" w:rsidRDefault="00534B06" w:rsidP="007419C7">
      <w:pPr>
        <w:pStyle w:val="r2030podcle"/>
        <w:numPr>
          <w:ilvl w:val="1"/>
          <w:numId w:val="17"/>
        </w:numPr>
        <w:ind w:left="567" w:hanging="425"/>
      </w:pPr>
      <w:r>
        <w:t>Zvyšuje se energetická a materiálová</w:t>
      </w:r>
      <w:r w:rsidR="00666033" w:rsidRPr="003247D0">
        <w:t xml:space="preserve"> účinnost ekonomiky</w:t>
      </w:r>
    </w:p>
    <w:tbl>
      <w:tblPr>
        <w:tblStyle w:val="Mkatabulky"/>
        <w:tblW w:w="0" w:type="auto"/>
        <w:tblLook w:val="04A0" w:firstRow="1" w:lastRow="0" w:firstColumn="1" w:lastColumn="0" w:noHBand="0" w:noVBand="1"/>
      </w:tblPr>
      <w:tblGrid>
        <w:gridCol w:w="2802"/>
        <w:gridCol w:w="6486"/>
      </w:tblGrid>
      <w:tr w:rsidR="00666033" w:rsidRPr="00CA79AD" w14:paraId="01FBFB4D" w14:textId="77777777" w:rsidTr="00666033">
        <w:tc>
          <w:tcPr>
            <w:tcW w:w="2802" w:type="dxa"/>
          </w:tcPr>
          <w:p w14:paraId="578C3CCE"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Název a označení indikátoru: </w:t>
            </w:r>
          </w:p>
        </w:tc>
        <w:tc>
          <w:tcPr>
            <w:tcW w:w="6486" w:type="dxa"/>
          </w:tcPr>
          <w:p w14:paraId="3A058CEC" w14:textId="77777777" w:rsidR="00666033" w:rsidRPr="00C033EE" w:rsidRDefault="00666033" w:rsidP="00C51B65">
            <w:pPr>
              <w:spacing w:line="276" w:lineRule="auto"/>
              <w:rPr>
                <w:rFonts w:ascii="Arial" w:eastAsia="Arial" w:hAnsi="Arial" w:cs="Arial"/>
                <w:b/>
                <w:color w:val="000000"/>
                <w:sz w:val="22"/>
                <w:szCs w:val="22"/>
              </w:rPr>
            </w:pPr>
            <w:r w:rsidRPr="00C033EE">
              <w:rPr>
                <w:rFonts w:ascii="Arial" w:eastAsia="Arial" w:hAnsi="Arial" w:cs="Arial"/>
                <w:b/>
                <w:color w:val="000000"/>
                <w:sz w:val="22"/>
                <w:szCs w:val="22"/>
              </w:rPr>
              <w:t>9.3.1 Efektivita využívání zdrojů</w:t>
            </w:r>
          </w:p>
        </w:tc>
      </w:tr>
      <w:tr w:rsidR="00666033" w:rsidRPr="00CA79AD" w14:paraId="28F80AC8" w14:textId="77777777" w:rsidTr="00666033">
        <w:tc>
          <w:tcPr>
            <w:tcW w:w="2802" w:type="dxa"/>
          </w:tcPr>
          <w:p w14:paraId="3AE469FA"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Stručná definice: </w:t>
            </w:r>
          </w:p>
        </w:tc>
        <w:tc>
          <w:tcPr>
            <w:tcW w:w="6486" w:type="dxa"/>
          </w:tcPr>
          <w:p w14:paraId="67C26DB8" w14:textId="16423ACB" w:rsidR="00666033" w:rsidRPr="00CA79AD" w:rsidRDefault="00666033" w:rsidP="007419C7">
            <w:pPr>
              <w:spacing w:line="276" w:lineRule="auto"/>
              <w:jc w:val="both"/>
              <w:rPr>
                <w:rFonts w:ascii="Arial" w:hAnsi="Arial" w:cs="Arial"/>
                <w:sz w:val="22"/>
                <w:szCs w:val="22"/>
              </w:rPr>
            </w:pPr>
            <w:r w:rsidRPr="00CA79AD">
              <w:rPr>
                <w:rFonts w:ascii="Arial" w:hAnsi="Arial" w:cs="Arial"/>
                <w:sz w:val="22"/>
                <w:szCs w:val="22"/>
              </w:rPr>
              <w:t>Materiálová náročnost vypočítaná jako poměr domácí materiálové spotřeby (DMC) a HDP a převrácená hodnota materiálová produktivita vypočítaná jako HDP/DMC.</w:t>
            </w:r>
          </w:p>
        </w:tc>
      </w:tr>
      <w:tr w:rsidR="00666033" w:rsidRPr="00CA79AD" w14:paraId="2AF85DCF" w14:textId="77777777" w:rsidTr="00666033">
        <w:tc>
          <w:tcPr>
            <w:tcW w:w="2802" w:type="dxa"/>
          </w:tcPr>
          <w:p w14:paraId="4EC25374"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Jednotka:</w:t>
            </w:r>
          </w:p>
        </w:tc>
        <w:tc>
          <w:tcPr>
            <w:tcW w:w="6486" w:type="dxa"/>
          </w:tcPr>
          <w:p w14:paraId="100856D8" w14:textId="77777777" w:rsidR="00666033" w:rsidRPr="00CA79AD" w:rsidRDefault="00534B06" w:rsidP="007419C7">
            <w:pPr>
              <w:spacing w:line="276" w:lineRule="auto"/>
              <w:jc w:val="both"/>
              <w:rPr>
                <w:rFonts w:ascii="Arial" w:hAnsi="Arial" w:cs="Arial"/>
                <w:sz w:val="22"/>
                <w:szCs w:val="22"/>
              </w:rPr>
            </w:pPr>
            <w:r>
              <w:rPr>
                <w:rFonts w:ascii="Arial" w:eastAsia="Arial" w:hAnsi="Arial" w:cs="Arial"/>
                <w:color w:val="000000"/>
                <w:sz w:val="22"/>
                <w:szCs w:val="22"/>
              </w:rPr>
              <w:t>k</w:t>
            </w:r>
            <w:r w:rsidR="00666033" w:rsidRPr="00CA79AD">
              <w:rPr>
                <w:rFonts w:ascii="Arial" w:eastAsia="Arial" w:hAnsi="Arial" w:cs="Arial"/>
                <w:color w:val="000000"/>
                <w:sz w:val="22"/>
                <w:szCs w:val="22"/>
              </w:rPr>
              <w:t>g/Kč, Kč/kg</w:t>
            </w:r>
          </w:p>
        </w:tc>
      </w:tr>
      <w:tr w:rsidR="00666033" w:rsidRPr="00CA79AD" w14:paraId="4A17D0D7" w14:textId="77777777" w:rsidTr="00666033">
        <w:tc>
          <w:tcPr>
            <w:tcW w:w="2802" w:type="dxa"/>
          </w:tcPr>
          <w:p w14:paraId="153390AA"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Gestor: </w:t>
            </w:r>
          </w:p>
        </w:tc>
        <w:tc>
          <w:tcPr>
            <w:tcW w:w="6486" w:type="dxa"/>
          </w:tcPr>
          <w:p w14:paraId="764181A7" w14:textId="77777777" w:rsidR="00666033" w:rsidRPr="00233550" w:rsidRDefault="00666033" w:rsidP="007419C7">
            <w:pPr>
              <w:spacing w:line="276" w:lineRule="auto"/>
              <w:jc w:val="both"/>
              <w:rPr>
                <w:rFonts w:ascii="Arial" w:hAnsi="Arial" w:cs="Arial"/>
                <w:sz w:val="22"/>
                <w:szCs w:val="22"/>
              </w:rPr>
            </w:pPr>
            <w:r w:rsidRPr="00233550">
              <w:rPr>
                <w:rFonts w:ascii="Arial" w:hAnsi="Arial" w:cs="Arial"/>
                <w:sz w:val="22"/>
                <w:szCs w:val="22"/>
              </w:rPr>
              <w:t>Český statistický úřad</w:t>
            </w:r>
          </w:p>
        </w:tc>
      </w:tr>
      <w:tr w:rsidR="00666033" w:rsidRPr="00CA79AD" w14:paraId="7D9AB13B" w14:textId="77777777" w:rsidTr="00666033">
        <w:tc>
          <w:tcPr>
            <w:tcW w:w="2802" w:type="dxa"/>
          </w:tcPr>
          <w:p w14:paraId="0EB3949C"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Význam indikátoru: </w:t>
            </w:r>
          </w:p>
        </w:tc>
        <w:tc>
          <w:tcPr>
            <w:tcW w:w="6486" w:type="dxa"/>
          </w:tcPr>
          <w:p w14:paraId="1A58E99C" w14:textId="77777777" w:rsidR="00666033" w:rsidRPr="00CA79AD" w:rsidRDefault="00666033" w:rsidP="007419C7">
            <w:pPr>
              <w:spacing w:line="276" w:lineRule="auto"/>
              <w:jc w:val="both"/>
              <w:rPr>
                <w:rFonts w:ascii="Arial" w:hAnsi="Arial" w:cs="Arial"/>
                <w:sz w:val="22"/>
                <w:szCs w:val="22"/>
              </w:rPr>
            </w:pPr>
            <w:r w:rsidRPr="00CA79AD">
              <w:rPr>
                <w:rFonts w:ascii="Arial" w:hAnsi="Arial" w:cs="Arial"/>
                <w:sz w:val="22"/>
                <w:szCs w:val="22"/>
              </w:rPr>
              <w:t>Hodnocení materiálové produktivity a náročnosti je komplementární k analýze oddělení křivek</w:t>
            </w:r>
          </w:p>
          <w:p w14:paraId="6006BD58" w14:textId="77777777" w:rsidR="00666033" w:rsidRPr="00CA79AD" w:rsidRDefault="00666033" w:rsidP="007419C7">
            <w:pPr>
              <w:spacing w:line="276" w:lineRule="auto"/>
              <w:jc w:val="both"/>
              <w:rPr>
                <w:rFonts w:ascii="Arial" w:hAnsi="Arial" w:cs="Arial"/>
                <w:sz w:val="22"/>
                <w:szCs w:val="22"/>
              </w:rPr>
            </w:pPr>
            <w:r w:rsidRPr="00CA79AD">
              <w:rPr>
                <w:rFonts w:ascii="Arial" w:hAnsi="Arial" w:cs="Arial"/>
                <w:sz w:val="22"/>
                <w:szCs w:val="22"/>
              </w:rPr>
              <w:t>zátěže životního prostředí a ekonomické výkonnosti</w:t>
            </w:r>
            <w:r w:rsidR="00534B06">
              <w:rPr>
                <w:rFonts w:ascii="Arial" w:hAnsi="Arial" w:cs="Arial"/>
                <w:sz w:val="22"/>
                <w:szCs w:val="22"/>
              </w:rPr>
              <w:t>.</w:t>
            </w:r>
          </w:p>
        </w:tc>
      </w:tr>
      <w:tr w:rsidR="00666033" w:rsidRPr="00CA79AD" w14:paraId="7541BD41" w14:textId="77777777" w:rsidTr="00666033">
        <w:tc>
          <w:tcPr>
            <w:tcW w:w="2802" w:type="dxa"/>
          </w:tcPr>
          <w:p w14:paraId="328E2397"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Časová řada: </w:t>
            </w:r>
          </w:p>
        </w:tc>
        <w:tc>
          <w:tcPr>
            <w:tcW w:w="6486" w:type="dxa"/>
          </w:tcPr>
          <w:p w14:paraId="11F814C6" w14:textId="77777777" w:rsidR="00666033" w:rsidRPr="00CA79AD" w:rsidRDefault="00666033" w:rsidP="007419C7">
            <w:pPr>
              <w:spacing w:line="276" w:lineRule="auto"/>
              <w:jc w:val="both"/>
              <w:rPr>
                <w:rFonts w:ascii="Arial" w:hAnsi="Arial" w:cs="Arial"/>
                <w:sz w:val="22"/>
                <w:szCs w:val="22"/>
              </w:rPr>
            </w:pPr>
            <w:r>
              <w:rPr>
                <w:rFonts w:ascii="Arial" w:hAnsi="Arial" w:cs="Arial"/>
                <w:sz w:val="22"/>
                <w:szCs w:val="22"/>
              </w:rPr>
              <w:t>-</w:t>
            </w:r>
          </w:p>
        </w:tc>
      </w:tr>
      <w:tr w:rsidR="00666033" w:rsidRPr="00CA79AD" w14:paraId="68B1A287" w14:textId="77777777" w:rsidTr="00666033">
        <w:tc>
          <w:tcPr>
            <w:tcW w:w="2802" w:type="dxa"/>
          </w:tcPr>
          <w:p w14:paraId="760651D5"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Frekvence výstupu: </w:t>
            </w:r>
          </w:p>
        </w:tc>
        <w:tc>
          <w:tcPr>
            <w:tcW w:w="6486" w:type="dxa"/>
          </w:tcPr>
          <w:p w14:paraId="6B7E55E2" w14:textId="77777777" w:rsidR="00666033" w:rsidRPr="00CA79AD" w:rsidRDefault="008A4A05" w:rsidP="007419C7">
            <w:pPr>
              <w:spacing w:line="276" w:lineRule="auto"/>
              <w:jc w:val="both"/>
              <w:rPr>
                <w:rFonts w:ascii="Arial" w:hAnsi="Arial" w:cs="Arial"/>
                <w:sz w:val="22"/>
                <w:szCs w:val="22"/>
              </w:rPr>
            </w:pPr>
            <w:r>
              <w:rPr>
                <w:rFonts w:ascii="Arial" w:hAnsi="Arial" w:cs="Arial"/>
                <w:sz w:val="22"/>
                <w:szCs w:val="22"/>
              </w:rPr>
              <w:t>Ročně</w:t>
            </w:r>
          </w:p>
        </w:tc>
      </w:tr>
      <w:tr w:rsidR="00666033" w:rsidRPr="00CA79AD" w14:paraId="10330428" w14:textId="77777777" w:rsidTr="00666033">
        <w:trPr>
          <w:trHeight w:val="70"/>
        </w:trPr>
        <w:tc>
          <w:tcPr>
            <w:tcW w:w="2802" w:type="dxa"/>
          </w:tcPr>
          <w:p w14:paraId="01B516BF"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Členění indikátoru: </w:t>
            </w:r>
          </w:p>
        </w:tc>
        <w:tc>
          <w:tcPr>
            <w:tcW w:w="6486" w:type="dxa"/>
          </w:tcPr>
          <w:p w14:paraId="1B3660FA" w14:textId="77777777" w:rsidR="00666033" w:rsidRPr="00CA79AD" w:rsidRDefault="00666033" w:rsidP="007419C7">
            <w:pPr>
              <w:spacing w:line="276" w:lineRule="auto"/>
              <w:jc w:val="both"/>
              <w:rPr>
                <w:rFonts w:ascii="Arial" w:hAnsi="Arial" w:cs="Arial"/>
                <w:sz w:val="22"/>
                <w:szCs w:val="22"/>
              </w:rPr>
            </w:pPr>
            <w:r>
              <w:rPr>
                <w:rFonts w:ascii="Arial" w:hAnsi="Arial" w:cs="Arial"/>
                <w:sz w:val="22"/>
                <w:szCs w:val="22"/>
              </w:rPr>
              <w:t>-</w:t>
            </w:r>
          </w:p>
        </w:tc>
      </w:tr>
      <w:tr w:rsidR="00666033" w:rsidRPr="00CA79AD" w14:paraId="43DB1AE4" w14:textId="77777777" w:rsidTr="00666033">
        <w:trPr>
          <w:trHeight w:val="70"/>
        </w:trPr>
        <w:tc>
          <w:tcPr>
            <w:tcW w:w="2802" w:type="dxa"/>
          </w:tcPr>
          <w:p w14:paraId="103338E4"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Mezinárodní srovnání:</w:t>
            </w:r>
          </w:p>
        </w:tc>
        <w:tc>
          <w:tcPr>
            <w:tcW w:w="6486" w:type="dxa"/>
          </w:tcPr>
          <w:p w14:paraId="181A4BD0" w14:textId="77777777" w:rsidR="00666033" w:rsidRPr="00CA79AD" w:rsidRDefault="00666033" w:rsidP="007419C7">
            <w:pPr>
              <w:spacing w:line="276" w:lineRule="auto"/>
              <w:jc w:val="both"/>
              <w:rPr>
                <w:rFonts w:ascii="Arial" w:hAnsi="Arial" w:cs="Arial"/>
                <w:sz w:val="22"/>
                <w:szCs w:val="22"/>
              </w:rPr>
            </w:pPr>
            <w:r w:rsidRPr="00CA79AD">
              <w:rPr>
                <w:rFonts w:ascii="Arial" w:hAnsi="Arial" w:cs="Arial"/>
                <w:sz w:val="22"/>
                <w:szCs w:val="22"/>
              </w:rPr>
              <w:t>EU</w:t>
            </w:r>
          </w:p>
        </w:tc>
      </w:tr>
    </w:tbl>
    <w:p w14:paraId="47A37CBC" w14:textId="77777777" w:rsidR="00666033" w:rsidRPr="00CA79AD" w:rsidRDefault="00666033" w:rsidP="00C51B65">
      <w:pPr>
        <w:spacing w:line="276" w:lineRule="auto"/>
        <w:rPr>
          <w:rFonts w:ascii="Arial" w:eastAsia="Arial" w:hAnsi="Arial" w:cs="Arial"/>
          <w:color w:val="000000"/>
          <w:sz w:val="22"/>
          <w:szCs w:val="22"/>
        </w:rPr>
      </w:pPr>
    </w:p>
    <w:tbl>
      <w:tblPr>
        <w:tblStyle w:val="Mkatabulky"/>
        <w:tblW w:w="0" w:type="auto"/>
        <w:tblLook w:val="04A0" w:firstRow="1" w:lastRow="0" w:firstColumn="1" w:lastColumn="0" w:noHBand="0" w:noVBand="1"/>
      </w:tblPr>
      <w:tblGrid>
        <w:gridCol w:w="2802"/>
        <w:gridCol w:w="6486"/>
      </w:tblGrid>
      <w:tr w:rsidR="00666033" w:rsidRPr="00CA79AD" w14:paraId="4F2A855D" w14:textId="77777777" w:rsidTr="00666033">
        <w:tc>
          <w:tcPr>
            <w:tcW w:w="2802" w:type="dxa"/>
          </w:tcPr>
          <w:p w14:paraId="65F52551"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Název a označení indikátoru: </w:t>
            </w:r>
          </w:p>
        </w:tc>
        <w:tc>
          <w:tcPr>
            <w:tcW w:w="6486" w:type="dxa"/>
          </w:tcPr>
          <w:p w14:paraId="08A57948" w14:textId="77777777" w:rsidR="00666033" w:rsidRPr="00C033EE" w:rsidRDefault="00666033" w:rsidP="00C51B65">
            <w:pPr>
              <w:spacing w:line="276" w:lineRule="auto"/>
              <w:rPr>
                <w:rFonts w:ascii="Arial" w:eastAsia="Arial" w:hAnsi="Arial" w:cs="Arial"/>
                <w:b/>
                <w:color w:val="000000"/>
                <w:sz w:val="22"/>
                <w:szCs w:val="22"/>
              </w:rPr>
            </w:pPr>
            <w:r w:rsidRPr="00C033EE">
              <w:rPr>
                <w:rFonts w:ascii="Arial" w:eastAsia="Arial" w:hAnsi="Arial" w:cs="Arial"/>
                <w:b/>
                <w:color w:val="000000"/>
                <w:sz w:val="22"/>
                <w:szCs w:val="22"/>
              </w:rPr>
              <w:t xml:space="preserve">9.3.2 Energetická náročnost HDP </w:t>
            </w:r>
          </w:p>
        </w:tc>
      </w:tr>
      <w:tr w:rsidR="00666033" w:rsidRPr="00CA79AD" w14:paraId="246D6535" w14:textId="77777777" w:rsidTr="00666033">
        <w:tc>
          <w:tcPr>
            <w:tcW w:w="2802" w:type="dxa"/>
          </w:tcPr>
          <w:p w14:paraId="2D4B2232"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Stručná definice: </w:t>
            </w:r>
          </w:p>
        </w:tc>
        <w:tc>
          <w:tcPr>
            <w:tcW w:w="6486" w:type="dxa"/>
          </w:tcPr>
          <w:p w14:paraId="366B90BC" w14:textId="77777777" w:rsidR="00666033" w:rsidRPr="00CA79AD" w:rsidRDefault="00666033" w:rsidP="007419C7">
            <w:pPr>
              <w:spacing w:line="276" w:lineRule="auto"/>
              <w:jc w:val="both"/>
              <w:rPr>
                <w:rFonts w:ascii="Arial" w:hAnsi="Arial" w:cs="Arial"/>
                <w:sz w:val="22"/>
                <w:szCs w:val="22"/>
              </w:rPr>
            </w:pPr>
            <w:r w:rsidRPr="00CA79AD">
              <w:rPr>
                <w:rFonts w:ascii="Arial" w:hAnsi="Arial" w:cs="Arial"/>
                <w:sz w:val="22"/>
                <w:szCs w:val="22"/>
              </w:rPr>
              <w:t>Indikátor je definován jako podíl ukazatelů Spotřeba</w:t>
            </w:r>
          </w:p>
          <w:p w14:paraId="579C5B74" w14:textId="7845C13A" w:rsidR="00666033" w:rsidRPr="00CA79AD" w:rsidRDefault="00E6072A" w:rsidP="007419C7">
            <w:pPr>
              <w:spacing w:line="276" w:lineRule="auto"/>
              <w:jc w:val="both"/>
              <w:rPr>
                <w:rFonts w:ascii="Arial" w:hAnsi="Arial" w:cs="Arial"/>
                <w:sz w:val="22"/>
                <w:szCs w:val="22"/>
              </w:rPr>
            </w:pPr>
            <w:r>
              <w:rPr>
                <w:rFonts w:ascii="Arial" w:hAnsi="Arial" w:cs="Arial"/>
                <w:sz w:val="22"/>
                <w:szCs w:val="22"/>
              </w:rPr>
              <w:t>primárních</w:t>
            </w:r>
            <w:r w:rsidRPr="00CA79AD">
              <w:rPr>
                <w:rFonts w:ascii="Arial" w:hAnsi="Arial" w:cs="Arial"/>
                <w:sz w:val="22"/>
                <w:szCs w:val="22"/>
              </w:rPr>
              <w:t xml:space="preserve"> </w:t>
            </w:r>
            <w:r w:rsidR="00666033" w:rsidRPr="00CA79AD">
              <w:rPr>
                <w:rFonts w:ascii="Arial" w:hAnsi="Arial" w:cs="Arial"/>
                <w:sz w:val="22"/>
                <w:szCs w:val="22"/>
              </w:rPr>
              <w:t>energetických zdrojů a HDP</w:t>
            </w:r>
          </w:p>
        </w:tc>
      </w:tr>
      <w:tr w:rsidR="00666033" w:rsidRPr="00CA79AD" w14:paraId="021A717A" w14:textId="77777777" w:rsidTr="00666033">
        <w:tc>
          <w:tcPr>
            <w:tcW w:w="2802" w:type="dxa"/>
          </w:tcPr>
          <w:p w14:paraId="13D06398"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lastRenderedPageBreak/>
              <w:t>Jednotka:</w:t>
            </w:r>
          </w:p>
        </w:tc>
        <w:tc>
          <w:tcPr>
            <w:tcW w:w="6486" w:type="dxa"/>
          </w:tcPr>
          <w:p w14:paraId="3C8980AE" w14:textId="77777777" w:rsidR="00666033" w:rsidRPr="00CA79AD" w:rsidRDefault="00666033" w:rsidP="007419C7">
            <w:pPr>
              <w:spacing w:line="276" w:lineRule="auto"/>
              <w:jc w:val="both"/>
              <w:rPr>
                <w:rFonts w:ascii="Arial" w:hAnsi="Arial" w:cs="Arial"/>
                <w:sz w:val="22"/>
                <w:szCs w:val="22"/>
              </w:rPr>
            </w:pPr>
            <w:r w:rsidRPr="00CA79AD">
              <w:rPr>
                <w:rFonts w:ascii="Arial" w:eastAsia="Arial" w:hAnsi="Arial" w:cs="Arial"/>
                <w:color w:val="000000"/>
                <w:sz w:val="22"/>
                <w:szCs w:val="22"/>
              </w:rPr>
              <w:t>GJ/Kč HDP</w:t>
            </w:r>
          </w:p>
        </w:tc>
      </w:tr>
      <w:tr w:rsidR="00666033" w:rsidRPr="00CA79AD" w14:paraId="463117D2" w14:textId="77777777" w:rsidTr="00666033">
        <w:tc>
          <w:tcPr>
            <w:tcW w:w="2802" w:type="dxa"/>
          </w:tcPr>
          <w:p w14:paraId="4B7FF5C4"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Gestor: </w:t>
            </w:r>
          </w:p>
        </w:tc>
        <w:tc>
          <w:tcPr>
            <w:tcW w:w="6486" w:type="dxa"/>
          </w:tcPr>
          <w:p w14:paraId="07042CA3" w14:textId="77777777" w:rsidR="00666033" w:rsidRPr="00233550" w:rsidRDefault="00666033" w:rsidP="007419C7">
            <w:pPr>
              <w:spacing w:line="276" w:lineRule="auto"/>
              <w:jc w:val="both"/>
              <w:rPr>
                <w:rFonts w:ascii="Arial" w:hAnsi="Arial" w:cs="Arial"/>
                <w:sz w:val="22"/>
                <w:szCs w:val="22"/>
              </w:rPr>
            </w:pPr>
            <w:r w:rsidRPr="00233550">
              <w:rPr>
                <w:rFonts w:ascii="Arial" w:hAnsi="Arial" w:cs="Arial"/>
                <w:sz w:val="22"/>
                <w:szCs w:val="22"/>
              </w:rPr>
              <w:t>Český statistický úřad</w:t>
            </w:r>
          </w:p>
        </w:tc>
      </w:tr>
      <w:tr w:rsidR="00666033" w:rsidRPr="00CA79AD" w14:paraId="2F0FB5E1" w14:textId="77777777" w:rsidTr="00666033">
        <w:tc>
          <w:tcPr>
            <w:tcW w:w="2802" w:type="dxa"/>
          </w:tcPr>
          <w:p w14:paraId="646BAC60"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Význam indikátoru: </w:t>
            </w:r>
          </w:p>
        </w:tc>
        <w:tc>
          <w:tcPr>
            <w:tcW w:w="6486" w:type="dxa"/>
          </w:tcPr>
          <w:p w14:paraId="11C0DDF5" w14:textId="05F93BED" w:rsidR="00666033" w:rsidRPr="00CA79AD" w:rsidRDefault="00666033" w:rsidP="007419C7">
            <w:pPr>
              <w:spacing w:line="276" w:lineRule="auto"/>
              <w:jc w:val="both"/>
              <w:rPr>
                <w:rFonts w:ascii="Arial" w:hAnsi="Arial" w:cs="Arial"/>
                <w:sz w:val="22"/>
                <w:szCs w:val="22"/>
              </w:rPr>
            </w:pPr>
            <w:r w:rsidRPr="00CA79AD">
              <w:rPr>
                <w:rFonts w:ascii="Arial" w:hAnsi="Arial" w:cs="Arial"/>
                <w:sz w:val="22"/>
                <w:szCs w:val="22"/>
              </w:rPr>
              <w:t>Indikátor energetické náročnosti HDP ukazuje, s</w:t>
            </w:r>
            <w:r w:rsidR="00C546D6">
              <w:rPr>
                <w:rFonts w:ascii="Arial" w:hAnsi="Arial" w:cs="Arial"/>
                <w:sz w:val="22"/>
                <w:szCs w:val="22"/>
              </w:rPr>
              <w:t> </w:t>
            </w:r>
            <w:r w:rsidRPr="00CA79AD">
              <w:rPr>
                <w:rFonts w:ascii="Arial" w:hAnsi="Arial" w:cs="Arial"/>
                <w:sz w:val="22"/>
                <w:szCs w:val="22"/>
              </w:rPr>
              <w:t>jakou</w:t>
            </w:r>
            <w:r w:rsidR="00C546D6">
              <w:rPr>
                <w:rFonts w:ascii="Arial" w:hAnsi="Arial" w:cs="Arial"/>
                <w:sz w:val="22"/>
                <w:szCs w:val="22"/>
              </w:rPr>
              <w:t xml:space="preserve"> </w:t>
            </w:r>
            <w:r w:rsidRPr="00CA79AD">
              <w:rPr>
                <w:rFonts w:ascii="Arial" w:hAnsi="Arial" w:cs="Arial"/>
                <w:sz w:val="22"/>
                <w:szCs w:val="22"/>
              </w:rPr>
              <w:t xml:space="preserve">efektivitou je společnost schopna transformovat primární energetické zdroje na ekonomický výkon. S poklesem energetické náročnosti souvisí </w:t>
            </w:r>
            <w:r w:rsidR="00C546D6">
              <w:rPr>
                <w:rFonts w:ascii="Arial" w:hAnsi="Arial" w:cs="Arial"/>
                <w:sz w:val="22"/>
                <w:szCs w:val="22"/>
              </w:rPr>
              <w:t xml:space="preserve">žádoucí </w:t>
            </w:r>
            <w:r w:rsidRPr="00CA79AD">
              <w:rPr>
                <w:rFonts w:ascii="Arial" w:hAnsi="Arial" w:cs="Arial"/>
                <w:sz w:val="22"/>
                <w:szCs w:val="22"/>
              </w:rPr>
              <w:t xml:space="preserve">zavádění nových technologií </w:t>
            </w:r>
            <w:r w:rsidR="00C546D6">
              <w:rPr>
                <w:rFonts w:ascii="Arial" w:hAnsi="Arial" w:cs="Arial"/>
                <w:sz w:val="22"/>
                <w:szCs w:val="22"/>
              </w:rPr>
              <w:t xml:space="preserve">a </w:t>
            </w:r>
            <w:r w:rsidRPr="00CA79AD">
              <w:rPr>
                <w:rFonts w:ascii="Arial" w:hAnsi="Arial" w:cs="Arial"/>
                <w:sz w:val="22"/>
                <w:szCs w:val="22"/>
              </w:rPr>
              <w:t>inovac</w:t>
            </w:r>
            <w:r w:rsidR="00C546D6">
              <w:rPr>
                <w:rFonts w:ascii="Arial" w:hAnsi="Arial" w:cs="Arial"/>
                <w:sz w:val="22"/>
                <w:szCs w:val="22"/>
              </w:rPr>
              <w:t xml:space="preserve">í. </w:t>
            </w:r>
          </w:p>
        </w:tc>
      </w:tr>
      <w:tr w:rsidR="00666033" w:rsidRPr="00CA79AD" w14:paraId="219EDB7E" w14:textId="77777777" w:rsidTr="00666033">
        <w:tc>
          <w:tcPr>
            <w:tcW w:w="2802" w:type="dxa"/>
          </w:tcPr>
          <w:p w14:paraId="08C14338"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Časová řada: </w:t>
            </w:r>
          </w:p>
        </w:tc>
        <w:tc>
          <w:tcPr>
            <w:tcW w:w="6486" w:type="dxa"/>
          </w:tcPr>
          <w:p w14:paraId="793C83F2" w14:textId="77777777" w:rsidR="00666033" w:rsidRPr="00CA79AD" w:rsidRDefault="00666033" w:rsidP="007419C7">
            <w:pPr>
              <w:spacing w:line="276" w:lineRule="auto"/>
              <w:jc w:val="both"/>
              <w:rPr>
                <w:rFonts w:ascii="Arial" w:hAnsi="Arial" w:cs="Arial"/>
                <w:sz w:val="22"/>
                <w:szCs w:val="22"/>
              </w:rPr>
            </w:pPr>
            <w:r w:rsidRPr="00CA79AD">
              <w:rPr>
                <w:rFonts w:ascii="Arial" w:hAnsi="Arial" w:cs="Arial"/>
                <w:sz w:val="22"/>
                <w:szCs w:val="22"/>
              </w:rPr>
              <w:t>Od roku 1990</w:t>
            </w:r>
          </w:p>
        </w:tc>
      </w:tr>
      <w:tr w:rsidR="00666033" w:rsidRPr="00CA79AD" w14:paraId="2BAE8434" w14:textId="77777777" w:rsidTr="00666033">
        <w:tc>
          <w:tcPr>
            <w:tcW w:w="2802" w:type="dxa"/>
          </w:tcPr>
          <w:p w14:paraId="66573EEC"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Frekvence výstupu: </w:t>
            </w:r>
          </w:p>
        </w:tc>
        <w:tc>
          <w:tcPr>
            <w:tcW w:w="6486" w:type="dxa"/>
          </w:tcPr>
          <w:p w14:paraId="3C15CEE2" w14:textId="77777777" w:rsidR="00666033" w:rsidRPr="00CA79AD" w:rsidRDefault="00366359" w:rsidP="007419C7">
            <w:pPr>
              <w:spacing w:line="276" w:lineRule="auto"/>
              <w:jc w:val="both"/>
              <w:rPr>
                <w:rFonts w:ascii="Arial" w:hAnsi="Arial" w:cs="Arial"/>
                <w:sz w:val="22"/>
                <w:szCs w:val="22"/>
              </w:rPr>
            </w:pPr>
            <w:r>
              <w:rPr>
                <w:rFonts w:ascii="Arial" w:hAnsi="Arial" w:cs="Arial"/>
                <w:sz w:val="22"/>
                <w:szCs w:val="22"/>
              </w:rPr>
              <w:t>Ročně</w:t>
            </w:r>
          </w:p>
        </w:tc>
      </w:tr>
      <w:tr w:rsidR="00666033" w:rsidRPr="00CA79AD" w14:paraId="2C5C8EF3" w14:textId="77777777" w:rsidTr="00666033">
        <w:trPr>
          <w:trHeight w:val="70"/>
        </w:trPr>
        <w:tc>
          <w:tcPr>
            <w:tcW w:w="2802" w:type="dxa"/>
          </w:tcPr>
          <w:p w14:paraId="61127909"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Členění indikátoru: </w:t>
            </w:r>
          </w:p>
        </w:tc>
        <w:tc>
          <w:tcPr>
            <w:tcW w:w="6486" w:type="dxa"/>
          </w:tcPr>
          <w:p w14:paraId="1CBA2650" w14:textId="77777777" w:rsidR="00666033" w:rsidRPr="00CA79AD" w:rsidRDefault="00666033" w:rsidP="007419C7">
            <w:pPr>
              <w:spacing w:line="276" w:lineRule="auto"/>
              <w:jc w:val="both"/>
              <w:rPr>
                <w:rFonts w:ascii="Arial" w:hAnsi="Arial" w:cs="Arial"/>
                <w:sz w:val="22"/>
                <w:szCs w:val="22"/>
              </w:rPr>
            </w:pPr>
            <w:r w:rsidRPr="00CA79AD">
              <w:rPr>
                <w:rFonts w:ascii="Arial" w:hAnsi="Arial" w:cs="Arial"/>
                <w:sz w:val="22"/>
                <w:szCs w:val="22"/>
              </w:rPr>
              <w:t>Dle skupin NACE</w:t>
            </w:r>
          </w:p>
        </w:tc>
      </w:tr>
      <w:tr w:rsidR="00666033" w:rsidRPr="00CA79AD" w14:paraId="0CDE20B4" w14:textId="77777777" w:rsidTr="00666033">
        <w:trPr>
          <w:trHeight w:val="64"/>
        </w:trPr>
        <w:tc>
          <w:tcPr>
            <w:tcW w:w="2802" w:type="dxa"/>
          </w:tcPr>
          <w:p w14:paraId="75E4C97B"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Mezinárodní srovnání:</w:t>
            </w:r>
          </w:p>
        </w:tc>
        <w:tc>
          <w:tcPr>
            <w:tcW w:w="6486" w:type="dxa"/>
          </w:tcPr>
          <w:p w14:paraId="65125F47" w14:textId="77777777" w:rsidR="00666033" w:rsidRPr="00CA79AD" w:rsidRDefault="00666033" w:rsidP="007419C7">
            <w:pPr>
              <w:spacing w:line="276" w:lineRule="auto"/>
              <w:jc w:val="both"/>
              <w:rPr>
                <w:rFonts w:ascii="Arial" w:hAnsi="Arial" w:cs="Arial"/>
                <w:sz w:val="22"/>
                <w:szCs w:val="22"/>
              </w:rPr>
            </w:pPr>
            <w:r w:rsidRPr="00CA79AD">
              <w:rPr>
                <w:rFonts w:ascii="Arial" w:hAnsi="Arial" w:cs="Arial"/>
                <w:sz w:val="22"/>
                <w:szCs w:val="22"/>
              </w:rPr>
              <w:t>OECD</w:t>
            </w:r>
          </w:p>
        </w:tc>
      </w:tr>
    </w:tbl>
    <w:p w14:paraId="7DF77A46" w14:textId="77777777" w:rsidR="00D3478F" w:rsidRDefault="00D3478F" w:rsidP="007419C7">
      <w:pPr>
        <w:pStyle w:val="r2030cle"/>
        <w:numPr>
          <w:ilvl w:val="0"/>
          <w:numId w:val="0"/>
        </w:numPr>
        <w:ind w:left="567" w:hanging="425"/>
        <w:rPr>
          <w:color w:val="000000"/>
        </w:rPr>
      </w:pPr>
      <w:r>
        <w:rPr>
          <w:rStyle w:val="r2030nelovanChar"/>
        </w:rPr>
        <w:t>9.4 Využívání</w:t>
      </w:r>
      <w:r w:rsidRPr="00743FA8">
        <w:rPr>
          <w:rStyle w:val="r2030nelovanChar"/>
        </w:rPr>
        <w:t xml:space="preserve"> domácí zemědělské produkce</w:t>
      </w:r>
      <w:r>
        <w:rPr>
          <w:rStyle w:val="r2030nelovanChar"/>
        </w:rPr>
        <w:t xml:space="preserve"> se zvyšuje a snižuje tak dovoz zemědělských produktů </w:t>
      </w:r>
      <w:r w:rsidRPr="002753C4">
        <w:rPr>
          <w:rStyle w:val="r2030nelovanChar"/>
        </w:rPr>
        <w:t>a posiluje se potravinová soběstačnost</w:t>
      </w:r>
      <w:r w:rsidRPr="00E30BEE">
        <w:rPr>
          <w:color w:val="000000"/>
        </w:rPr>
        <w:t>.</w:t>
      </w:r>
    </w:p>
    <w:tbl>
      <w:tblPr>
        <w:tblStyle w:val="Mkatabulky"/>
        <w:tblW w:w="0" w:type="auto"/>
        <w:tblLook w:val="04A0" w:firstRow="1" w:lastRow="0" w:firstColumn="1" w:lastColumn="0" w:noHBand="0" w:noVBand="1"/>
      </w:tblPr>
      <w:tblGrid>
        <w:gridCol w:w="2802"/>
        <w:gridCol w:w="6486"/>
      </w:tblGrid>
      <w:tr w:rsidR="00D3478F" w:rsidRPr="00CA79AD" w14:paraId="36322B38" w14:textId="77777777" w:rsidTr="00003B31">
        <w:tc>
          <w:tcPr>
            <w:tcW w:w="2802" w:type="dxa"/>
          </w:tcPr>
          <w:p w14:paraId="1A1AC897" w14:textId="77777777" w:rsidR="00D3478F" w:rsidRPr="00CA79AD" w:rsidRDefault="00D3478F" w:rsidP="00003B31">
            <w:pPr>
              <w:spacing w:line="276" w:lineRule="auto"/>
              <w:rPr>
                <w:rFonts w:ascii="Arial" w:hAnsi="Arial" w:cs="Arial"/>
                <w:sz w:val="22"/>
                <w:szCs w:val="22"/>
              </w:rPr>
            </w:pPr>
            <w:r w:rsidRPr="00CA79AD">
              <w:rPr>
                <w:rFonts w:ascii="Arial" w:hAnsi="Arial" w:cs="Arial"/>
                <w:sz w:val="22"/>
                <w:szCs w:val="22"/>
              </w:rPr>
              <w:t xml:space="preserve">Název a označení indikátoru: </w:t>
            </w:r>
          </w:p>
        </w:tc>
        <w:tc>
          <w:tcPr>
            <w:tcW w:w="6486" w:type="dxa"/>
          </w:tcPr>
          <w:p w14:paraId="108E17C2" w14:textId="7A9E292A" w:rsidR="00D3478F" w:rsidRPr="00F53BA5" w:rsidRDefault="00D3478F" w:rsidP="00003B31">
            <w:pPr>
              <w:spacing w:line="276" w:lineRule="auto"/>
              <w:rPr>
                <w:rFonts w:ascii="Arial" w:eastAsia="Arial" w:hAnsi="Arial" w:cs="Arial"/>
                <w:b/>
                <w:sz w:val="22"/>
                <w:szCs w:val="22"/>
              </w:rPr>
            </w:pPr>
            <w:r>
              <w:rPr>
                <w:rFonts w:ascii="Arial" w:eastAsia="Calibri" w:hAnsi="Arial" w:cs="Arial"/>
                <w:b/>
                <w:noProof/>
                <w:sz w:val="22"/>
                <w:szCs w:val="22"/>
              </w:rPr>
              <w:t>9.4</w:t>
            </w:r>
            <w:r w:rsidRPr="00F53BA5">
              <w:rPr>
                <w:rFonts w:ascii="Arial" w:eastAsia="Calibri" w:hAnsi="Arial" w:cs="Arial"/>
                <w:b/>
                <w:noProof/>
                <w:sz w:val="22"/>
                <w:szCs w:val="22"/>
              </w:rPr>
              <w:t xml:space="preserve">.1 </w:t>
            </w:r>
            <w:r>
              <w:rPr>
                <w:rFonts w:ascii="Arial" w:eastAsia="Calibri" w:hAnsi="Arial" w:cs="Arial"/>
                <w:b/>
                <w:noProof/>
                <w:sz w:val="22"/>
                <w:szCs w:val="22"/>
              </w:rPr>
              <w:t>Míra s</w:t>
            </w:r>
            <w:r w:rsidRPr="00F53BA5">
              <w:rPr>
                <w:rFonts w:ascii="Arial" w:eastAsia="Calibri" w:hAnsi="Arial" w:cs="Arial"/>
                <w:b/>
                <w:noProof/>
                <w:sz w:val="22"/>
                <w:szCs w:val="22"/>
              </w:rPr>
              <w:t>oběstačnost</w:t>
            </w:r>
            <w:r>
              <w:rPr>
                <w:rFonts w:ascii="Arial" w:eastAsia="Calibri" w:hAnsi="Arial" w:cs="Arial"/>
                <w:b/>
                <w:noProof/>
                <w:sz w:val="22"/>
                <w:szCs w:val="22"/>
              </w:rPr>
              <w:t>i</w:t>
            </w:r>
            <w:r w:rsidRPr="00F53BA5">
              <w:rPr>
                <w:rFonts w:ascii="Arial" w:eastAsia="Calibri" w:hAnsi="Arial" w:cs="Arial"/>
                <w:b/>
                <w:noProof/>
                <w:sz w:val="22"/>
                <w:szCs w:val="22"/>
              </w:rPr>
              <w:t xml:space="preserve"> ČR v produkci základních potravin, krmiv a technických plodin</w:t>
            </w:r>
          </w:p>
        </w:tc>
      </w:tr>
      <w:tr w:rsidR="00D3478F" w:rsidRPr="00CA79AD" w14:paraId="6BD96C24" w14:textId="77777777" w:rsidTr="00003B31">
        <w:tc>
          <w:tcPr>
            <w:tcW w:w="2802" w:type="dxa"/>
          </w:tcPr>
          <w:p w14:paraId="3DB0D098" w14:textId="77777777" w:rsidR="00D3478F" w:rsidRPr="00CA79AD" w:rsidRDefault="00D3478F" w:rsidP="00003B31">
            <w:pPr>
              <w:spacing w:line="276" w:lineRule="auto"/>
              <w:rPr>
                <w:rFonts w:ascii="Arial" w:hAnsi="Arial" w:cs="Arial"/>
                <w:sz w:val="22"/>
                <w:szCs w:val="22"/>
              </w:rPr>
            </w:pPr>
            <w:r w:rsidRPr="00CA79AD">
              <w:rPr>
                <w:rFonts w:ascii="Arial" w:hAnsi="Arial" w:cs="Arial"/>
                <w:sz w:val="22"/>
                <w:szCs w:val="22"/>
              </w:rPr>
              <w:t xml:space="preserve">Stručná definice: </w:t>
            </w:r>
          </w:p>
        </w:tc>
        <w:tc>
          <w:tcPr>
            <w:tcW w:w="6486" w:type="dxa"/>
          </w:tcPr>
          <w:p w14:paraId="433F3B79" w14:textId="77777777" w:rsidR="00D3478F" w:rsidRPr="00CA79AD" w:rsidRDefault="00D3478F" w:rsidP="007419C7">
            <w:pPr>
              <w:spacing w:line="276" w:lineRule="auto"/>
              <w:jc w:val="both"/>
              <w:rPr>
                <w:rFonts w:ascii="Arial" w:hAnsi="Arial" w:cs="Arial"/>
                <w:sz w:val="22"/>
                <w:szCs w:val="22"/>
              </w:rPr>
            </w:pPr>
            <w:r w:rsidRPr="00CA79AD">
              <w:rPr>
                <w:rFonts w:ascii="Arial" w:hAnsi="Arial" w:cs="Arial"/>
                <w:sz w:val="22"/>
                <w:szCs w:val="22"/>
              </w:rPr>
              <w:t>Indikátor se vypočte jako podíl domácí produkce jednotlivých základních potravin, krmiv a technických plodin na jejich celkové domácí spotřebě.</w:t>
            </w:r>
          </w:p>
        </w:tc>
      </w:tr>
      <w:tr w:rsidR="00D3478F" w:rsidRPr="00CA79AD" w14:paraId="1E5D553D" w14:textId="77777777" w:rsidTr="00003B31">
        <w:tc>
          <w:tcPr>
            <w:tcW w:w="2802" w:type="dxa"/>
          </w:tcPr>
          <w:p w14:paraId="0F16A375" w14:textId="77777777" w:rsidR="00D3478F" w:rsidRPr="00CA79AD" w:rsidRDefault="00D3478F" w:rsidP="00003B31">
            <w:pPr>
              <w:spacing w:line="276" w:lineRule="auto"/>
              <w:rPr>
                <w:rFonts w:ascii="Arial" w:hAnsi="Arial" w:cs="Arial"/>
                <w:sz w:val="22"/>
                <w:szCs w:val="22"/>
              </w:rPr>
            </w:pPr>
            <w:r w:rsidRPr="00CA79AD">
              <w:rPr>
                <w:rFonts w:ascii="Arial" w:hAnsi="Arial" w:cs="Arial"/>
                <w:sz w:val="22"/>
                <w:szCs w:val="22"/>
              </w:rPr>
              <w:t>Jednotka:</w:t>
            </w:r>
          </w:p>
        </w:tc>
        <w:tc>
          <w:tcPr>
            <w:tcW w:w="6486" w:type="dxa"/>
          </w:tcPr>
          <w:p w14:paraId="72897513" w14:textId="77777777" w:rsidR="00D3478F" w:rsidRPr="00CA79AD" w:rsidRDefault="00D3478F" w:rsidP="007419C7">
            <w:pPr>
              <w:spacing w:line="276" w:lineRule="auto"/>
              <w:jc w:val="both"/>
              <w:rPr>
                <w:rFonts w:ascii="Arial" w:hAnsi="Arial" w:cs="Arial"/>
                <w:sz w:val="22"/>
                <w:szCs w:val="22"/>
              </w:rPr>
            </w:pPr>
            <w:r>
              <w:rPr>
                <w:rFonts w:ascii="Arial" w:hAnsi="Arial" w:cs="Arial"/>
                <w:sz w:val="22"/>
                <w:szCs w:val="22"/>
              </w:rPr>
              <w:t xml:space="preserve">Podíl (v </w:t>
            </w:r>
            <w:r w:rsidRPr="00CA79AD">
              <w:rPr>
                <w:rFonts w:ascii="Arial" w:hAnsi="Arial" w:cs="Arial"/>
                <w:sz w:val="22"/>
                <w:szCs w:val="22"/>
              </w:rPr>
              <w:t>%</w:t>
            </w:r>
            <w:r>
              <w:rPr>
                <w:rFonts w:ascii="Arial" w:hAnsi="Arial" w:cs="Arial"/>
                <w:sz w:val="22"/>
                <w:szCs w:val="22"/>
              </w:rPr>
              <w:t>)</w:t>
            </w:r>
          </w:p>
        </w:tc>
      </w:tr>
      <w:tr w:rsidR="00D3478F" w:rsidRPr="00CA79AD" w14:paraId="0E45B8F3" w14:textId="77777777" w:rsidTr="00003B31">
        <w:tc>
          <w:tcPr>
            <w:tcW w:w="2802" w:type="dxa"/>
          </w:tcPr>
          <w:p w14:paraId="7D9BB7E2" w14:textId="77777777" w:rsidR="00D3478F" w:rsidRPr="00CA79AD" w:rsidRDefault="00D3478F" w:rsidP="00003B31">
            <w:pPr>
              <w:spacing w:line="276" w:lineRule="auto"/>
              <w:rPr>
                <w:rFonts w:ascii="Arial" w:hAnsi="Arial" w:cs="Arial"/>
                <w:sz w:val="22"/>
                <w:szCs w:val="22"/>
              </w:rPr>
            </w:pPr>
            <w:r w:rsidRPr="00CA79AD">
              <w:rPr>
                <w:rFonts w:ascii="Arial" w:hAnsi="Arial" w:cs="Arial"/>
                <w:sz w:val="22"/>
                <w:szCs w:val="22"/>
              </w:rPr>
              <w:t xml:space="preserve">Gestor: </w:t>
            </w:r>
          </w:p>
        </w:tc>
        <w:tc>
          <w:tcPr>
            <w:tcW w:w="6486" w:type="dxa"/>
          </w:tcPr>
          <w:p w14:paraId="59EA582E" w14:textId="77777777" w:rsidR="00D3478F" w:rsidRPr="00CA79AD" w:rsidRDefault="00D3478F" w:rsidP="007419C7">
            <w:pPr>
              <w:spacing w:line="276" w:lineRule="auto"/>
              <w:jc w:val="both"/>
              <w:rPr>
                <w:rFonts w:ascii="Arial" w:hAnsi="Arial" w:cs="Arial"/>
                <w:sz w:val="22"/>
                <w:szCs w:val="22"/>
              </w:rPr>
            </w:pPr>
            <w:r w:rsidRPr="00CA79AD">
              <w:rPr>
                <w:rFonts w:ascii="Arial" w:eastAsia="Calibri" w:hAnsi="Arial" w:cs="Arial"/>
                <w:noProof/>
                <w:sz w:val="22"/>
                <w:szCs w:val="22"/>
              </w:rPr>
              <w:t>Ministe</w:t>
            </w:r>
            <w:r>
              <w:rPr>
                <w:rFonts w:ascii="Arial" w:eastAsia="Calibri" w:hAnsi="Arial" w:cs="Arial"/>
                <w:noProof/>
                <w:sz w:val="22"/>
                <w:szCs w:val="22"/>
              </w:rPr>
              <w:t>r</w:t>
            </w:r>
            <w:r w:rsidRPr="00CA79AD">
              <w:rPr>
                <w:rFonts w:ascii="Arial" w:eastAsia="Calibri" w:hAnsi="Arial" w:cs="Arial"/>
                <w:noProof/>
                <w:sz w:val="22"/>
                <w:szCs w:val="22"/>
              </w:rPr>
              <w:t>stvo zemědělství</w:t>
            </w:r>
          </w:p>
        </w:tc>
      </w:tr>
      <w:tr w:rsidR="00D3478F" w:rsidRPr="00CA79AD" w14:paraId="0FE8FAD9" w14:textId="77777777" w:rsidTr="00003B31">
        <w:tc>
          <w:tcPr>
            <w:tcW w:w="2802" w:type="dxa"/>
          </w:tcPr>
          <w:p w14:paraId="23D50CC2" w14:textId="77777777" w:rsidR="00D3478F" w:rsidRPr="00CA79AD" w:rsidRDefault="00D3478F" w:rsidP="00003B31">
            <w:pPr>
              <w:spacing w:line="276" w:lineRule="auto"/>
              <w:rPr>
                <w:rFonts w:ascii="Arial" w:hAnsi="Arial" w:cs="Arial"/>
                <w:sz w:val="22"/>
                <w:szCs w:val="22"/>
              </w:rPr>
            </w:pPr>
            <w:r w:rsidRPr="00CA79AD">
              <w:rPr>
                <w:rFonts w:ascii="Arial" w:hAnsi="Arial" w:cs="Arial"/>
                <w:sz w:val="22"/>
                <w:szCs w:val="22"/>
              </w:rPr>
              <w:t xml:space="preserve">Význam indikátoru: </w:t>
            </w:r>
          </w:p>
        </w:tc>
        <w:tc>
          <w:tcPr>
            <w:tcW w:w="6486" w:type="dxa"/>
          </w:tcPr>
          <w:p w14:paraId="3F573715" w14:textId="77777777" w:rsidR="00D3478F" w:rsidRPr="000B6E46" w:rsidRDefault="00D3478F" w:rsidP="007419C7">
            <w:pPr>
              <w:spacing w:line="276" w:lineRule="auto"/>
              <w:jc w:val="both"/>
              <w:rPr>
                <w:rFonts w:ascii="Arial" w:hAnsi="Arial" w:cs="Arial"/>
                <w:sz w:val="22"/>
                <w:szCs w:val="22"/>
              </w:rPr>
            </w:pPr>
            <w:r>
              <w:rPr>
                <w:rFonts w:ascii="Arial" w:hAnsi="Arial" w:cs="Arial"/>
                <w:sz w:val="22"/>
                <w:szCs w:val="22"/>
              </w:rPr>
              <w:t>Přiměřená míra soběstačnosti v produkci základních potravin přispěje k větší bezpečnosti ČR i k pestrosti používaných osevních postupů, s příznivým dopadem na kvalitu půd. P</w:t>
            </w:r>
            <w:r w:rsidRPr="000B6E46">
              <w:rPr>
                <w:rFonts w:ascii="Arial" w:hAnsi="Arial" w:cs="Arial"/>
                <w:sz w:val="22"/>
                <w:szCs w:val="22"/>
              </w:rPr>
              <w:t xml:space="preserve">odpoří </w:t>
            </w:r>
            <w:r>
              <w:rPr>
                <w:rFonts w:ascii="Arial" w:hAnsi="Arial" w:cs="Arial"/>
                <w:sz w:val="22"/>
                <w:szCs w:val="22"/>
              </w:rPr>
              <w:t xml:space="preserve">rovněž </w:t>
            </w:r>
            <w:r w:rsidRPr="000B6E46">
              <w:rPr>
                <w:rFonts w:ascii="Arial" w:hAnsi="Arial" w:cs="Arial"/>
                <w:sz w:val="22"/>
                <w:szCs w:val="22"/>
              </w:rPr>
              <w:t xml:space="preserve">zaměstnanost na venkově a omezí negativní externí náklady nadměrného dovozu potravin. </w:t>
            </w:r>
          </w:p>
        </w:tc>
      </w:tr>
      <w:tr w:rsidR="00D3478F" w:rsidRPr="00CA79AD" w14:paraId="4ACD70F5" w14:textId="77777777" w:rsidTr="00003B31">
        <w:tc>
          <w:tcPr>
            <w:tcW w:w="2802" w:type="dxa"/>
          </w:tcPr>
          <w:p w14:paraId="77EBFE9E" w14:textId="77777777" w:rsidR="00D3478F" w:rsidRPr="00CA79AD" w:rsidRDefault="00D3478F" w:rsidP="00003B31">
            <w:pPr>
              <w:spacing w:line="276" w:lineRule="auto"/>
              <w:rPr>
                <w:rFonts w:ascii="Arial" w:hAnsi="Arial" w:cs="Arial"/>
                <w:sz w:val="22"/>
                <w:szCs w:val="22"/>
              </w:rPr>
            </w:pPr>
            <w:r w:rsidRPr="00CA79AD">
              <w:rPr>
                <w:rFonts w:ascii="Arial" w:hAnsi="Arial" w:cs="Arial"/>
                <w:sz w:val="22"/>
                <w:szCs w:val="22"/>
              </w:rPr>
              <w:t xml:space="preserve">Časová řada: </w:t>
            </w:r>
          </w:p>
        </w:tc>
        <w:tc>
          <w:tcPr>
            <w:tcW w:w="6486" w:type="dxa"/>
          </w:tcPr>
          <w:p w14:paraId="3393DE8C" w14:textId="77777777" w:rsidR="00D3478F" w:rsidRPr="00CA79AD" w:rsidRDefault="00D3478F" w:rsidP="007419C7">
            <w:pPr>
              <w:spacing w:line="276" w:lineRule="auto"/>
              <w:jc w:val="both"/>
              <w:rPr>
                <w:rFonts w:ascii="Arial" w:hAnsi="Arial" w:cs="Arial"/>
                <w:sz w:val="22"/>
                <w:szCs w:val="22"/>
              </w:rPr>
            </w:pPr>
            <w:r>
              <w:rPr>
                <w:rFonts w:ascii="Arial" w:hAnsi="Arial" w:cs="Arial"/>
                <w:sz w:val="22"/>
                <w:szCs w:val="22"/>
              </w:rPr>
              <w:t>-</w:t>
            </w:r>
          </w:p>
        </w:tc>
      </w:tr>
      <w:tr w:rsidR="00D3478F" w:rsidRPr="00CA79AD" w14:paraId="2CD4BEBD" w14:textId="77777777" w:rsidTr="00003B31">
        <w:tc>
          <w:tcPr>
            <w:tcW w:w="2802" w:type="dxa"/>
          </w:tcPr>
          <w:p w14:paraId="46734783" w14:textId="77777777" w:rsidR="00D3478F" w:rsidRPr="00CA79AD" w:rsidRDefault="00D3478F" w:rsidP="00003B31">
            <w:pPr>
              <w:spacing w:line="276" w:lineRule="auto"/>
              <w:rPr>
                <w:rFonts w:ascii="Arial" w:hAnsi="Arial" w:cs="Arial"/>
                <w:sz w:val="22"/>
                <w:szCs w:val="22"/>
              </w:rPr>
            </w:pPr>
            <w:r w:rsidRPr="00CA79AD">
              <w:rPr>
                <w:rFonts w:ascii="Arial" w:hAnsi="Arial" w:cs="Arial"/>
                <w:sz w:val="22"/>
                <w:szCs w:val="22"/>
              </w:rPr>
              <w:t xml:space="preserve">Frekvence výstupu: </w:t>
            </w:r>
          </w:p>
        </w:tc>
        <w:tc>
          <w:tcPr>
            <w:tcW w:w="6486" w:type="dxa"/>
          </w:tcPr>
          <w:p w14:paraId="4F8B44A1" w14:textId="190EF9D2" w:rsidR="00D3478F" w:rsidRPr="00CA79AD" w:rsidRDefault="00520A2F" w:rsidP="007419C7">
            <w:pPr>
              <w:spacing w:line="276" w:lineRule="auto"/>
              <w:jc w:val="both"/>
              <w:rPr>
                <w:rFonts w:ascii="Arial" w:hAnsi="Arial" w:cs="Arial"/>
                <w:sz w:val="22"/>
                <w:szCs w:val="22"/>
              </w:rPr>
            </w:pPr>
            <w:r>
              <w:rPr>
                <w:rFonts w:ascii="Arial" w:hAnsi="Arial" w:cs="Arial"/>
                <w:sz w:val="22"/>
                <w:szCs w:val="22"/>
              </w:rPr>
              <w:t>Ročně</w:t>
            </w:r>
          </w:p>
        </w:tc>
      </w:tr>
      <w:tr w:rsidR="00D3478F" w:rsidRPr="00CA79AD" w14:paraId="500ADFA5" w14:textId="77777777" w:rsidTr="00003B31">
        <w:trPr>
          <w:trHeight w:val="70"/>
        </w:trPr>
        <w:tc>
          <w:tcPr>
            <w:tcW w:w="2802" w:type="dxa"/>
          </w:tcPr>
          <w:p w14:paraId="78A621DD" w14:textId="77777777" w:rsidR="00D3478F" w:rsidRPr="00CA79AD" w:rsidRDefault="00D3478F" w:rsidP="00003B31">
            <w:pPr>
              <w:spacing w:line="276" w:lineRule="auto"/>
              <w:rPr>
                <w:rFonts w:ascii="Arial" w:hAnsi="Arial" w:cs="Arial"/>
                <w:sz w:val="22"/>
                <w:szCs w:val="22"/>
              </w:rPr>
            </w:pPr>
            <w:r w:rsidRPr="00CA79AD">
              <w:rPr>
                <w:rFonts w:ascii="Arial" w:hAnsi="Arial" w:cs="Arial"/>
                <w:sz w:val="22"/>
                <w:szCs w:val="22"/>
              </w:rPr>
              <w:t xml:space="preserve">Členění indikátoru: </w:t>
            </w:r>
          </w:p>
        </w:tc>
        <w:tc>
          <w:tcPr>
            <w:tcW w:w="6486" w:type="dxa"/>
          </w:tcPr>
          <w:p w14:paraId="186E06E3" w14:textId="77777777" w:rsidR="00D3478F" w:rsidRPr="00CA79AD" w:rsidRDefault="00D3478F" w:rsidP="007419C7">
            <w:pPr>
              <w:spacing w:line="276" w:lineRule="auto"/>
              <w:jc w:val="both"/>
              <w:rPr>
                <w:rFonts w:ascii="Arial" w:hAnsi="Arial" w:cs="Arial"/>
                <w:sz w:val="22"/>
                <w:szCs w:val="22"/>
              </w:rPr>
            </w:pPr>
            <w:r w:rsidRPr="00CA79AD">
              <w:rPr>
                <w:rFonts w:ascii="Arial" w:hAnsi="Arial" w:cs="Arial"/>
                <w:sz w:val="22"/>
                <w:szCs w:val="22"/>
              </w:rPr>
              <w:t xml:space="preserve">Po jednotlivých základních potravinách, </w:t>
            </w:r>
            <w:r>
              <w:rPr>
                <w:rFonts w:ascii="Arial" w:hAnsi="Arial" w:cs="Arial"/>
                <w:sz w:val="22"/>
                <w:szCs w:val="22"/>
              </w:rPr>
              <w:t xml:space="preserve">krmivech a technických plodinách, </w:t>
            </w:r>
            <w:r w:rsidRPr="00CA79AD">
              <w:rPr>
                <w:rFonts w:ascii="Arial" w:hAnsi="Arial" w:cs="Arial"/>
                <w:sz w:val="22"/>
                <w:szCs w:val="22"/>
              </w:rPr>
              <w:t>které lze produkovat v podmínkách mírného pásu</w:t>
            </w:r>
            <w:r>
              <w:rPr>
                <w:rFonts w:ascii="Arial" w:hAnsi="Arial" w:cs="Arial"/>
                <w:sz w:val="22"/>
                <w:szCs w:val="22"/>
              </w:rPr>
              <w:t>.</w:t>
            </w:r>
          </w:p>
        </w:tc>
      </w:tr>
      <w:tr w:rsidR="00D3478F" w:rsidRPr="00CA79AD" w14:paraId="26A0B047" w14:textId="77777777" w:rsidTr="00003B31">
        <w:trPr>
          <w:trHeight w:val="70"/>
        </w:trPr>
        <w:tc>
          <w:tcPr>
            <w:tcW w:w="2802" w:type="dxa"/>
          </w:tcPr>
          <w:p w14:paraId="4C32AB16" w14:textId="77777777" w:rsidR="00D3478F" w:rsidRPr="00CA79AD" w:rsidRDefault="00D3478F" w:rsidP="00003B31">
            <w:pPr>
              <w:spacing w:line="276" w:lineRule="auto"/>
              <w:rPr>
                <w:rFonts w:ascii="Arial" w:hAnsi="Arial" w:cs="Arial"/>
                <w:sz w:val="22"/>
                <w:szCs w:val="22"/>
              </w:rPr>
            </w:pPr>
            <w:r w:rsidRPr="00CA79AD">
              <w:rPr>
                <w:rFonts w:ascii="Arial" w:hAnsi="Arial" w:cs="Arial"/>
                <w:sz w:val="22"/>
                <w:szCs w:val="22"/>
              </w:rPr>
              <w:t>Mezinárodní srovnání:</w:t>
            </w:r>
          </w:p>
        </w:tc>
        <w:tc>
          <w:tcPr>
            <w:tcW w:w="6486" w:type="dxa"/>
          </w:tcPr>
          <w:p w14:paraId="4EDA4548" w14:textId="77777777" w:rsidR="00D3478F" w:rsidRPr="00CA79AD" w:rsidRDefault="00D3478F" w:rsidP="007419C7">
            <w:pPr>
              <w:spacing w:line="276" w:lineRule="auto"/>
              <w:jc w:val="both"/>
              <w:rPr>
                <w:rFonts w:ascii="Arial" w:hAnsi="Arial" w:cs="Arial"/>
                <w:sz w:val="22"/>
                <w:szCs w:val="22"/>
              </w:rPr>
            </w:pPr>
            <w:r>
              <w:rPr>
                <w:rFonts w:ascii="Arial" w:hAnsi="Arial" w:cs="Arial"/>
                <w:sz w:val="22"/>
                <w:szCs w:val="22"/>
              </w:rPr>
              <w:t>-</w:t>
            </w:r>
          </w:p>
        </w:tc>
      </w:tr>
    </w:tbl>
    <w:p w14:paraId="413B025D" w14:textId="77777777" w:rsidR="00666033" w:rsidRPr="00682DAD" w:rsidRDefault="00534B06" w:rsidP="007419C7">
      <w:pPr>
        <w:pStyle w:val="r2030cle"/>
        <w:numPr>
          <w:ilvl w:val="0"/>
          <w:numId w:val="17"/>
        </w:numPr>
        <w:ind w:left="567" w:hanging="425"/>
      </w:pPr>
      <w:r>
        <w:t>Ekonomické aktivity podporuje stabilní a funkční infrastruktura</w:t>
      </w:r>
    </w:p>
    <w:p w14:paraId="0FD67637" w14:textId="77777777" w:rsidR="00666033" w:rsidRDefault="00295222" w:rsidP="007419C7">
      <w:pPr>
        <w:pStyle w:val="r2030podcle"/>
        <w:numPr>
          <w:ilvl w:val="1"/>
          <w:numId w:val="17"/>
        </w:numPr>
        <w:ind w:left="567" w:hanging="425"/>
      </w:pPr>
      <w:r w:rsidRPr="00295222">
        <w:t>Zachování trvalé státní kontroly n</w:t>
      </w:r>
      <w:r>
        <w:t>ad systémem kritické infrastruk</w:t>
      </w:r>
      <w:r w:rsidRPr="00295222">
        <w:t>tury a rozvíjení systému ochrany kritické infrastruktury</w:t>
      </w:r>
    </w:p>
    <w:tbl>
      <w:tblPr>
        <w:tblStyle w:val="Mkatabulky"/>
        <w:tblW w:w="0" w:type="auto"/>
        <w:tblLook w:val="04A0" w:firstRow="1" w:lastRow="0" w:firstColumn="1" w:lastColumn="0" w:noHBand="0" w:noVBand="1"/>
      </w:tblPr>
      <w:tblGrid>
        <w:gridCol w:w="2802"/>
        <w:gridCol w:w="6486"/>
      </w:tblGrid>
      <w:tr w:rsidR="00295222" w:rsidRPr="00295222" w14:paraId="6AB6B96D" w14:textId="77777777" w:rsidTr="00295222">
        <w:tc>
          <w:tcPr>
            <w:tcW w:w="2802" w:type="dxa"/>
          </w:tcPr>
          <w:p w14:paraId="3181D9F3" w14:textId="77777777" w:rsidR="00295222" w:rsidRPr="00295222" w:rsidRDefault="00295222" w:rsidP="00295222">
            <w:pPr>
              <w:rPr>
                <w:rFonts w:ascii="Arial" w:hAnsi="Arial" w:cs="Arial"/>
                <w:sz w:val="22"/>
              </w:rPr>
            </w:pPr>
            <w:r w:rsidRPr="00295222">
              <w:rPr>
                <w:rFonts w:ascii="Arial" w:hAnsi="Arial" w:cs="Arial"/>
                <w:sz w:val="22"/>
              </w:rPr>
              <w:t>Název a označení indikátoru:</w:t>
            </w:r>
          </w:p>
        </w:tc>
        <w:tc>
          <w:tcPr>
            <w:tcW w:w="6486" w:type="dxa"/>
          </w:tcPr>
          <w:p w14:paraId="5D92FB12" w14:textId="77777777" w:rsidR="00295222" w:rsidRPr="00295222" w:rsidRDefault="00295222" w:rsidP="00295222">
            <w:pPr>
              <w:rPr>
                <w:rFonts w:ascii="Arial" w:eastAsiaTheme="minorEastAsia" w:hAnsi="Arial" w:cs="Arial"/>
                <w:b/>
                <w:sz w:val="22"/>
              </w:rPr>
            </w:pPr>
            <w:r w:rsidRPr="00295222">
              <w:rPr>
                <w:rFonts w:ascii="Arial" w:hAnsi="Arial" w:cs="Arial"/>
                <w:b/>
                <w:sz w:val="22"/>
              </w:rPr>
              <w:t xml:space="preserve">10.1.1. Trvalá státní kontrola nad systémem kritické infrastruktury a </w:t>
            </w:r>
            <w:r>
              <w:rPr>
                <w:rFonts w:ascii="Arial" w:hAnsi="Arial" w:cs="Arial"/>
                <w:b/>
                <w:sz w:val="22"/>
              </w:rPr>
              <w:t>rozvíjení</w:t>
            </w:r>
            <w:r w:rsidRPr="00295222">
              <w:rPr>
                <w:rFonts w:ascii="Arial" w:hAnsi="Arial" w:cs="Arial"/>
                <w:b/>
                <w:sz w:val="22"/>
              </w:rPr>
              <w:t xml:space="preserve"> systému ochrany kritické infrastruktur</w:t>
            </w:r>
          </w:p>
        </w:tc>
      </w:tr>
      <w:tr w:rsidR="00295222" w:rsidRPr="00295222" w14:paraId="4D34502A" w14:textId="77777777" w:rsidTr="00295222">
        <w:tc>
          <w:tcPr>
            <w:tcW w:w="2802" w:type="dxa"/>
          </w:tcPr>
          <w:p w14:paraId="7EF48D45" w14:textId="77777777" w:rsidR="00295222" w:rsidRPr="00295222" w:rsidRDefault="00295222" w:rsidP="00295222">
            <w:pPr>
              <w:rPr>
                <w:rFonts w:ascii="Arial" w:hAnsi="Arial" w:cs="Arial"/>
                <w:sz w:val="22"/>
              </w:rPr>
            </w:pPr>
            <w:r w:rsidRPr="00295222">
              <w:rPr>
                <w:rFonts w:ascii="Arial" w:hAnsi="Arial" w:cs="Arial"/>
                <w:sz w:val="22"/>
              </w:rPr>
              <w:t xml:space="preserve">Stručná definice: </w:t>
            </w:r>
          </w:p>
        </w:tc>
        <w:tc>
          <w:tcPr>
            <w:tcW w:w="6486" w:type="dxa"/>
          </w:tcPr>
          <w:p w14:paraId="06DC87E1" w14:textId="77777777" w:rsidR="00295222" w:rsidRPr="00295222" w:rsidRDefault="00295222" w:rsidP="007419C7">
            <w:pPr>
              <w:jc w:val="both"/>
              <w:rPr>
                <w:rFonts w:ascii="Arial" w:hAnsi="Arial" w:cs="Arial"/>
                <w:sz w:val="22"/>
              </w:rPr>
            </w:pPr>
            <w:r w:rsidRPr="00295222">
              <w:rPr>
                <w:rFonts w:ascii="Arial" w:hAnsi="Arial" w:cs="Arial"/>
                <w:sz w:val="22"/>
              </w:rPr>
              <w:t xml:space="preserve">V oblasti zachování trvalé státní kontroly nad systémem kritické infrastruktury je indikátor tvořen počtem a výsledem  (kvantitativní a kvalitativní hodnocení) provedených kontrol subjektů kritické infrastruktury. </w:t>
            </w:r>
          </w:p>
          <w:p w14:paraId="5555874C" w14:textId="5ADE1DC3" w:rsidR="00295222" w:rsidRPr="00295222" w:rsidRDefault="00295222" w:rsidP="007419C7">
            <w:pPr>
              <w:jc w:val="both"/>
              <w:rPr>
                <w:rFonts w:ascii="Arial" w:hAnsi="Arial" w:cs="Arial"/>
                <w:sz w:val="22"/>
              </w:rPr>
            </w:pPr>
            <w:r w:rsidRPr="00295222">
              <w:rPr>
                <w:rFonts w:ascii="Arial" w:hAnsi="Arial" w:cs="Arial"/>
                <w:sz w:val="22"/>
              </w:rPr>
              <w:t xml:space="preserve">Rozvoj systému kritické infrastruktury je založen na </w:t>
            </w:r>
            <w:r w:rsidR="00C546D6" w:rsidRPr="00C546D6">
              <w:rPr>
                <w:rFonts w:ascii="Arial" w:hAnsi="Arial" w:cs="Arial"/>
                <w:sz w:val="22"/>
              </w:rPr>
              <w:t xml:space="preserve">průběžné </w:t>
            </w:r>
            <w:r w:rsidR="00C546D6" w:rsidRPr="00C546D6">
              <w:rPr>
                <w:rFonts w:ascii="Arial" w:hAnsi="Arial" w:cs="Arial"/>
                <w:sz w:val="22"/>
              </w:rPr>
              <w:lastRenderedPageBreak/>
              <w:t>úpravy určování</w:t>
            </w:r>
            <w:r w:rsidR="00C546D6" w:rsidRPr="00C546D6" w:rsidDel="00C546D6">
              <w:rPr>
                <w:rFonts w:ascii="Arial" w:hAnsi="Arial" w:cs="Arial"/>
                <w:sz w:val="22"/>
              </w:rPr>
              <w:t xml:space="preserve"> </w:t>
            </w:r>
            <w:r w:rsidRPr="00295222">
              <w:rPr>
                <w:rFonts w:ascii="Arial" w:hAnsi="Arial" w:cs="Arial"/>
                <w:sz w:val="22"/>
              </w:rPr>
              <w:t>prvků kritické infrastruktury (kvantitativní a kvalitativní hodnocení).</w:t>
            </w:r>
          </w:p>
        </w:tc>
      </w:tr>
      <w:tr w:rsidR="00295222" w:rsidRPr="00295222" w14:paraId="1F49C2BC" w14:textId="77777777" w:rsidTr="00295222">
        <w:tc>
          <w:tcPr>
            <w:tcW w:w="2802" w:type="dxa"/>
          </w:tcPr>
          <w:p w14:paraId="6AF44820" w14:textId="77777777" w:rsidR="00295222" w:rsidRPr="00295222" w:rsidRDefault="00295222" w:rsidP="00295222">
            <w:pPr>
              <w:rPr>
                <w:rFonts w:ascii="Arial" w:hAnsi="Arial" w:cs="Arial"/>
                <w:sz w:val="22"/>
              </w:rPr>
            </w:pPr>
            <w:r w:rsidRPr="00295222">
              <w:rPr>
                <w:rFonts w:ascii="Arial" w:hAnsi="Arial" w:cs="Arial"/>
                <w:sz w:val="22"/>
              </w:rPr>
              <w:lastRenderedPageBreak/>
              <w:t>Jednotka:</w:t>
            </w:r>
          </w:p>
        </w:tc>
        <w:tc>
          <w:tcPr>
            <w:tcW w:w="6486" w:type="dxa"/>
          </w:tcPr>
          <w:p w14:paraId="387FF0E8" w14:textId="77777777" w:rsidR="00295222" w:rsidRPr="00295222" w:rsidRDefault="00295222" w:rsidP="007419C7">
            <w:pPr>
              <w:jc w:val="both"/>
              <w:rPr>
                <w:rFonts w:ascii="Arial" w:hAnsi="Arial" w:cs="Arial"/>
                <w:sz w:val="22"/>
              </w:rPr>
            </w:pPr>
            <w:r w:rsidRPr="00295222">
              <w:rPr>
                <w:rFonts w:ascii="Arial" w:hAnsi="Arial" w:cs="Arial"/>
                <w:sz w:val="22"/>
              </w:rPr>
              <w:t>Počet kontrol.</w:t>
            </w:r>
          </w:p>
        </w:tc>
      </w:tr>
      <w:tr w:rsidR="00295222" w:rsidRPr="00295222" w14:paraId="7DE3DB75" w14:textId="77777777" w:rsidTr="00295222">
        <w:tc>
          <w:tcPr>
            <w:tcW w:w="2802" w:type="dxa"/>
          </w:tcPr>
          <w:p w14:paraId="6BC06097" w14:textId="77777777" w:rsidR="00295222" w:rsidRPr="00295222" w:rsidRDefault="00295222" w:rsidP="00295222">
            <w:pPr>
              <w:rPr>
                <w:rFonts w:ascii="Arial" w:hAnsi="Arial" w:cs="Arial"/>
                <w:sz w:val="22"/>
              </w:rPr>
            </w:pPr>
            <w:r w:rsidRPr="00295222">
              <w:rPr>
                <w:rFonts w:ascii="Arial" w:hAnsi="Arial" w:cs="Arial"/>
                <w:sz w:val="22"/>
              </w:rPr>
              <w:t xml:space="preserve">Gestor: </w:t>
            </w:r>
          </w:p>
        </w:tc>
        <w:tc>
          <w:tcPr>
            <w:tcW w:w="6486" w:type="dxa"/>
          </w:tcPr>
          <w:p w14:paraId="4E4666D5" w14:textId="63FF7DD8" w:rsidR="00295222" w:rsidRPr="00295222" w:rsidRDefault="00E24809" w:rsidP="007419C7">
            <w:pPr>
              <w:jc w:val="both"/>
              <w:rPr>
                <w:rFonts w:ascii="Arial" w:hAnsi="Arial" w:cs="Arial"/>
                <w:sz w:val="22"/>
              </w:rPr>
            </w:pPr>
            <w:r>
              <w:rPr>
                <w:rFonts w:ascii="Arial" w:hAnsi="Arial" w:cs="Arial"/>
                <w:sz w:val="22"/>
              </w:rPr>
              <w:t xml:space="preserve">Ministerstvo vnitra – generální ředitelství Hasičského záchranného sboru ČR </w:t>
            </w:r>
            <w:r w:rsidR="00295222" w:rsidRPr="00295222">
              <w:rPr>
                <w:rFonts w:ascii="Arial" w:hAnsi="Arial" w:cs="Arial"/>
                <w:sz w:val="22"/>
              </w:rPr>
              <w:t xml:space="preserve">ve spolupráci s </w:t>
            </w:r>
            <w:r w:rsidRPr="00E24809">
              <w:rPr>
                <w:rFonts w:ascii="Arial" w:hAnsi="Arial" w:cs="Arial"/>
                <w:sz w:val="22"/>
              </w:rPr>
              <w:t>Ústřední</w:t>
            </w:r>
            <w:r>
              <w:rPr>
                <w:rFonts w:ascii="Arial" w:hAnsi="Arial" w:cs="Arial"/>
                <w:sz w:val="22"/>
              </w:rPr>
              <w:t>m</w:t>
            </w:r>
            <w:r w:rsidRPr="00E24809">
              <w:rPr>
                <w:rFonts w:ascii="Arial" w:hAnsi="Arial" w:cs="Arial"/>
                <w:sz w:val="22"/>
              </w:rPr>
              <w:t xml:space="preserve"> správní</w:t>
            </w:r>
            <w:r>
              <w:rPr>
                <w:rFonts w:ascii="Arial" w:hAnsi="Arial" w:cs="Arial"/>
                <w:sz w:val="22"/>
              </w:rPr>
              <w:t>m</w:t>
            </w:r>
            <w:r w:rsidRPr="00E24809">
              <w:rPr>
                <w:rFonts w:ascii="Arial" w:hAnsi="Arial" w:cs="Arial"/>
                <w:sz w:val="22"/>
              </w:rPr>
              <w:t xml:space="preserve"> úřad</w:t>
            </w:r>
            <w:r>
              <w:rPr>
                <w:rFonts w:ascii="Arial" w:hAnsi="Arial" w:cs="Arial"/>
                <w:sz w:val="22"/>
              </w:rPr>
              <w:t>em</w:t>
            </w:r>
          </w:p>
        </w:tc>
      </w:tr>
      <w:tr w:rsidR="00295222" w:rsidRPr="00295222" w14:paraId="6A9691FF" w14:textId="77777777" w:rsidTr="00295222">
        <w:tc>
          <w:tcPr>
            <w:tcW w:w="2802" w:type="dxa"/>
          </w:tcPr>
          <w:p w14:paraId="29670ECB" w14:textId="77777777" w:rsidR="00295222" w:rsidRPr="00295222" w:rsidRDefault="00295222" w:rsidP="00295222">
            <w:pPr>
              <w:rPr>
                <w:rFonts w:ascii="Arial" w:hAnsi="Arial" w:cs="Arial"/>
                <w:sz w:val="22"/>
              </w:rPr>
            </w:pPr>
            <w:r w:rsidRPr="00295222">
              <w:rPr>
                <w:rFonts w:ascii="Arial" w:hAnsi="Arial" w:cs="Arial"/>
                <w:sz w:val="22"/>
              </w:rPr>
              <w:t xml:space="preserve">Význam indikátoru: </w:t>
            </w:r>
          </w:p>
        </w:tc>
        <w:tc>
          <w:tcPr>
            <w:tcW w:w="6486" w:type="dxa"/>
          </w:tcPr>
          <w:p w14:paraId="71AF3BD0" w14:textId="77777777" w:rsidR="00295222" w:rsidRPr="00295222" w:rsidRDefault="00295222" w:rsidP="007419C7">
            <w:pPr>
              <w:jc w:val="both"/>
              <w:rPr>
                <w:rFonts w:ascii="Arial" w:hAnsi="Arial" w:cs="Arial"/>
                <w:sz w:val="22"/>
              </w:rPr>
            </w:pPr>
            <w:r w:rsidRPr="00295222">
              <w:rPr>
                <w:rFonts w:ascii="Arial" w:hAnsi="Arial" w:cs="Arial"/>
                <w:sz w:val="22"/>
              </w:rPr>
              <w:t>Tento cíl představuje požadavek na zohledňování odolnosti kritické infrastruktury jako zásadního faktoru pro udržení stabilní a funkční infrastruktury nutné pro ekonomickou aktivitu.</w:t>
            </w:r>
          </w:p>
        </w:tc>
      </w:tr>
      <w:tr w:rsidR="00295222" w:rsidRPr="00295222" w14:paraId="2E3F8D7D" w14:textId="77777777" w:rsidTr="00295222">
        <w:tc>
          <w:tcPr>
            <w:tcW w:w="2802" w:type="dxa"/>
          </w:tcPr>
          <w:p w14:paraId="2D6BD228" w14:textId="77777777" w:rsidR="00295222" w:rsidRPr="00295222" w:rsidRDefault="00295222" w:rsidP="00295222">
            <w:pPr>
              <w:rPr>
                <w:rFonts w:ascii="Arial" w:hAnsi="Arial" w:cs="Arial"/>
                <w:sz w:val="22"/>
              </w:rPr>
            </w:pPr>
            <w:r w:rsidRPr="00295222">
              <w:rPr>
                <w:rFonts w:ascii="Arial" w:hAnsi="Arial" w:cs="Arial"/>
                <w:sz w:val="22"/>
              </w:rPr>
              <w:t xml:space="preserve">Časová řada: </w:t>
            </w:r>
          </w:p>
        </w:tc>
        <w:tc>
          <w:tcPr>
            <w:tcW w:w="6486" w:type="dxa"/>
          </w:tcPr>
          <w:p w14:paraId="1C6A1F4D" w14:textId="77777777" w:rsidR="00295222" w:rsidRPr="00295222" w:rsidRDefault="00295222" w:rsidP="007419C7">
            <w:pPr>
              <w:jc w:val="both"/>
              <w:rPr>
                <w:rFonts w:ascii="Arial" w:hAnsi="Arial" w:cs="Arial"/>
                <w:sz w:val="22"/>
              </w:rPr>
            </w:pPr>
            <w:r w:rsidRPr="00295222">
              <w:rPr>
                <w:rFonts w:ascii="Arial" w:hAnsi="Arial" w:cs="Arial"/>
                <w:sz w:val="22"/>
              </w:rPr>
              <w:t>Od 2012</w:t>
            </w:r>
          </w:p>
        </w:tc>
      </w:tr>
      <w:tr w:rsidR="00295222" w:rsidRPr="00295222" w14:paraId="5A6C1920" w14:textId="77777777" w:rsidTr="00295222">
        <w:tc>
          <w:tcPr>
            <w:tcW w:w="2802" w:type="dxa"/>
          </w:tcPr>
          <w:p w14:paraId="5723B6F2" w14:textId="77777777" w:rsidR="00295222" w:rsidRPr="00295222" w:rsidRDefault="00295222" w:rsidP="00295222">
            <w:pPr>
              <w:rPr>
                <w:rFonts w:ascii="Arial" w:hAnsi="Arial" w:cs="Arial"/>
                <w:sz w:val="22"/>
              </w:rPr>
            </w:pPr>
            <w:r w:rsidRPr="00295222">
              <w:rPr>
                <w:rFonts w:ascii="Arial" w:hAnsi="Arial" w:cs="Arial"/>
                <w:sz w:val="22"/>
              </w:rPr>
              <w:t xml:space="preserve">Frekvence výstupu: </w:t>
            </w:r>
          </w:p>
        </w:tc>
        <w:tc>
          <w:tcPr>
            <w:tcW w:w="6486" w:type="dxa"/>
          </w:tcPr>
          <w:p w14:paraId="102E4725" w14:textId="77777777" w:rsidR="00295222" w:rsidRPr="00295222" w:rsidRDefault="00295222" w:rsidP="007419C7">
            <w:pPr>
              <w:jc w:val="both"/>
              <w:rPr>
                <w:rFonts w:ascii="Arial" w:hAnsi="Arial" w:cs="Arial"/>
                <w:sz w:val="22"/>
              </w:rPr>
            </w:pPr>
            <w:r w:rsidRPr="00295222">
              <w:rPr>
                <w:rFonts w:ascii="Arial" w:hAnsi="Arial" w:cs="Arial"/>
                <w:sz w:val="22"/>
              </w:rPr>
              <w:t>Roční</w:t>
            </w:r>
          </w:p>
        </w:tc>
      </w:tr>
      <w:tr w:rsidR="00295222" w:rsidRPr="00295222" w14:paraId="503D9E5A" w14:textId="77777777" w:rsidTr="00295222">
        <w:trPr>
          <w:trHeight w:val="70"/>
        </w:trPr>
        <w:tc>
          <w:tcPr>
            <w:tcW w:w="2802" w:type="dxa"/>
          </w:tcPr>
          <w:p w14:paraId="000CD3CB" w14:textId="77777777" w:rsidR="00295222" w:rsidRPr="00295222" w:rsidRDefault="00295222" w:rsidP="00295222">
            <w:pPr>
              <w:rPr>
                <w:rFonts w:ascii="Arial" w:hAnsi="Arial" w:cs="Arial"/>
                <w:sz w:val="22"/>
              </w:rPr>
            </w:pPr>
            <w:r w:rsidRPr="00295222">
              <w:rPr>
                <w:rFonts w:ascii="Arial" w:hAnsi="Arial" w:cs="Arial"/>
                <w:sz w:val="22"/>
              </w:rPr>
              <w:t xml:space="preserve">Členění indikátoru: </w:t>
            </w:r>
          </w:p>
        </w:tc>
        <w:tc>
          <w:tcPr>
            <w:tcW w:w="6486" w:type="dxa"/>
          </w:tcPr>
          <w:p w14:paraId="0725CD32" w14:textId="7E8A9D9E" w:rsidR="00295222" w:rsidRPr="00295222" w:rsidRDefault="00E24809" w:rsidP="007419C7">
            <w:pPr>
              <w:jc w:val="both"/>
              <w:rPr>
                <w:rFonts w:ascii="Arial" w:hAnsi="Arial" w:cs="Arial"/>
                <w:sz w:val="22"/>
              </w:rPr>
            </w:pPr>
            <w:r>
              <w:rPr>
                <w:rFonts w:ascii="Arial" w:hAnsi="Arial" w:cs="Arial"/>
                <w:sz w:val="22"/>
              </w:rPr>
              <w:t>Dle počtu a výsledku</w:t>
            </w:r>
            <w:r w:rsidR="00295222" w:rsidRPr="00295222">
              <w:rPr>
                <w:rFonts w:ascii="Arial" w:hAnsi="Arial" w:cs="Arial"/>
                <w:sz w:val="22"/>
              </w:rPr>
              <w:t xml:space="preserve"> kontrol; </w:t>
            </w:r>
            <w:r w:rsidR="00C546D6" w:rsidRPr="00C546D6">
              <w:rPr>
                <w:rFonts w:ascii="Arial" w:hAnsi="Arial" w:cs="Arial"/>
                <w:sz w:val="22"/>
              </w:rPr>
              <w:t xml:space="preserve">analýza určování </w:t>
            </w:r>
            <w:r w:rsidR="00295222" w:rsidRPr="00295222">
              <w:rPr>
                <w:rFonts w:ascii="Arial" w:hAnsi="Arial" w:cs="Arial"/>
                <w:sz w:val="22"/>
              </w:rPr>
              <w:t>prvků kritické infrastruktury.</w:t>
            </w:r>
          </w:p>
        </w:tc>
      </w:tr>
      <w:tr w:rsidR="00295222" w:rsidRPr="00295222" w14:paraId="4E9A7A28" w14:textId="77777777" w:rsidTr="00295222">
        <w:trPr>
          <w:trHeight w:val="70"/>
        </w:trPr>
        <w:tc>
          <w:tcPr>
            <w:tcW w:w="2802" w:type="dxa"/>
          </w:tcPr>
          <w:p w14:paraId="66F0CA1D" w14:textId="77777777" w:rsidR="00295222" w:rsidRPr="00295222" w:rsidRDefault="00295222" w:rsidP="00295222">
            <w:pPr>
              <w:rPr>
                <w:rFonts w:ascii="Arial" w:hAnsi="Arial" w:cs="Arial"/>
                <w:sz w:val="22"/>
              </w:rPr>
            </w:pPr>
            <w:r w:rsidRPr="00295222">
              <w:rPr>
                <w:rFonts w:ascii="Arial" w:hAnsi="Arial" w:cs="Arial"/>
                <w:sz w:val="22"/>
              </w:rPr>
              <w:t>Mezinárodní srovnání:</w:t>
            </w:r>
          </w:p>
        </w:tc>
        <w:tc>
          <w:tcPr>
            <w:tcW w:w="6486" w:type="dxa"/>
          </w:tcPr>
          <w:p w14:paraId="3E86A5FC" w14:textId="77777777" w:rsidR="00295222" w:rsidRPr="00295222" w:rsidRDefault="00295222" w:rsidP="00295222">
            <w:pPr>
              <w:rPr>
                <w:rFonts w:ascii="Arial" w:hAnsi="Arial" w:cs="Arial"/>
                <w:sz w:val="22"/>
              </w:rPr>
            </w:pPr>
            <w:r w:rsidRPr="00295222">
              <w:rPr>
                <w:rFonts w:ascii="Arial" w:hAnsi="Arial" w:cs="Arial"/>
                <w:sz w:val="22"/>
              </w:rPr>
              <w:t>-</w:t>
            </w:r>
          </w:p>
        </w:tc>
      </w:tr>
    </w:tbl>
    <w:p w14:paraId="174D208F" w14:textId="77777777" w:rsidR="00833F7B" w:rsidRPr="00833F7B" w:rsidRDefault="00833F7B" w:rsidP="007419C7">
      <w:pPr>
        <w:pStyle w:val="r2030podcle"/>
        <w:numPr>
          <w:ilvl w:val="1"/>
          <w:numId w:val="17"/>
        </w:numPr>
        <w:ind w:left="567" w:hanging="425"/>
      </w:pPr>
      <w:r w:rsidRPr="00833F7B">
        <w:t>Je zajištěno kvalitní dopravní</w:t>
      </w:r>
      <w:r>
        <w:t xml:space="preserve"> spojení s ekonomickými populač</w:t>
      </w:r>
      <w:r w:rsidRPr="00833F7B">
        <w:t>ními a dopravními centry Německa, Rakouska a Polska.</w:t>
      </w:r>
    </w:p>
    <w:tbl>
      <w:tblPr>
        <w:tblStyle w:val="Mkatabulky"/>
        <w:tblW w:w="0" w:type="auto"/>
        <w:tblLook w:val="04A0" w:firstRow="1" w:lastRow="0" w:firstColumn="1" w:lastColumn="0" w:noHBand="0" w:noVBand="1"/>
      </w:tblPr>
      <w:tblGrid>
        <w:gridCol w:w="2802"/>
        <w:gridCol w:w="6486"/>
      </w:tblGrid>
      <w:tr w:rsidR="00666033" w:rsidRPr="00CA79AD" w14:paraId="44093CE5" w14:textId="77777777" w:rsidTr="00666033">
        <w:tc>
          <w:tcPr>
            <w:tcW w:w="2802" w:type="dxa"/>
          </w:tcPr>
          <w:p w14:paraId="04E6C121"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Název a označení indikátoru: </w:t>
            </w:r>
          </w:p>
        </w:tc>
        <w:tc>
          <w:tcPr>
            <w:tcW w:w="6486" w:type="dxa"/>
          </w:tcPr>
          <w:p w14:paraId="238BC4CA" w14:textId="77777777" w:rsidR="00666033" w:rsidRPr="00C033EE" w:rsidRDefault="00666033" w:rsidP="00C51B65">
            <w:pPr>
              <w:spacing w:line="276" w:lineRule="auto"/>
              <w:rPr>
                <w:rFonts w:ascii="Arial" w:eastAsia="Arial" w:hAnsi="Arial" w:cs="Arial"/>
                <w:b/>
                <w:color w:val="000000"/>
                <w:sz w:val="22"/>
                <w:szCs w:val="22"/>
              </w:rPr>
            </w:pPr>
            <w:r w:rsidRPr="00C033EE">
              <w:rPr>
                <w:rFonts w:ascii="Arial" w:eastAsia="Arial" w:hAnsi="Arial" w:cs="Arial"/>
                <w:b/>
                <w:color w:val="000000"/>
                <w:sz w:val="22"/>
                <w:szCs w:val="22"/>
              </w:rPr>
              <w:t>10.2.1 Postup v budování transevropské dopravní sítě</w:t>
            </w:r>
          </w:p>
        </w:tc>
      </w:tr>
      <w:tr w:rsidR="00666033" w:rsidRPr="00CA79AD" w14:paraId="6086074A" w14:textId="77777777" w:rsidTr="00666033">
        <w:tc>
          <w:tcPr>
            <w:tcW w:w="2802" w:type="dxa"/>
          </w:tcPr>
          <w:p w14:paraId="3171E9EB"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Stručná definice: </w:t>
            </w:r>
          </w:p>
        </w:tc>
        <w:tc>
          <w:tcPr>
            <w:tcW w:w="6486" w:type="dxa"/>
          </w:tcPr>
          <w:p w14:paraId="7A27B635" w14:textId="433A0447" w:rsidR="00666033" w:rsidRPr="00CA79AD" w:rsidRDefault="00666033" w:rsidP="007419C7">
            <w:pPr>
              <w:spacing w:line="276" w:lineRule="auto"/>
              <w:jc w:val="both"/>
              <w:rPr>
                <w:rFonts w:ascii="Arial" w:hAnsi="Arial" w:cs="Arial"/>
                <w:sz w:val="22"/>
                <w:szCs w:val="22"/>
              </w:rPr>
            </w:pPr>
            <w:r w:rsidRPr="00CA79AD">
              <w:rPr>
                <w:rFonts w:ascii="Arial" w:hAnsi="Arial" w:cs="Arial"/>
                <w:sz w:val="22"/>
                <w:szCs w:val="22"/>
              </w:rPr>
              <w:t xml:space="preserve">Procento </w:t>
            </w:r>
            <w:r w:rsidR="00BD603F" w:rsidRPr="00CA79AD">
              <w:rPr>
                <w:rFonts w:ascii="Arial" w:hAnsi="Arial" w:cs="Arial"/>
                <w:sz w:val="22"/>
                <w:szCs w:val="22"/>
              </w:rPr>
              <w:t>dokončen</w:t>
            </w:r>
            <w:r w:rsidR="00BD603F">
              <w:rPr>
                <w:rFonts w:ascii="Arial" w:hAnsi="Arial" w:cs="Arial"/>
                <w:sz w:val="22"/>
                <w:szCs w:val="22"/>
              </w:rPr>
              <w:t>ých projektů</w:t>
            </w:r>
            <w:r w:rsidR="00BD603F" w:rsidRPr="00CA79AD">
              <w:rPr>
                <w:rFonts w:ascii="Arial" w:hAnsi="Arial" w:cs="Arial"/>
                <w:sz w:val="22"/>
                <w:szCs w:val="22"/>
              </w:rPr>
              <w:t xml:space="preserve"> </w:t>
            </w:r>
            <w:r w:rsidRPr="00CA79AD">
              <w:rPr>
                <w:rFonts w:ascii="Arial" w:hAnsi="Arial" w:cs="Arial"/>
                <w:sz w:val="22"/>
                <w:szCs w:val="22"/>
              </w:rPr>
              <w:t xml:space="preserve">silniční a dálniční a železniční infrastruktury v plánovaných parametrech v rámci </w:t>
            </w:r>
            <w:r w:rsidR="00BD603F">
              <w:rPr>
                <w:rFonts w:ascii="Arial" w:hAnsi="Arial" w:cs="Arial"/>
                <w:sz w:val="22"/>
                <w:szCs w:val="22"/>
              </w:rPr>
              <w:t xml:space="preserve">transevropské sítě </w:t>
            </w:r>
            <w:r w:rsidRPr="00CA79AD">
              <w:rPr>
                <w:rFonts w:ascii="Arial" w:hAnsi="Arial" w:cs="Arial"/>
                <w:sz w:val="22"/>
                <w:szCs w:val="22"/>
              </w:rPr>
              <w:t>TEN-T</w:t>
            </w:r>
            <w:r w:rsidR="00BD603F">
              <w:rPr>
                <w:rFonts w:ascii="Arial" w:hAnsi="Arial" w:cs="Arial"/>
                <w:sz w:val="22"/>
                <w:szCs w:val="22"/>
              </w:rPr>
              <w:t xml:space="preserve"> v ČR</w:t>
            </w:r>
          </w:p>
        </w:tc>
      </w:tr>
      <w:tr w:rsidR="00666033" w:rsidRPr="00CA79AD" w14:paraId="235C9E91" w14:textId="77777777" w:rsidTr="00666033">
        <w:tc>
          <w:tcPr>
            <w:tcW w:w="2802" w:type="dxa"/>
          </w:tcPr>
          <w:p w14:paraId="10D27B6D"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Jednotka:</w:t>
            </w:r>
          </w:p>
        </w:tc>
        <w:tc>
          <w:tcPr>
            <w:tcW w:w="6486" w:type="dxa"/>
          </w:tcPr>
          <w:p w14:paraId="75D5BA65" w14:textId="77777777" w:rsidR="00666033" w:rsidRPr="00CA79AD" w:rsidRDefault="00833F7B" w:rsidP="007419C7">
            <w:pPr>
              <w:spacing w:line="276" w:lineRule="auto"/>
              <w:jc w:val="both"/>
              <w:rPr>
                <w:rFonts w:ascii="Arial" w:hAnsi="Arial" w:cs="Arial"/>
                <w:sz w:val="22"/>
                <w:szCs w:val="22"/>
              </w:rPr>
            </w:pPr>
            <w:r>
              <w:rPr>
                <w:rFonts w:ascii="Arial" w:hAnsi="Arial" w:cs="Arial"/>
                <w:sz w:val="22"/>
                <w:szCs w:val="22"/>
              </w:rPr>
              <w:t xml:space="preserve">Podíl (v </w:t>
            </w:r>
            <w:r w:rsidR="00666033">
              <w:rPr>
                <w:rFonts w:ascii="Arial" w:hAnsi="Arial" w:cs="Arial"/>
                <w:sz w:val="22"/>
                <w:szCs w:val="22"/>
              </w:rPr>
              <w:t>%</w:t>
            </w:r>
            <w:r>
              <w:rPr>
                <w:rFonts w:ascii="Arial" w:hAnsi="Arial" w:cs="Arial"/>
                <w:sz w:val="22"/>
                <w:szCs w:val="22"/>
              </w:rPr>
              <w:t>)</w:t>
            </w:r>
          </w:p>
        </w:tc>
      </w:tr>
      <w:tr w:rsidR="00666033" w:rsidRPr="00CA79AD" w14:paraId="607FB98A" w14:textId="77777777" w:rsidTr="00666033">
        <w:tc>
          <w:tcPr>
            <w:tcW w:w="2802" w:type="dxa"/>
          </w:tcPr>
          <w:p w14:paraId="333BED7A"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Gestor: </w:t>
            </w:r>
          </w:p>
        </w:tc>
        <w:tc>
          <w:tcPr>
            <w:tcW w:w="6486" w:type="dxa"/>
          </w:tcPr>
          <w:p w14:paraId="1D124221" w14:textId="77777777" w:rsidR="00666033" w:rsidRPr="00CA79AD" w:rsidRDefault="00666033" w:rsidP="007419C7">
            <w:pPr>
              <w:spacing w:line="276" w:lineRule="auto"/>
              <w:jc w:val="both"/>
              <w:rPr>
                <w:rFonts w:ascii="Arial" w:hAnsi="Arial" w:cs="Arial"/>
                <w:sz w:val="22"/>
                <w:szCs w:val="22"/>
              </w:rPr>
            </w:pPr>
            <w:r w:rsidRPr="00CA79AD">
              <w:rPr>
                <w:rFonts w:ascii="Arial" w:hAnsi="Arial" w:cs="Arial"/>
                <w:sz w:val="22"/>
                <w:szCs w:val="22"/>
              </w:rPr>
              <w:t>Ministerstvo dopravy</w:t>
            </w:r>
          </w:p>
        </w:tc>
      </w:tr>
      <w:tr w:rsidR="00666033" w:rsidRPr="00CA79AD" w14:paraId="6C12577C" w14:textId="77777777" w:rsidTr="00666033">
        <w:tc>
          <w:tcPr>
            <w:tcW w:w="2802" w:type="dxa"/>
          </w:tcPr>
          <w:p w14:paraId="1EFDBCE6"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Význam indikátoru: </w:t>
            </w:r>
          </w:p>
        </w:tc>
        <w:tc>
          <w:tcPr>
            <w:tcW w:w="6486" w:type="dxa"/>
          </w:tcPr>
          <w:p w14:paraId="07448E43" w14:textId="77777777" w:rsidR="00666033" w:rsidRPr="00CA79AD" w:rsidRDefault="00666033" w:rsidP="007419C7">
            <w:pPr>
              <w:spacing w:line="276" w:lineRule="auto"/>
              <w:jc w:val="both"/>
              <w:rPr>
                <w:rFonts w:ascii="Arial" w:hAnsi="Arial" w:cs="Arial"/>
                <w:sz w:val="22"/>
                <w:szCs w:val="22"/>
              </w:rPr>
            </w:pPr>
            <w:r w:rsidRPr="00CA79AD">
              <w:rPr>
                <w:rFonts w:ascii="Arial" w:hAnsi="Arial" w:cs="Arial"/>
                <w:sz w:val="22"/>
                <w:szCs w:val="22"/>
              </w:rPr>
              <w:t>Dokončení sítě TEN-T přinese České republice lepší napojení na transevropské dopravní cesty a z toho plynoucí výhody pro vnitroevropský obchod</w:t>
            </w:r>
            <w:r w:rsidR="00AF4003">
              <w:rPr>
                <w:rFonts w:ascii="Arial" w:hAnsi="Arial" w:cs="Arial"/>
                <w:sz w:val="22"/>
                <w:szCs w:val="22"/>
              </w:rPr>
              <w:t>.</w:t>
            </w:r>
          </w:p>
        </w:tc>
      </w:tr>
      <w:tr w:rsidR="00666033" w:rsidRPr="00CA79AD" w14:paraId="46E5607D" w14:textId="77777777" w:rsidTr="00666033">
        <w:tc>
          <w:tcPr>
            <w:tcW w:w="2802" w:type="dxa"/>
          </w:tcPr>
          <w:p w14:paraId="16B32443"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Časová řada: </w:t>
            </w:r>
          </w:p>
        </w:tc>
        <w:tc>
          <w:tcPr>
            <w:tcW w:w="6486" w:type="dxa"/>
          </w:tcPr>
          <w:p w14:paraId="7182EDB0" w14:textId="77777777" w:rsidR="00666033" w:rsidRPr="00CA79AD" w:rsidRDefault="00666033" w:rsidP="007419C7">
            <w:pPr>
              <w:spacing w:line="276" w:lineRule="auto"/>
              <w:jc w:val="both"/>
              <w:rPr>
                <w:rFonts w:ascii="Arial" w:hAnsi="Arial" w:cs="Arial"/>
                <w:sz w:val="22"/>
                <w:szCs w:val="22"/>
              </w:rPr>
            </w:pPr>
            <w:r w:rsidRPr="00CA79AD">
              <w:rPr>
                <w:rFonts w:ascii="Arial" w:hAnsi="Arial" w:cs="Arial"/>
                <w:sz w:val="22"/>
                <w:szCs w:val="22"/>
              </w:rPr>
              <w:t>-</w:t>
            </w:r>
          </w:p>
        </w:tc>
      </w:tr>
      <w:tr w:rsidR="00666033" w:rsidRPr="00CA79AD" w14:paraId="27727A60" w14:textId="77777777" w:rsidTr="00666033">
        <w:tc>
          <w:tcPr>
            <w:tcW w:w="2802" w:type="dxa"/>
          </w:tcPr>
          <w:p w14:paraId="68B37672"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Frekvence výstupu: </w:t>
            </w:r>
          </w:p>
        </w:tc>
        <w:tc>
          <w:tcPr>
            <w:tcW w:w="6486" w:type="dxa"/>
          </w:tcPr>
          <w:p w14:paraId="47D3E7DA" w14:textId="77777777" w:rsidR="00666033" w:rsidRPr="00CA79AD" w:rsidRDefault="00666033" w:rsidP="007419C7">
            <w:pPr>
              <w:spacing w:line="276" w:lineRule="auto"/>
              <w:jc w:val="both"/>
              <w:rPr>
                <w:rFonts w:ascii="Arial" w:hAnsi="Arial" w:cs="Arial"/>
                <w:sz w:val="22"/>
                <w:szCs w:val="22"/>
              </w:rPr>
            </w:pPr>
            <w:r w:rsidRPr="00CA79AD">
              <w:rPr>
                <w:rFonts w:ascii="Arial" w:hAnsi="Arial" w:cs="Arial"/>
                <w:sz w:val="22"/>
                <w:szCs w:val="22"/>
              </w:rPr>
              <w:t>2 roky</w:t>
            </w:r>
          </w:p>
        </w:tc>
      </w:tr>
      <w:tr w:rsidR="00666033" w:rsidRPr="00CA79AD" w14:paraId="0D7EAFD6" w14:textId="77777777" w:rsidTr="00666033">
        <w:trPr>
          <w:trHeight w:val="70"/>
        </w:trPr>
        <w:tc>
          <w:tcPr>
            <w:tcW w:w="2802" w:type="dxa"/>
          </w:tcPr>
          <w:p w14:paraId="6DCD8918"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Členění indikátoru: </w:t>
            </w:r>
          </w:p>
        </w:tc>
        <w:tc>
          <w:tcPr>
            <w:tcW w:w="6486" w:type="dxa"/>
          </w:tcPr>
          <w:p w14:paraId="01113DDB" w14:textId="77777777" w:rsidR="00666033" w:rsidRPr="00CA79AD" w:rsidRDefault="00666033" w:rsidP="007419C7">
            <w:pPr>
              <w:spacing w:line="276" w:lineRule="auto"/>
              <w:jc w:val="both"/>
              <w:rPr>
                <w:rFonts w:ascii="Arial" w:hAnsi="Arial" w:cs="Arial"/>
                <w:sz w:val="22"/>
                <w:szCs w:val="22"/>
              </w:rPr>
            </w:pPr>
            <w:r w:rsidRPr="00CA79AD">
              <w:rPr>
                <w:rFonts w:ascii="Arial" w:hAnsi="Arial" w:cs="Arial"/>
                <w:sz w:val="22"/>
                <w:szCs w:val="22"/>
              </w:rPr>
              <w:t>Silniční a dálniční síť, železniční síť</w:t>
            </w:r>
          </w:p>
        </w:tc>
      </w:tr>
      <w:tr w:rsidR="00666033" w:rsidRPr="00CA79AD" w14:paraId="3FE96AD4" w14:textId="77777777" w:rsidTr="00666033">
        <w:trPr>
          <w:trHeight w:val="70"/>
        </w:trPr>
        <w:tc>
          <w:tcPr>
            <w:tcW w:w="2802" w:type="dxa"/>
          </w:tcPr>
          <w:p w14:paraId="502C5DD7"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Mezinárodní srovnání:</w:t>
            </w:r>
          </w:p>
        </w:tc>
        <w:tc>
          <w:tcPr>
            <w:tcW w:w="6486" w:type="dxa"/>
          </w:tcPr>
          <w:p w14:paraId="5118CFD1"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w:t>
            </w:r>
          </w:p>
        </w:tc>
      </w:tr>
    </w:tbl>
    <w:p w14:paraId="78B4220D" w14:textId="77777777" w:rsidR="00666033" w:rsidRPr="00CA79AD" w:rsidRDefault="00666033" w:rsidP="00C51B65">
      <w:pPr>
        <w:spacing w:line="276" w:lineRule="auto"/>
        <w:contextualSpacing/>
        <w:rPr>
          <w:rFonts w:ascii="Arial" w:hAnsi="Arial" w:cs="Arial"/>
          <w:sz w:val="22"/>
          <w:szCs w:val="22"/>
        </w:rPr>
      </w:pPr>
    </w:p>
    <w:tbl>
      <w:tblPr>
        <w:tblStyle w:val="Mkatabulky"/>
        <w:tblW w:w="0" w:type="auto"/>
        <w:tblLook w:val="04A0" w:firstRow="1" w:lastRow="0" w:firstColumn="1" w:lastColumn="0" w:noHBand="0" w:noVBand="1"/>
      </w:tblPr>
      <w:tblGrid>
        <w:gridCol w:w="2802"/>
        <w:gridCol w:w="6486"/>
      </w:tblGrid>
      <w:tr w:rsidR="00666033" w:rsidRPr="00CA79AD" w14:paraId="78A8BADC" w14:textId="77777777" w:rsidTr="00666033">
        <w:tc>
          <w:tcPr>
            <w:tcW w:w="2802" w:type="dxa"/>
          </w:tcPr>
          <w:p w14:paraId="318B412A"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Název a označení indikátoru: </w:t>
            </w:r>
          </w:p>
        </w:tc>
        <w:tc>
          <w:tcPr>
            <w:tcW w:w="6486" w:type="dxa"/>
          </w:tcPr>
          <w:p w14:paraId="464FA639" w14:textId="77777777" w:rsidR="00666033" w:rsidRPr="00C033EE" w:rsidRDefault="00666033" w:rsidP="00C51B65">
            <w:pPr>
              <w:spacing w:line="276" w:lineRule="auto"/>
              <w:rPr>
                <w:rFonts w:ascii="Arial" w:eastAsia="Arial" w:hAnsi="Arial" w:cs="Arial"/>
                <w:b/>
                <w:color w:val="000000"/>
                <w:sz w:val="22"/>
                <w:szCs w:val="22"/>
              </w:rPr>
            </w:pPr>
            <w:r w:rsidRPr="00C033EE">
              <w:rPr>
                <w:rFonts w:ascii="Arial" w:eastAsia="Arial" w:hAnsi="Arial" w:cs="Arial"/>
                <w:b/>
                <w:color w:val="000000"/>
                <w:sz w:val="22"/>
                <w:szCs w:val="22"/>
              </w:rPr>
              <w:t>10.2.2 Jízdní doba do vybraných zahraničních měst</w:t>
            </w:r>
          </w:p>
        </w:tc>
      </w:tr>
      <w:tr w:rsidR="00666033" w:rsidRPr="00CA79AD" w14:paraId="2473BECA" w14:textId="77777777" w:rsidTr="00666033">
        <w:tc>
          <w:tcPr>
            <w:tcW w:w="2802" w:type="dxa"/>
          </w:tcPr>
          <w:p w14:paraId="7C15882C"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Stručná definice: </w:t>
            </w:r>
          </w:p>
        </w:tc>
        <w:tc>
          <w:tcPr>
            <w:tcW w:w="6486" w:type="dxa"/>
          </w:tcPr>
          <w:p w14:paraId="611602BC" w14:textId="77777777" w:rsidR="00666033" w:rsidRPr="00CA79AD" w:rsidRDefault="00666033" w:rsidP="007419C7">
            <w:pPr>
              <w:spacing w:line="276" w:lineRule="auto"/>
              <w:jc w:val="both"/>
              <w:rPr>
                <w:rFonts w:ascii="Arial" w:eastAsia="Arial" w:hAnsi="Arial" w:cs="Arial"/>
                <w:color w:val="000000"/>
                <w:sz w:val="22"/>
                <w:szCs w:val="22"/>
              </w:rPr>
            </w:pPr>
            <w:r w:rsidRPr="00CA79AD">
              <w:rPr>
                <w:rFonts w:ascii="Arial" w:hAnsi="Arial" w:cs="Arial"/>
                <w:sz w:val="22"/>
                <w:szCs w:val="22"/>
              </w:rPr>
              <w:t>Porovnání systémové jízdní doby na železnici s cestovní dobou po silnici za optimálních podmínek pro individuální a linkovou autobusovou dopravu (z Prahy a Brna do Vídně, Mnichova, Norimberku, Drážďan, Vratislavi, Katovic)</w:t>
            </w:r>
          </w:p>
        </w:tc>
      </w:tr>
      <w:tr w:rsidR="00666033" w:rsidRPr="00CA79AD" w14:paraId="4006B0A2" w14:textId="77777777" w:rsidTr="00666033">
        <w:tc>
          <w:tcPr>
            <w:tcW w:w="2802" w:type="dxa"/>
          </w:tcPr>
          <w:p w14:paraId="076B12B8"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Jednotka:</w:t>
            </w:r>
          </w:p>
        </w:tc>
        <w:tc>
          <w:tcPr>
            <w:tcW w:w="6486" w:type="dxa"/>
          </w:tcPr>
          <w:p w14:paraId="31B9CD53" w14:textId="77777777" w:rsidR="00666033" w:rsidRPr="00CA79AD" w:rsidRDefault="00666033" w:rsidP="007419C7">
            <w:pPr>
              <w:spacing w:line="276" w:lineRule="auto"/>
              <w:jc w:val="both"/>
              <w:rPr>
                <w:rFonts w:ascii="Arial" w:hAnsi="Arial" w:cs="Arial"/>
                <w:sz w:val="22"/>
                <w:szCs w:val="22"/>
              </w:rPr>
            </w:pPr>
            <w:r w:rsidRPr="00CA79AD">
              <w:rPr>
                <w:rFonts w:ascii="Arial" w:hAnsi="Arial" w:cs="Arial"/>
                <w:sz w:val="22"/>
                <w:szCs w:val="22"/>
              </w:rPr>
              <w:t>Minuty</w:t>
            </w:r>
          </w:p>
        </w:tc>
      </w:tr>
      <w:tr w:rsidR="00666033" w:rsidRPr="00CA79AD" w14:paraId="55F6B8E2" w14:textId="77777777" w:rsidTr="00666033">
        <w:tc>
          <w:tcPr>
            <w:tcW w:w="2802" w:type="dxa"/>
          </w:tcPr>
          <w:p w14:paraId="5BB31BA1"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Gestor: </w:t>
            </w:r>
          </w:p>
        </w:tc>
        <w:tc>
          <w:tcPr>
            <w:tcW w:w="6486" w:type="dxa"/>
          </w:tcPr>
          <w:p w14:paraId="0137D518" w14:textId="77777777" w:rsidR="00666033" w:rsidRPr="00CA79AD" w:rsidRDefault="00666033" w:rsidP="007419C7">
            <w:pPr>
              <w:spacing w:line="276" w:lineRule="auto"/>
              <w:jc w:val="both"/>
              <w:rPr>
                <w:rFonts w:ascii="Arial" w:hAnsi="Arial" w:cs="Arial"/>
                <w:sz w:val="22"/>
                <w:szCs w:val="22"/>
              </w:rPr>
            </w:pPr>
            <w:r w:rsidRPr="00CA79AD">
              <w:rPr>
                <w:rFonts w:ascii="Arial" w:hAnsi="Arial" w:cs="Arial"/>
                <w:sz w:val="22"/>
                <w:szCs w:val="22"/>
              </w:rPr>
              <w:t>Ministerstvo dopravy</w:t>
            </w:r>
          </w:p>
        </w:tc>
      </w:tr>
      <w:tr w:rsidR="00666033" w:rsidRPr="00CA79AD" w14:paraId="57BC5992" w14:textId="77777777" w:rsidTr="00666033">
        <w:tc>
          <w:tcPr>
            <w:tcW w:w="2802" w:type="dxa"/>
          </w:tcPr>
          <w:p w14:paraId="751F94A9"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Význam indikátoru: </w:t>
            </w:r>
          </w:p>
        </w:tc>
        <w:tc>
          <w:tcPr>
            <w:tcW w:w="6486" w:type="dxa"/>
          </w:tcPr>
          <w:p w14:paraId="5797058A" w14:textId="77777777" w:rsidR="00666033" w:rsidRPr="00CA79AD" w:rsidRDefault="00666033" w:rsidP="007419C7">
            <w:pPr>
              <w:spacing w:line="276" w:lineRule="auto"/>
              <w:jc w:val="both"/>
              <w:rPr>
                <w:rFonts w:ascii="Arial" w:hAnsi="Arial" w:cs="Arial"/>
                <w:sz w:val="22"/>
                <w:szCs w:val="22"/>
              </w:rPr>
            </w:pPr>
            <w:r w:rsidRPr="00CA79AD">
              <w:rPr>
                <w:rFonts w:ascii="Arial" w:hAnsi="Arial" w:cs="Arial"/>
                <w:sz w:val="22"/>
                <w:szCs w:val="22"/>
              </w:rPr>
              <w:t>Intermodální rozdíl v dojezdové době značí nevyrovnané dopravní napoj</w:t>
            </w:r>
            <w:r w:rsidR="00833F7B">
              <w:rPr>
                <w:rFonts w:ascii="Arial" w:hAnsi="Arial" w:cs="Arial"/>
                <w:sz w:val="22"/>
                <w:szCs w:val="22"/>
              </w:rPr>
              <w:t>ení vybraným směrem. Je žádoucí</w:t>
            </w:r>
            <w:r w:rsidRPr="00CA79AD">
              <w:rPr>
                <w:rFonts w:ascii="Arial" w:hAnsi="Arial" w:cs="Arial"/>
                <w:sz w:val="22"/>
                <w:szCs w:val="22"/>
              </w:rPr>
              <w:t xml:space="preserve"> optimalizovat cestovní čas s tím, že železnice by měla být ve srovnání se silniční dopravou alespoň mírně rychlejší</w:t>
            </w:r>
          </w:p>
        </w:tc>
      </w:tr>
      <w:tr w:rsidR="00666033" w:rsidRPr="00CA79AD" w14:paraId="4DFB0229" w14:textId="77777777" w:rsidTr="00666033">
        <w:tc>
          <w:tcPr>
            <w:tcW w:w="2802" w:type="dxa"/>
          </w:tcPr>
          <w:p w14:paraId="6FC51917"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Časová řada: </w:t>
            </w:r>
          </w:p>
        </w:tc>
        <w:tc>
          <w:tcPr>
            <w:tcW w:w="6486" w:type="dxa"/>
          </w:tcPr>
          <w:p w14:paraId="77608C80" w14:textId="77777777" w:rsidR="00666033" w:rsidRPr="00CA79AD" w:rsidRDefault="00666033" w:rsidP="007419C7">
            <w:pPr>
              <w:spacing w:line="276" w:lineRule="auto"/>
              <w:jc w:val="both"/>
              <w:rPr>
                <w:rFonts w:ascii="Arial" w:hAnsi="Arial" w:cs="Arial"/>
                <w:sz w:val="22"/>
                <w:szCs w:val="22"/>
              </w:rPr>
            </w:pPr>
            <w:r w:rsidRPr="00CA79AD">
              <w:rPr>
                <w:rFonts w:ascii="Arial" w:hAnsi="Arial" w:cs="Arial"/>
                <w:sz w:val="22"/>
                <w:szCs w:val="22"/>
              </w:rPr>
              <w:t>-</w:t>
            </w:r>
          </w:p>
        </w:tc>
      </w:tr>
      <w:tr w:rsidR="00666033" w:rsidRPr="00CA79AD" w14:paraId="3517C3E4" w14:textId="77777777" w:rsidTr="00666033">
        <w:tc>
          <w:tcPr>
            <w:tcW w:w="2802" w:type="dxa"/>
          </w:tcPr>
          <w:p w14:paraId="318EBBE2"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Frekvence výstupu: </w:t>
            </w:r>
          </w:p>
        </w:tc>
        <w:tc>
          <w:tcPr>
            <w:tcW w:w="6486" w:type="dxa"/>
          </w:tcPr>
          <w:p w14:paraId="4BCA9089" w14:textId="77777777" w:rsidR="00666033" w:rsidRPr="00CA79AD" w:rsidRDefault="00666033" w:rsidP="007419C7">
            <w:pPr>
              <w:spacing w:line="276" w:lineRule="auto"/>
              <w:jc w:val="both"/>
              <w:rPr>
                <w:rFonts w:ascii="Arial" w:hAnsi="Arial" w:cs="Arial"/>
                <w:sz w:val="22"/>
                <w:szCs w:val="22"/>
              </w:rPr>
            </w:pPr>
            <w:r w:rsidRPr="00CA79AD">
              <w:rPr>
                <w:rFonts w:ascii="Arial" w:hAnsi="Arial" w:cs="Arial"/>
                <w:sz w:val="22"/>
                <w:szCs w:val="22"/>
              </w:rPr>
              <w:t>2 roky</w:t>
            </w:r>
          </w:p>
        </w:tc>
      </w:tr>
      <w:tr w:rsidR="00666033" w:rsidRPr="00CA79AD" w14:paraId="3AB60533" w14:textId="77777777" w:rsidTr="00666033">
        <w:trPr>
          <w:trHeight w:val="70"/>
        </w:trPr>
        <w:tc>
          <w:tcPr>
            <w:tcW w:w="2802" w:type="dxa"/>
          </w:tcPr>
          <w:p w14:paraId="6BC2DFC9"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lastRenderedPageBreak/>
              <w:t xml:space="preserve">Členění indikátoru: </w:t>
            </w:r>
          </w:p>
        </w:tc>
        <w:tc>
          <w:tcPr>
            <w:tcW w:w="6486" w:type="dxa"/>
          </w:tcPr>
          <w:p w14:paraId="2E1019AE" w14:textId="77777777" w:rsidR="00666033" w:rsidRPr="00CA79AD" w:rsidRDefault="00666033" w:rsidP="007419C7">
            <w:pPr>
              <w:spacing w:line="276" w:lineRule="auto"/>
              <w:jc w:val="both"/>
              <w:rPr>
                <w:rFonts w:ascii="Arial" w:hAnsi="Arial" w:cs="Arial"/>
                <w:sz w:val="22"/>
                <w:szCs w:val="22"/>
              </w:rPr>
            </w:pPr>
            <w:r w:rsidRPr="00CA79AD">
              <w:rPr>
                <w:rFonts w:ascii="Arial" w:hAnsi="Arial" w:cs="Arial"/>
                <w:sz w:val="22"/>
                <w:szCs w:val="22"/>
              </w:rPr>
              <w:t>-</w:t>
            </w:r>
          </w:p>
        </w:tc>
      </w:tr>
      <w:tr w:rsidR="00666033" w:rsidRPr="00CA79AD" w14:paraId="04919673" w14:textId="77777777" w:rsidTr="00666033">
        <w:trPr>
          <w:trHeight w:val="70"/>
        </w:trPr>
        <w:tc>
          <w:tcPr>
            <w:tcW w:w="2802" w:type="dxa"/>
          </w:tcPr>
          <w:p w14:paraId="73F238F6"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Mezinárodní srovnání:</w:t>
            </w:r>
          </w:p>
        </w:tc>
        <w:tc>
          <w:tcPr>
            <w:tcW w:w="6486" w:type="dxa"/>
          </w:tcPr>
          <w:p w14:paraId="2E80217D" w14:textId="77777777" w:rsidR="00666033" w:rsidRPr="00CA79AD" w:rsidRDefault="00666033" w:rsidP="007419C7">
            <w:pPr>
              <w:spacing w:line="276" w:lineRule="auto"/>
              <w:jc w:val="both"/>
              <w:rPr>
                <w:rFonts w:ascii="Arial" w:hAnsi="Arial" w:cs="Arial"/>
                <w:sz w:val="22"/>
                <w:szCs w:val="22"/>
              </w:rPr>
            </w:pPr>
            <w:r w:rsidRPr="00CA79AD">
              <w:rPr>
                <w:rFonts w:ascii="Arial" w:hAnsi="Arial" w:cs="Arial"/>
                <w:sz w:val="22"/>
                <w:szCs w:val="22"/>
              </w:rPr>
              <w:t>-</w:t>
            </w:r>
          </w:p>
        </w:tc>
      </w:tr>
    </w:tbl>
    <w:p w14:paraId="60456BAE" w14:textId="77777777" w:rsidR="00666033" w:rsidRPr="00833F7B" w:rsidRDefault="00666033" w:rsidP="007419C7">
      <w:pPr>
        <w:pStyle w:val="r2030podcle"/>
        <w:numPr>
          <w:ilvl w:val="1"/>
          <w:numId w:val="17"/>
        </w:numPr>
        <w:ind w:left="567" w:hanging="425"/>
      </w:pPr>
      <w:r w:rsidRPr="00833F7B">
        <w:t>Elektrizační síť zajišťuje distribuci elektrické energie v požadovaném technickém standardu bez ohledu na strukturu zdrojů</w:t>
      </w:r>
    </w:p>
    <w:tbl>
      <w:tblPr>
        <w:tblStyle w:val="Mkatabulky"/>
        <w:tblW w:w="0" w:type="auto"/>
        <w:tblLook w:val="04A0" w:firstRow="1" w:lastRow="0" w:firstColumn="1" w:lastColumn="0" w:noHBand="0" w:noVBand="1"/>
      </w:tblPr>
      <w:tblGrid>
        <w:gridCol w:w="2802"/>
        <w:gridCol w:w="6486"/>
      </w:tblGrid>
      <w:tr w:rsidR="00666033" w:rsidRPr="00CA79AD" w14:paraId="4833919D" w14:textId="77777777" w:rsidTr="00666033">
        <w:tc>
          <w:tcPr>
            <w:tcW w:w="2802" w:type="dxa"/>
          </w:tcPr>
          <w:p w14:paraId="6240CB00"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Název a označení indikátoru: </w:t>
            </w:r>
          </w:p>
        </w:tc>
        <w:tc>
          <w:tcPr>
            <w:tcW w:w="6486" w:type="dxa"/>
          </w:tcPr>
          <w:p w14:paraId="6AB8A234" w14:textId="77777777" w:rsidR="00666033" w:rsidRPr="00C033EE" w:rsidRDefault="00666033" w:rsidP="00C51B65">
            <w:pPr>
              <w:spacing w:line="276" w:lineRule="auto"/>
              <w:rPr>
                <w:rFonts w:ascii="Arial" w:eastAsia="Arial" w:hAnsi="Arial" w:cs="Arial"/>
                <w:b/>
                <w:color w:val="000000"/>
                <w:sz w:val="22"/>
                <w:szCs w:val="22"/>
              </w:rPr>
            </w:pPr>
            <w:r w:rsidRPr="00C033EE">
              <w:rPr>
                <w:rFonts w:ascii="Arial" w:eastAsia="Arial" w:hAnsi="Arial" w:cs="Arial"/>
                <w:b/>
                <w:color w:val="000000"/>
                <w:sz w:val="22"/>
                <w:szCs w:val="22"/>
              </w:rPr>
              <w:t xml:space="preserve">10.3.1 </w:t>
            </w:r>
            <w:r>
              <w:rPr>
                <w:rFonts w:ascii="Arial" w:eastAsia="Arial" w:hAnsi="Arial" w:cs="Arial"/>
                <w:b/>
                <w:color w:val="000000"/>
                <w:sz w:val="22"/>
                <w:szCs w:val="22"/>
              </w:rPr>
              <w:t>Výkonová přiměřenost přenosové soustavy</w:t>
            </w:r>
          </w:p>
        </w:tc>
      </w:tr>
      <w:tr w:rsidR="00666033" w:rsidRPr="00CA79AD" w14:paraId="7170C06C" w14:textId="77777777" w:rsidTr="00666033">
        <w:tc>
          <w:tcPr>
            <w:tcW w:w="2802" w:type="dxa"/>
          </w:tcPr>
          <w:p w14:paraId="7D65FD03"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Stručná definice: </w:t>
            </w:r>
          </w:p>
        </w:tc>
        <w:tc>
          <w:tcPr>
            <w:tcW w:w="6486" w:type="dxa"/>
          </w:tcPr>
          <w:p w14:paraId="4CA85925" w14:textId="77777777" w:rsidR="00666033" w:rsidRPr="00CA79AD" w:rsidRDefault="00666033" w:rsidP="007419C7">
            <w:pPr>
              <w:spacing w:line="276" w:lineRule="auto"/>
              <w:jc w:val="both"/>
              <w:rPr>
                <w:rFonts w:ascii="Arial" w:hAnsi="Arial" w:cs="Arial"/>
                <w:sz w:val="22"/>
                <w:szCs w:val="22"/>
              </w:rPr>
            </w:pPr>
            <w:r w:rsidRPr="00D86986">
              <w:rPr>
                <w:rFonts w:ascii="Arial" w:eastAsia="Arial" w:hAnsi="Arial" w:cs="Arial"/>
                <w:color w:val="000000"/>
                <w:sz w:val="22"/>
                <w:szCs w:val="22"/>
              </w:rPr>
              <w:t>Výsledkem výkonové přiměřenosti je informace, zda je v systému dostatek výko</w:t>
            </w:r>
            <w:r w:rsidR="00AF4003">
              <w:rPr>
                <w:rFonts w:ascii="Arial" w:eastAsia="Arial" w:hAnsi="Arial" w:cs="Arial"/>
                <w:color w:val="000000"/>
                <w:sz w:val="22"/>
                <w:szCs w:val="22"/>
              </w:rPr>
              <w:t>nu k pokrytí očekávané spotřeby</w:t>
            </w:r>
          </w:p>
        </w:tc>
      </w:tr>
      <w:tr w:rsidR="00666033" w:rsidRPr="00CA79AD" w14:paraId="16B2CFA3" w14:textId="77777777" w:rsidTr="00666033">
        <w:tc>
          <w:tcPr>
            <w:tcW w:w="2802" w:type="dxa"/>
          </w:tcPr>
          <w:p w14:paraId="0D92E33A"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Jednotka:</w:t>
            </w:r>
          </w:p>
        </w:tc>
        <w:tc>
          <w:tcPr>
            <w:tcW w:w="6486" w:type="dxa"/>
          </w:tcPr>
          <w:p w14:paraId="5723E270" w14:textId="77777777" w:rsidR="00666033" w:rsidRPr="00CA79AD" w:rsidRDefault="00666033" w:rsidP="007419C7">
            <w:pPr>
              <w:spacing w:line="276" w:lineRule="auto"/>
              <w:jc w:val="both"/>
              <w:rPr>
                <w:rFonts w:ascii="Arial" w:hAnsi="Arial" w:cs="Arial"/>
                <w:sz w:val="22"/>
                <w:szCs w:val="22"/>
              </w:rPr>
            </w:pPr>
            <w:proofErr w:type="spellStart"/>
            <w:r w:rsidRPr="00D86986">
              <w:rPr>
                <w:rFonts w:ascii="Arial" w:hAnsi="Arial" w:cs="Arial"/>
                <w:sz w:val="22"/>
                <w:szCs w:val="22"/>
              </w:rPr>
              <w:t>MWh</w:t>
            </w:r>
            <w:proofErr w:type="spellEnd"/>
            <w:r w:rsidRPr="00D86986">
              <w:rPr>
                <w:rFonts w:ascii="Arial" w:hAnsi="Arial" w:cs="Arial"/>
                <w:sz w:val="22"/>
                <w:szCs w:val="22"/>
              </w:rPr>
              <w:t>/rok (1); hod/rok (2); % (3)</w:t>
            </w:r>
          </w:p>
        </w:tc>
      </w:tr>
      <w:tr w:rsidR="00666033" w:rsidRPr="00CA79AD" w14:paraId="6B3D45F1" w14:textId="77777777" w:rsidTr="00666033">
        <w:tc>
          <w:tcPr>
            <w:tcW w:w="2802" w:type="dxa"/>
          </w:tcPr>
          <w:p w14:paraId="64D457BC"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Gestor: </w:t>
            </w:r>
          </w:p>
        </w:tc>
        <w:tc>
          <w:tcPr>
            <w:tcW w:w="6486" w:type="dxa"/>
          </w:tcPr>
          <w:p w14:paraId="4136B7FD" w14:textId="7014DE41" w:rsidR="00666033" w:rsidRPr="00CA79AD" w:rsidRDefault="00E24809" w:rsidP="007419C7">
            <w:pPr>
              <w:spacing w:line="276" w:lineRule="auto"/>
              <w:jc w:val="both"/>
              <w:rPr>
                <w:rFonts w:ascii="Arial" w:hAnsi="Arial" w:cs="Arial"/>
                <w:sz w:val="22"/>
                <w:szCs w:val="22"/>
              </w:rPr>
            </w:pPr>
            <w:r w:rsidRPr="00E24809">
              <w:rPr>
                <w:rFonts w:ascii="Arial" w:hAnsi="Arial" w:cs="Arial"/>
                <w:sz w:val="22"/>
                <w:szCs w:val="22"/>
              </w:rPr>
              <w:t>Česká energetická přenosová soustava</w:t>
            </w:r>
            <w:r>
              <w:rPr>
                <w:rFonts w:ascii="Arial" w:hAnsi="Arial" w:cs="Arial"/>
                <w:sz w:val="22"/>
                <w:szCs w:val="22"/>
              </w:rPr>
              <w:t xml:space="preserve"> (ČEPS)</w:t>
            </w:r>
          </w:p>
        </w:tc>
      </w:tr>
      <w:tr w:rsidR="00666033" w:rsidRPr="00CA79AD" w14:paraId="3C49488F" w14:textId="77777777" w:rsidTr="00666033">
        <w:tc>
          <w:tcPr>
            <w:tcW w:w="2802" w:type="dxa"/>
          </w:tcPr>
          <w:p w14:paraId="28B11102"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Význam indikátoru: </w:t>
            </w:r>
          </w:p>
        </w:tc>
        <w:tc>
          <w:tcPr>
            <w:tcW w:w="6486" w:type="dxa"/>
          </w:tcPr>
          <w:p w14:paraId="2BE64747" w14:textId="77777777" w:rsidR="00666033" w:rsidRPr="00CA79AD" w:rsidRDefault="00833F7B" w:rsidP="007419C7">
            <w:pPr>
              <w:spacing w:line="276" w:lineRule="auto"/>
              <w:jc w:val="both"/>
              <w:rPr>
                <w:rFonts w:ascii="Arial" w:hAnsi="Arial" w:cs="Arial"/>
                <w:sz w:val="22"/>
                <w:szCs w:val="22"/>
              </w:rPr>
            </w:pPr>
            <w:r>
              <w:rPr>
                <w:rFonts w:ascii="Arial" w:hAnsi="Arial" w:cs="Arial"/>
                <w:sz w:val="22"/>
                <w:szCs w:val="22"/>
              </w:rPr>
              <w:t>Výkonová</w:t>
            </w:r>
            <w:r w:rsidR="00666033" w:rsidRPr="00D86986">
              <w:rPr>
                <w:rFonts w:ascii="Arial" w:hAnsi="Arial" w:cs="Arial"/>
                <w:sz w:val="22"/>
                <w:szCs w:val="22"/>
              </w:rPr>
              <w:t xml:space="preserve"> přiměřenost ukazuje schopnost ES plnit svou hlavní funkci, tedy přenášet a distribuovat elektřinu mezi zdroji a spotřebiteli, a to právě s ohledem na měnící se strukturu energetické bilance.</w:t>
            </w:r>
          </w:p>
        </w:tc>
      </w:tr>
      <w:tr w:rsidR="00666033" w:rsidRPr="00CA79AD" w14:paraId="3693E690" w14:textId="77777777" w:rsidTr="00666033">
        <w:tc>
          <w:tcPr>
            <w:tcW w:w="2802" w:type="dxa"/>
          </w:tcPr>
          <w:p w14:paraId="627160A7"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Časová řada: </w:t>
            </w:r>
          </w:p>
        </w:tc>
        <w:tc>
          <w:tcPr>
            <w:tcW w:w="6486" w:type="dxa"/>
          </w:tcPr>
          <w:p w14:paraId="3295C42E" w14:textId="77777777" w:rsidR="00666033" w:rsidRPr="00CA79AD" w:rsidRDefault="00666033" w:rsidP="007419C7">
            <w:pPr>
              <w:spacing w:line="276" w:lineRule="auto"/>
              <w:jc w:val="both"/>
              <w:rPr>
                <w:rFonts w:ascii="Arial" w:hAnsi="Arial" w:cs="Arial"/>
                <w:sz w:val="22"/>
                <w:szCs w:val="22"/>
              </w:rPr>
            </w:pPr>
            <w:r>
              <w:rPr>
                <w:rFonts w:ascii="Arial" w:hAnsi="Arial" w:cs="Arial"/>
                <w:sz w:val="22"/>
                <w:szCs w:val="22"/>
              </w:rPr>
              <w:t xml:space="preserve">Od </w:t>
            </w:r>
            <w:r w:rsidR="00833F7B">
              <w:rPr>
                <w:rFonts w:ascii="Arial" w:hAnsi="Arial" w:cs="Arial"/>
                <w:sz w:val="22"/>
                <w:szCs w:val="22"/>
              </w:rPr>
              <w:t xml:space="preserve">roku </w:t>
            </w:r>
            <w:r>
              <w:rPr>
                <w:rFonts w:ascii="Arial" w:hAnsi="Arial" w:cs="Arial"/>
                <w:sz w:val="22"/>
                <w:szCs w:val="22"/>
              </w:rPr>
              <w:t>2012</w:t>
            </w:r>
          </w:p>
        </w:tc>
      </w:tr>
      <w:tr w:rsidR="00666033" w:rsidRPr="00CA79AD" w14:paraId="7313FFE9" w14:textId="77777777" w:rsidTr="00666033">
        <w:tc>
          <w:tcPr>
            <w:tcW w:w="2802" w:type="dxa"/>
          </w:tcPr>
          <w:p w14:paraId="6300F196"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Frekvence výstupu: </w:t>
            </w:r>
          </w:p>
        </w:tc>
        <w:tc>
          <w:tcPr>
            <w:tcW w:w="6486" w:type="dxa"/>
          </w:tcPr>
          <w:p w14:paraId="3640E813" w14:textId="77777777" w:rsidR="00666033" w:rsidRPr="00CA79AD" w:rsidRDefault="000C72E9" w:rsidP="007419C7">
            <w:pPr>
              <w:spacing w:line="276" w:lineRule="auto"/>
              <w:jc w:val="both"/>
              <w:rPr>
                <w:rFonts w:ascii="Arial" w:hAnsi="Arial" w:cs="Arial"/>
                <w:sz w:val="22"/>
                <w:szCs w:val="22"/>
              </w:rPr>
            </w:pPr>
            <w:r>
              <w:rPr>
                <w:rFonts w:ascii="Arial" w:hAnsi="Arial" w:cs="Arial"/>
                <w:sz w:val="22"/>
                <w:szCs w:val="22"/>
              </w:rPr>
              <w:t>Ročně</w:t>
            </w:r>
          </w:p>
        </w:tc>
      </w:tr>
      <w:tr w:rsidR="00666033" w:rsidRPr="00CA79AD" w14:paraId="27A40F2D" w14:textId="77777777" w:rsidTr="00666033">
        <w:trPr>
          <w:trHeight w:val="70"/>
        </w:trPr>
        <w:tc>
          <w:tcPr>
            <w:tcW w:w="2802" w:type="dxa"/>
          </w:tcPr>
          <w:p w14:paraId="614D73C5"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Členění indikátoru: </w:t>
            </w:r>
          </w:p>
        </w:tc>
        <w:tc>
          <w:tcPr>
            <w:tcW w:w="6486" w:type="dxa"/>
          </w:tcPr>
          <w:p w14:paraId="735F3C95" w14:textId="77777777" w:rsidR="00666033" w:rsidRPr="00CA79AD" w:rsidRDefault="00666033" w:rsidP="007419C7">
            <w:pPr>
              <w:spacing w:line="276" w:lineRule="auto"/>
              <w:jc w:val="both"/>
              <w:rPr>
                <w:rFonts w:ascii="Arial" w:hAnsi="Arial" w:cs="Arial"/>
                <w:sz w:val="22"/>
                <w:szCs w:val="22"/>
              </w:rPr>
            </w:pPr>
            <w:r w:rsidRPr="00D86986">
              <w:rPr>
                <w:rFonts w:ascii="Arial" w:hAnsi="Arial" w:cs="Arial"/>
                <w:sz w:val="22"/>
                <w:szCs w:val="22"/>
              </w:rPr>
              <w:t>Přebytek</w:t>
            </w:r>
            <w:r w:rsidR="0015417B">
              <w:rPr>
                <w:rFonts w:ascii="Arial" w:hAnsi="Arial" w:cs="Arial"/>
                <w:sz w:val="22"/>
                <w:szCs w:val="22"/>
              </w:rPr>
              <w:t>,</w:t>
            </w:r>
            <w:r w:rsidRPr="00D86986">
              <w:rPr>
                <w:rFonts w:ascii="Arial" w:hAnsi="Arial" w:cs="Arial"/>
                <w:sz w:val="22"/>
                <w:szCs w:val="22"/>
              </w:rPr>
              <w:t xml:space="preserve"> respektive nedostatek výkonu v soustavě definují ukazatele: (1) Nedodaná energie; (2) počet hodin, kdy není pokryté zatížení a (3) pravděpodobnost nepokrytí zatížení.</w:t>
            </w:r>
          </w:p>
        </w:tc>
      </w:tr>
      <w:tr w:rsidR="00666033" w:rsidRPr="00CA79AD" w14:paraId="60FC5A9B" w14:textId="77777777" w:rsidTr="00666033">
        <w:trPr>
          <w:trHeight w:val="70"/>
        </w:trPr>
        <w:tc>
          <w:tcPr>
            <w:tcW w:w="2802" w:type="dxa"/>
          </w:tcPr>
          <w:p w14:paraId="5BE6EC51"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Mezinárodní srovnání:</w:t>
            </w:r>
          </w:p>
        </w:tc>
        <w:tc>
          <w:tcPr>
            <w:tcW w:w="6486" w:type="dxa"/>
          </w:tcPr>
          <w:p w14:paraId="4504B764" w14:textId="77777777" w:rsidR="00666033" w:rsidRPr="00CA79AD" w:rsidRDefault="00666033" w:rsidP="007419C7">
            <w:pPr>
              <w:spacing w:line="276" w:lineRule="auto"/>
              <w:jc w:val="both"/>
              <w:rPr>
                <w:rFonts w:ascii="Arial" w:hAnsi="Arial" w:cs="Arial"/>
                <w:sz w:val="22"/>
                <w:szCs w:val="22"/>
              </w:rPr>
            </w:pPr>
            <w:r>
              <w:rPr>
                <w:rFonts w:ascii="Arial" w:hAnsi="Arial" w:cs="Arial"/>
                <w:sz w:val="22"/>
                <w:szCs w:val="22"/>
              </w:rPr>
              <w:t>Členské státy EU</w:t>
            </w:r>
          </w:p>
        </w:tc>
      </w:tr>
    </w:tbl>
    <w:p w14:paraId="1A0F3EE4" w14:textId="77777777" w:rsidR="00BA0F9E" w:rsidRDefault="00BA0F9E" w:rsidP="007419C7">
      <w:pPr>
        <w:pStyle w:val="r2030podcle"/>
        <w:numPr>
          <w:ilvl w:val="1"/>
          <w:numId w:val="17"/>
        </w:numPr>
        <w:ind w:left="567" w:hanging="425"/>
      </w:pPr>
      <w:r w:rsidRPr="00BA0F9E">
        <w:t>Soustavy zásobování tepelnou energií vytvářejí podmínky pro efektivní využití tepla z obnovitelných a druhotných zdrojů energie dostupných na regionální a místní úrovni</w:t>
      </w:r>
    </w:p>
    <w:tbl>
      <w:tblPr>
        <w:tblStyle w:val="Mkatabulky"/>
        <w:tblW w:w="0" w:type="auto"/>
        <w:tblLook w:val="04A0" w:firstRow="1" w:lastRow="0" w:firstColumn="1" w:lastColumn="0" w:noHBand="0" w:noVBand="1"/>
      </w:tblPr>
      <w:tblGrid>
        <w:gridCol w:w="2802"/>
        <w:gridCol w:w="6486"/>
      </w:tblGrid>
      <w:tr w:rsidR="00BA0F9E" w:rsidRPr="00BA0F9E" w14:paraId="13733349" w14:textId="77777777" w:rsidTr="003378C0">
        <w:tc>
          <w:tcPr>
            <w:tcW w:w="2802" w:type="dxa"/>
          </w:tcPr>
          <w:p w14:paraId="3A021F9C" w14:textId="77777777" w:rsidR="00BA0F9E" w:rsidRPr="00BA0F9E" w:rsidRDefault="00BA0F9E" w:rsidP="003378C0">
            <w:pPr>
              <w:rPr>
                <w:rFonts w:ascii="Arial" w:hAnsi="Arial" w:cs="Arial"/>
                <w:sz w:val="22"/>
              </w:rPr>
            </w:pPr>
            <w:r w:rsidRPr="00BA0F9E">
              <w:rPr>
                <w:rFonts w:ascii="Arial" w:hAnsi="Arial" w:cs="Arial"/>
                <w:sz w:val="22"/>
              </w:rPr>
              <w:t>Název a označení indikátoru:</w:t>
            </w:r>
          </w:p>
        </w:tc>
        <w:tc>
          <w:tcPr>
            <w:tcW w:w="6486" w:type="dxa"/>
          </w:tcPr>
          <w:p w14:paraId="7E83702C" w14:textId="77777777" w:rsidR="00BA0F9E" w:rsidRPr="00BA0F9E" w:rsidRDefault="00BA0F9E" w:rsidP="00003B31">
            <w:pPr>
              <w:spacing w:after="240"/>
              <w:rPr>
                <w:rFonts w:ascii="Arial" w:hAnsi="Arial" w:cs="Arial"/>
                <w:b/>
                <w:sz w:val="22"/>
              </w:rPr>
            </w:pPr>
            <w:r w:rsidRPr="00BA0F9E">
              <w:rPr>
                <w:rFonts w:ascii="Arial" w:hAnsi="Arial" w:cs="Arial"/>
                <w:b/>
                <w:sz w:val="22"/>
              </w:rPr>
              <w:t>10.4.1 Počet účinných soustav zásobování tepelnou energií</w:t>
            </w:r>
          </w:p>
        </w:tc>
      </w:tr>
      <w:tr w:rsidR="00BA0F9E" w:rsidRPr="00BA0F9E" w14:paraId="6F37BBF7" w14:textId="77777777" w:rsidTr="003378C0">
        <w:tc>
          <w:tcPr>
            <w:tcW w:w="2802" w:type="dxa"/>
          </w:tcPr>
          <w:p w14:paraId="45832F31" w14:textId="77777777" w:rsidR="00BA0F9E" w:rsidRPr="00BA0F9E" w:rsidRDefault="00BA0F9E" w:rsidP="00003B31">
            <w:pPr>
              <w:spacing w:after="240"/>
              <w:rPr>
                <w:rFonts w:ascii="Arial" w:hAnsi="Arial" w:cs="Arial"/>
                <w:sz w:val="22"/>
              </w:rPr>
            </w:pPr>
            <w:r w:rsidRPr="00BA0F9E">
              <w:rPr>
                <w:rFonts w:ascii="Arial" w:hAnsi="Arial" w:cs="Arial"/>
                <w:sz w:val="22"/>
              </w:rPr>
              <w:t>Stručná definice:</w:t>
            </w:r>
          </w:p>
        </w:tc>
        <w:tc>
          <w:tcPr>
            <w:tcW w:w="6486" w:type="dxa"/>
          </w:tcPr>
          <w:p w14:paraId="54B64311" w14:textId="77777777" w:rsidR="00BA0F9E" w:rsidRPr="00BA0F9E" w:rsidRDefault="00BA0F9E" w:rsidP="007419C7">
            <w:pPr>
              <w:jc w:val="both"/>
              <w:rPr>
                <w:rFonts w:ascii="Arial" w:hAnsi="Arial" w:cs="Arial"/>
                <w:sz w:val="22"/>
              </w:rPr>
            </w:pPr>
            <w:r w:rsidRPr="00BA0F9E">
              <w:rPr>
                <w:rFonts w:ascii="Arial" w:hAnsi="Arial" w:cs="Arial"/>
                <w:sz w:val="22"/>
              </w:rPr>
              <w:t>Účinnou soustavou zásobování tepelnou energií je soustava splňující podmínky uvedené v § 2 písm. v) zákona č. 165/2012 Sb. ve znění pozdějších předpisů (</w:t>
            </w:r>
            <w:r w:rsidRPr="00BA0F9E">
              <w:rPr>
                <w:rFonts w:ascii="Arial" w:hAnsi="Arial" w:cs="Arial"/>
                <w:color w:val="000000"/>
                <w:sz w:val="22"/>
              </w:rPr>
              <w:t>50 % tepla z obnovitelných zdrojů, 50 % tepla z druhotných zdrojů, 75 % tepla z kombinované výroby tepla a elektřiny nebo 50 % tepla z kombinace uvedených možností</w:t>
            </w:r>
            <w:r w:rsidRPr="00BA0F9E">
              <w:rPr>
                <w:rFonts w:ascii="Arial" w:hAnsi="Arial" w:cs="Arial"/>
                <w:sz w:val="22"/>
              </w:rPr>
              <w:t>), definice vychází ze směrnice 2012/27/EU</w:t>
            </w:r>
          </w:p>
        </w:tc>
      </w:tr>
      <w:tr w:rsidR="00BA0F9E" w:rsidRPr="00BA0F9E" w14:paraId="5A0EA9D7" w14:textId="77777777" w:rsidTr="003378C0">
        <w:tc>
          <w:tcPr>
            <w:tcW w:w="2802" w:type="dxa"/>
          </w:tcPr>
          <w:p w14:paraId="4832D5EF" w14:textId="77777777" w:rsidR="00BA0F9E" w:rsidRPr="00BA0F9E" w:rsidRDefault="00BA0F9E" w:rsidP="003378C0">
            <w:pPr>
              <w:rPr>
                <w:rFonts w:ascii="Arial" w:hAnsi="Arial" w:cs="Arial"/>
                <w:sz w:val="22"/>
              </w:rPr>
            </w:pPr>
            <w:r w:rsidRPr="00BA0F9E">
              <w:rPr>
                <w:rFonts w:ascii="Arial" w:hAnsi="Arial" w:cs="Arial"/>
                <w:sz w:val="22"/>
              </w:rPr>
              <w:t>Jednotka:</w:t>
            </w:r>
          </w:p>
        </w:tc>
        <w:tc>
          <w:tcPr>
            <w:tcW w:w="6486" w:type="dxa"/>
          </w:tcPr>
          <w:p w14:paraId="61461E8B" w14:textId="348833CB" w:rsidR="00BA0F9E" w:rsidRPr="00BA0F9E" w:rsidRDefault="00E24809" w:rsidP="007419C7">
            <w:pPr>
              <w:jc w:val="both"/>
              <w:rPr>
                <w:rFonts w:ascii="Arial" w:hAnsi="Arial" w:cs="Arial"/>
                <w:sz w:val="22"/>
              </w:rPr>
            </w:pPr>
            <w:r>
              <w:rPr>
                <w:rFonts w:ascii="Arial" w:hAnsi="Arial" w:cs="Arial"/>
                <w:sz w:val="22"/>
              </w:rPr>
              <w:t>P</w:t>
            </w:r>
            <w:r w:rsidR="00BA0F9E" w:rsidRPr="00BA0F9E">
              <w:rPr>
                <w:rFonts w:ascii="Arial" w:hAnsi="Arial" w:cs="Arial"/>
                <w:sz w:val="22"/>
              </w:rPr>
              <w:t>očet (bezrozměrné číslo)</w:t>
            </w:r>
          </w:p>
        </w:tc>
      </w:tr>
      <w:tr w:rsidR="00BA0F9E" w:rsidRPr="00BA0F9E" w14:paraId="79C93B78" w14:textId="77777777" w:rsidTr="003378C0">
        <w:tc>
          <w:tcPr>
            <w:tcW w:w="2802" w:type="dxa"/>
          </w:tcPr>
          <w:p w14:paraId="7F9673CB" w14:textId="77777777" w:rsidR="00BA0F9E" w:rsidRPr="00BA0F9E" w:rsidRDefault="00BA0F9E" w:rsidP="003378C0">
            <w:pPr>
              <w:rPr>
                <w:rFonts w:ascii="Arial" w:hAnsi="Arial" w:cs="Arial"/>
                <w:sz w:val="22"/>
              </w:rPr>
            </w:pPr>
            <w:r w:rsidRPr="00BA0F9E">
              <w:rPr>
                <w:rFonts w:ascii="Arial" w:hAnsi="Arial" w:cs="Arial"/>
                <w:sz w:val="22"/>
              </w:rPr>
              <w:t>Gestor:</w:t>
            </w:r>
          </w:p>
        </w:tc>
        <w:tc>
          <w:tcPr>
            <w:tcW w:w="6486" w:type="dxa"/>
          </w:tcPr>
          <w:p w14:paraId="49E53904" w14:textId="0F4472C0" w:rsidR="00BA0F9E" w:rsidRPr="00BA0F9E" w:rsidRDefault="00E24809" w:rsidP="007419C7">
            <w:pPr>
              <w:jc w:val="both"/>
              <w:rPr>
                <w:rFonts w:ascii="Arial" w:hAnsi="Arial" w:cs="Arial"/>
                <w:sz w:val="22"/>
              </w:rPr>
            </w:pPr>
            <w:r w:rsidRPr="00E24809">
              <w:rPr>
                <w:rFonts w:ascii="Arial" w:hAnsi="Arial" w:cs="Arial"/>
                <w:sz w:val="22"/>
              </w:rPr>
              <w:t>Energetický regulační úřad</w:t>
            </w:r>
          </w:p>
        </w:tc>
      </w:tr>
      <w:tr w:rsidR="00BA0F9E" w:rsidRPr="00BA0F9E" w14:paraId="64B6D0F9" w14:textId="77777777" w:rsidTr="003378C0">
        <w:tc>
          <w:tcPr>
            <w:tcW w:w="2802" w:type="dxa"/>
          </w:tcPr>
          <w:p w14:paraId="37FB75D0" w14:textId="77777777" w:rsidR="00BA0F9E" w:rsidRPr="00BA0F9E" w:rsidRDefault="00BA0F9E" w:rsidP="00003B31">
            <w:pPr>
              <w:spacing w:after="240"/>
              <w:rPr>
                <w:rFonts w:ascii="Arial" w:hAnsi="Arial" w:cs="Arial"/>
                <w:sz w:val="22"/>
              </w:rPr>
            </w:pPr>
            <w:r w:rsidRPr="00BA0F9E">
              <w:rPr>
                <w:rFonts w:ascii="Arial" w:hAnsi="Arial" w:cs="Arial"/>
                <w:sz w:val="22"/>
              </w:rPr>
              <w:t>Význam indikátoru:</w:t>
            </w:r>
          </w:p>
        </w:tc>
        <w:tc>
          <w:tcPr>
            <w:tcW w:w="6486" w:type="dxa"/>
          </w:tcPr>
          <w:p w14:paraId="44E372C5" w14:textId="77777777" w:rsidR="00BA0F9E" w:rsidRPr="00BA0F9E" w:rsidRDefault="00BA0F9E" w:rsidP="007419C7">
            <w:pPr>
              <w:jc w:val="both"/>
              <w:rPr>
                <w:rFonts w:ascii="Arial" w:hAnsi="Arial" w:cs="Arial"/>
                <w:sz w:val="22"/>
              </w:rPr>
            </w:pPr>
            <w:r w:rsidRPr="00BA0F9E">
              <w:rPr>
                <w:rFonts w:ascii="Arial" w:hAnsi="Arial" w:cs="Arial"/>
                <w:sz w:val="22"/>
              </w:rPr>
              <w:t>Počet soustav zásobování tepelnou energií, které v uplynulém roce splnily podmínky definice účinné soustavy zásobování tepelnou energií podle § 2 písm. v) zákona č. 165/2012 Sb. a významně tak přispívají k využití místně dostupných obnovitelných a druhotných zdrojů energie a tepla z kombinované výroby elektřiny a tepla.</w:t>
            </w:r>
          </w:p>
        </w:tc>
      </w:tr>
      <w:tr w:rsidR="00BA0F9E" w:rsidRPr="00BA0F9E" w14:paraId="48EC0F1C" w14:textId="77777777" w:rsidTr="003378C0">
        <w:tc>
          <w:tcPr>
            <w:tcW w:w="2802" w:type="dxa"/>
          </w:tcPr>
          <w:p w14:paraId="547BBF64" w14:textId="77777777" w:rsidR="00BA0F9E" w:rsidRPr="00BA0F9E" w:rsidRDefault="00BA0F9E" w:rsidP="003378C0">
            <w:pPr>
              <w:rPr>
                <w:rFonts w:ascii="Arial" w:hAnsi="Arial" w:cs="Arial"/>
                <w:sz w:val="22"/>
              </w:rPr>
            </w:pPr>
            <w:r w:rsidRPr="00BA0F9E">
              <w:rPr>
                <w:rFonts w:ascii="Arial" w:hAnsi="Arial" w:cs="Arial"/>
                <w:sz w:val="22"/>
              </w:rPr>
              <w:t>Časová řada:</w:t>
            </w:r>
          </w:p>
        </w:tc>
        <w:tc>
          <w:tcPr>
            <w:tcW w:w="6486" w:type="dxa"/>
          </w:tcPr>
          <w:p w14:paraId="2A6A3E7D" w14:textId="77777777" w:rsidR="00BA0F9E" w:rsidRPr="00BA0F9E" w:rsidRDefault="00BA0F9E" w:rsidP="007419C7">
            <w:pPr>
              <w:jc w:val="both"/>
              <w:rPr>
                <w:rFonts w:ascii="Arial" w:hAnsi="Arial" w:cs="Arial"/>
                <w:sz w:val="22"/>
              </w:rPr>
            </w:pPr>
            <w:r w:rsidRPr="00BA0F9E">
              <w:rPr>
                <w:rFonts w:ascii="Arial" w:hAnsi="Arial" w:cs="Arial"/>
                <w:sz w:val="22"/>
              </w:rPr>
              <w:t>Od roku 2016</w:t>
            </w:r>
          </w:p>
        </w:tc>
      </w:tr>
      <w:tr w:rsidR="00BA0F9E" w:rsidRPr="00BA0F9E" w14:paraId="17890301" w14:textId="77777777" w:rsidTr="003378C0">
        <w:tc>
          <w:tcPr>
            <w:tcW w:w="2802" w:type="dxa"/>
          </w:tcPr>
          <w:p w14:paraId="230C8CE0" w14:textId="77777777" w:rsidR="00BA0F9E" w:rsidRPr="00BA0F9E" w:rsidRDefault="00BA0F9E" w:rsidP="003378C0">
            <w:pPr>
              <w:rPr>
                <w:rFonts w:ascii="Arial" w:hAnsi="Arial" w:cs="Arial"/>
                <w:sz w:val="22"/>
              </w:rPr>
            </w:pPr>
            <w:r w:rsidRPr="00BA0F9E">
              <w:rPr>
                <w:rFonts w:ascii="Arial" w:hAnsi="Arial" w:cs="Arial"/>
                <w:sz w:val="22"/>
              </w:rPr>
              <w:t>Frekvence výstupu:</w:t>
            </w:r>
          </w:p>
        </w:tc>
        <w:tc>
          <w:tcPr>
            <w:tcW w:w="6486" w:type="dxa"/>
          </w:tcPr>
          <w:p w14:paraId="33852FD6" w14:textId="77777777" w:rsidR="00BA0F9E" w:rsidRPr="00BA0F9E" w:rsidRDefault="00BA0F9E" w:rsidP="007419C7">
            <w:pPr>
              <w:jc w:val="both"/>
              <w:rPr>
                <w:rFonts w:ascii="Arial" w:hAnsi="Arial" w:cs="Arial"/>
                <w:sz w:val="22"/>
              </w:rPr>
            </w:pPr>
            <w:r w:rsidRPr="00BA0F9E">
              <w:rPr>
                <w:rFonts w:ascii="Arial" w:hAnsi="Arial" w:cs="Arial"/>
                <w:sz w:val="22"/>
              </w:rPr>
              <w:t>Ročně</w:t>
            </w:r>
          </w:p>
        </w:tc>
      </w:tr>
      <w:tr w:rsidR="00BA0F9E" w:rsidRPr="00BA0F9E" w14:paraId="66241879" w14:textId="77777777" w:rsidTr="003378C0">
        <w:tc>
          <w:tcPr>
            <w:tcW w:w="2802" w:type="dxa"/>
          </w:tcPr>
          <w:p w14:paraId="7E45042B" w14:textId="77777777" w:rsidR="00BA0F9E" w:rsidRPr="00BA0F9E" w:rsidRDefault="00BA0F9E" w:rsidP="003378C0">
            <w:pPr>
              <w:rPr>
                <w:rFonts w:ascii="Arial" w:hAnsi="Arial" w:cs="Arial"/>
                <w:sz w:val="22"/>
              </w:rPr>
            </w:pPr>
            <w:r w:rsidRPr="00BA0F9E">
              <w:rPr>
                <w:rFonts w:ascii="Arial" w:hAnsi="Arial" w:cs="Arial"/>
                <w:sz w:val="22"/>
              </w:rPr>
              <w:t>Členění indikátoru:</w:t>
            </w:r>
          </w:p>
        </w:tc>
        <w:tc>
          <w:tcPr>
            <w:tcW w:w="6486" w:type="dxa"/>
          </w:tcPr>
          <w:p w14:paraId="38BDD869" w14:textId="77777777" w:rsidR="00BA0F9E" w:rsidRPr="00BA0F9E" w:rsidRDefault="00BA0F9E" w:rsidP="007419C7">
            <w:pPr>
              <w:jc w:val="both"/>
              <w:rPr>
                <w:rFonts w:ascii="Arial" w:hAnsi="Arial" w:cs="Arial"/>
                <w:sz w:val="22"/>
              </w:rPr>
            </w:pPr>
            <w:r w:rsidRPr="00BA0F9E">
              <w:rPr>
                <w:rFonts w:ascii="Arial" w:hAnsi="Arial" w:cs="Arial"/>
                <w:sz w:val="22"/>
              </w:rPr>
              <w:t>Region</w:t>
            </w:r>
          </w:p>
        </w:tc>
      </w:tr>
      <w:tr w:rsidR="00BA0F9E" w:rsidRPr="00BA0F9E" w14:paraId="243E3DE9" w14:textId="77777777" w:rsidTr="003378C0">
        <w:tc>
          <w:tcPr>
            <w:tcW w:w="2802" w:type="dxa"/>
          </w:tcPr>
          <w:p w14:paraId="11CBBC1E" w14:textId="77777777" w:rsidR="00BA0F9E" w:rsidRPr="00BA0F9E" w:rsidRDefault="00BA0F9E" w:rsidP="003378C0">
            <w:pPr>
              <w:rPr>
                <w:rFonts w:ascii="Arial" w:hAnsi="Arial" w:cs="Arial"/>
                <w:sz w:val="22"/>
              </w:rPr>
            </w:pPr>
            <w:r w:rsidRPr="00BA0F9E">
              <w:rPr>
                <w:rFonts w:ascii="Arial" w:hAnsi="Arial" w:cs="Arial"/>
                <w:sz w:val="22"/>
              </w:rPr>
              <w:t>Mezinárodní srovnání:</w:t>
            </w:r>
          </w:p>
        </w:tc>
        <w:tc>
          <w:tcPr>
            <w:tcW w:w="6486" w:type="dxa"/>
          </w:tcPr>
          <w:p w14:paraId="4FFC7C6D" w14:textId="77777777" w:rsidR="00BA0F9E" w:rsidRPr="00BA0F9E" w:rsidRDefault="00BA0F9E" w:rsidP="007419C7">
            <w:pPr>
              <w:jc w:val="both"/>
              <w:rPr>
                <w:rFonts w:ascii="Arial" w:hAnsi="Arial" w:cs="Arial"/>
                <w:sz w:val="22"/>
              </w:rPr>
            </w:pPr>
            <w:r w:rsidRPr="00BA0F9E">
              <w:rPr>
                <w:rFonts w:ascii="Arial" w:hAnsi="Arial" w:cs="Arial"/>
                <w:sz w:val="22"/>
              </w:rPr>
              <w:t>Členské státy EU</w:t>
            </w:r>
          </w:p>
        </w:tc>
      </w:tr>
    </w:tbl>
    <w:p w14:paraId="4C2CDFFF" w14:textId="77777777" w:rsidR="00666033" w:rsidRPr="003247D0" w:rsidRDefault="00666033" w:rsidP="007419C7">
      <w:pPr>
        <w:pStyle w:val="r2030podcle"/>
        <w:numPr>
          <w:ilvl w:val="1"/>
          <w:numId w:val="17"/>
        </w:numPr>
        <w:ind w:left="567" w:hanging="425"/>
      </w:pPr>
      <w:r w:rsidRPr="003247D0">
        <w:lastRenderedPageBreak/>
        <w:t>Zvyšuje se dostupnost vysokorychlostního internetu</w:t>
      </w:r>
    </w:p>
    <w:tbl>
      <w:tblPr>
        <w:tblStyle w:val="Mkatabulky"/>
        <w:tblW w:w="0" w:type="auto"/>
        <w:tblLook w:val="04A0" w:firstRow="1" w:lastRow="0" w:firstColumn="1" w:lastColumn="0" w:noHBand="0" w:noVBand="1"/>
      </w:tblPr>
      <w:tblGrid>
        <w:gridCol w:w="2802"/>
        <w:gridCol w:w="6486"/>
      </w:tblGrid>
      <w:tr w:rsidR="00666033" w:rsidRPr="00CA79AD" w14:paraId="5904E072" w14:textId="77777777" w:rsidTr="00666033">
        <w:tc>
          <w:tcPr>
            <w:tcW w:w="2802" w:type="dxa"/>
          </w:tcPr>
          <w:p w14:paraId="709A24DB"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Název a označení indikátoru: </w:t>
            </w:r>
          </w:p>
        </w:tc>
        <w:tc>
          <w:tcPr>
            <w:tcW w:w="6486" w:type="dxa"/>
          </w:tcPr>
          <w:p w14:paraId="6484E2FD" w14:textId="41C8BF51" w:rsidR="00666033" w:rsidRPr="00C033EE" w:rsidRDefault="00BA0F9E" w:rsidP="00C51B65">
            <w:pPr>
              <w:spacing w:line="276" w:lineRule="auto"/>
              <w:rPr>
                <w:rFonts w:ascii="Arial" w:hAnsi="Arial" w:cs="Arial"/>
                <w:b/>
                <w:sz w:val="22"/>
                <w:szCs w:val="22"/>
              </w:rPr>
            </w:pPr>
            <w:r>
              <w:rPr>
                <w:rFonts w:ascii="Arial" w:hAnsi="Arial" w:cs="Arial"/>
                <w:b/>
                <w:sz w:val="22"/>
                <w:szCs w:val="22"/>
              </w:rPr>
              <w:t>10.5</w:t>
            </w:r>
            <w:r w:rsidR="00666033" w:rsidRPr="00C033EE">
              <w:rPr>
                <w:rFonts w:ascii="Arial" w:hAnsi="Arial" w:cs="Arial"/>
                <w:b/>
                <w:sz w:val="22"/>
                <w:szCs w:val="22"/>
              </w:rPr>
              <w:t>.1 Přístup obyvatel ČR k internetu</w:t>
            </w:r>
          </w:p>
        </w:tc>
      </w:tr>
      <w:tr w:rsidR="00666033" w:rsidRPr="00CA79AD" w14:paraId="4923E1BB" w14:textId="77777777" w:rsidTr="00666033">
        <w:tc>
          <w:tcPr>
            <w:tcW w:w="2802" w:type="dxa"/>
          </w:tcPr>
          <w:p w14:paraId="2B235BC5"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Stručná definice: </w:t>
            </w:r>
          </w:p>
        </w:tc>
        <w:tc>
          <w:tcPr>
            <w:tcW w:w="6486" w:type="dxa"/>
          </w:tcPr>
          <w:p w14:paraId="1C7ED7A7" w14:textId="2BB345E4" w:rsidR="00666033" w:rsidRPr="00CA79AD" w:rsidRDefault="00F0194D" w:rsidP="007419C7">
            <w:pPr>
              <w:spacing w:line="276" w:lineRule="auto"/>
              <w:jc w:val="both"/>
              <w:rPr>
                <w:rFonts w:ascii="Arial" w:hAnsi="Arial" w:cs="Arial"/>
                <w:sz w:val="22"/>
                <w:szCs w:val="22"/>
              </w:rPr>
            </w:pPr>
            <w:r w:rsidRPr="00F0194D">
              <w:rPr>
                <w:rFonts w:ascii="Arial" w:hAnsi="Arial" w:cs="Arial"/>
                <w:sz w:val="22"/>
                <w:szCs w:val="22"/>
              </w:rPr>
              <w:t>Indikátor vyjadřuje podíl domácností připojených k internetu.</w:t>
            </w:r>
          </w:p>
        </w:tc>
      </w:tr>
      <w:tr w:rsidR="00666033" w:rsidRPr="00CA79AD" w14:paraId="55F8EF63" w14:textId="77777777" w:rsidTr="00666033">
        <w:tc>
          <w:tcPr>
            <w:tcW w:w="2802" w:type="dxa"/>
          </w:tcPr>
          <w:p w14:paraId="0097A864"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Jednotka:</w:t>
            </w:r>
          </w:p>
        </w:tc>
        <w:tc>
          <w:tcPr>
            <w:tcW w:w="6486" w:type="dxa"/>
          </w:tcPr>
          <w:p w14:paraId="5523B58E" w14:textId="5F92CA9B" w:rsidR="00666033" w:rsidRPr="00CA79AD" w:rsidRDefault="00F0194D" w:rsidP="007419C7">
            <w:pPr>
              <w:spacing w:line="276" w:lineRule="auto"/>
              <w:jc w:val="both"/>
              <w:rPr>
                <w:rFonts w:ascii="Arial" w:hAnsi="Arial" w:cs="Arial"/>
                <w:sz w:val="22"/>
                <w:szCs w:val="22"/>
              </w:rPr>
            </w:pPr>
            <w:r>
              <w:rPr>
                <w:rFonts w:ascii="Arial" w:hAnsi="Arial" w:cs="Arial"/>
                <w:sz w:val="22"/>
                <w:szCs w:val="22"/>
              </w:rPr>
              <w:t>% domácností</w:t>
            </w:r>
          </w:p>
        </w:tc>
      </w:tr>
      <w:tr w:rsidR="00666033" w:rsidRPr="00CA79AD" w14:paraId="536D4C14" w14:textId="77777777" w:rsidTr="00666033">
        <w:tc>
          <w:tcPr>
            <w:tcW w:w="2802" w:type="dxa"/>
          </w:tcPr>
          <w:p w14:paraId="4A04965C"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Gestor: </w:t>
            </w:r>
          </w:p>
        </w:tc>
        <w:tc>
          <w:tcPr>
            <w:tcW w:w="6486" w:type="dxa"/>
          </w:tcPr>
          <w:p w14:paraId="2D0928C1" w14:textId="77777777" w:rsidR="00666033" w:rsidRPr="00FA49D6" w:rsidRDefault="00666033" w:rsidP="007419C7">
            <w:pPr>
              <w:spacing w:line="276" w:lineRule="auto"/>
              <w:jc w:val="both"/>
              <w:rPr>
                <w:rFonts w:ascii="Arial" w:hAnsi="Arial" w:cs="Arial"/>
                <w:sz w:val="22"/>
                <w:szCs w:val="22"/>
              </w:rPr>
            </w:pPr>
            <w:r w:rsidRPr="00FA49D6">
              <w:rPr>
                <w:rFonts w:ascii="Arial" w:hAnsi="Arial" w:cs="Arial"/>
                <w:sz w:val="22"/>
                <w:szCs w:val="22"/>
              </w:rPr>
              <w:t>Český statistický úřad</w:t>
            </w:r>
          </w:p>
        </w:tc>
      </w:tr>
      <w:tr w:rsidR="00666033" w:rsidRPr="00CA79AD" w14:paraId="39DE8C4C" w14:textId="77777777" w:rsidTr="00666033">
        <w:tc>
          <w:tcPr>
            <w:tcW w:w="2802" w:type="dxa"/>
          </w:tcPr>
          <w:p w14:paraId="230C7E8C"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Význam indikátoru: </w:t>
            </w:r>
          </w:p>
        </w:tc>
        <w:tc>
          <w:tcPr>
            <w:tcW w:w="6486" w:type="dxa"/>
          </w:tcPr>
          <w:p w14:paraId="315F8E30" w14:textId="77777777" w:rsidR="00666033" w:rsidRPr="00CA79AD" w:rsidRDefault="00666033" w:rsidP="007419C7">
            <w:pPr>
              <w:spacing w:line="276" w:lineRule="auto"/>
              <w:jc w:val="both"/>
              <w:rPr>
                <w:rFonts w:ascii="Arial" w:hAnsi="Arial" w:cs="Arial"/>
                <w:sz w:val="22"/>
                <w:szCs w:val="22"/>
              </w:rPr>
            </w:pPr>
            <w:r w:rsidRPr="00CA79AD">
              <w:rPr>
                <w:rFonts w:ascii="Arial" w:hAnsi="Arial" w:cs="Arial"/>
                <w:sz w:val="22"/>
                <w:szCs w:val="22"/>
              </w:rPr>
              <w:t>Konkurenceschopnost, sociální soudržnost, mezilids</w:t>
            </w:r>
            <w:r w:rsidR="00833F7B">
              <w:rPr>
                <w:rFonts w:ascii="Arial" w:hAnsi="Arial" w:cs="Arial"/>
                <w:sz w:val="22"/>
                <w:szCs w:val="22"/>
              </w:rPr>
              <w:t>ká komunikace, výzkumná činnost a</w:t>
            </w:r>
            <w:r w:rsidRPr="00CA79AD">
              <w:rPr>
                <w:rFonts w:ascii="Arial" w:hAnsi="Arial" w:cs="Arial"/>
                <w:sz w:val="22"/>
                <w:szCs w:val="22"/>
              </w:rPr>
              <w:t xml:space="preserve"> sebevzdělávání jsou založeny na pravidelném přístupu širokých skupin obyvatel k internetu. Možnosti dnešní společnosti ať už z hlediska nabídky trhu práce, spotřeby, volného času, zapojení do společenského života jsou do značné míry podmíněny kvalitními a včasnými informacemi.</w:t>
            </w:r>
          </w:p>
        </w:tc>
      </w:tr>
      <w:tr w:rsidR="00666033" w:rsidRPr="00CA79AD" w14:paraId="0B932137" w14:textId="77777777" w:rsidTr="00666033">
        <w:tc>
          <w:tcPr>
            <w:tcW w:w="2802" w:type="dxa"/>
          </w:tcPr>
          <w:p w14:paraId="29B916AE"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Časová řada: </w:t>
            </w:r>
          </w:p>
        </w:tc>
        <w:tc>
          <w:tcPr>
            <w:tcW w:w="6486" w:type="dxa"/>
          </w:tcPr>
          <w:p w14:paraId="3CA7C73C" w14:textId="77777777" w:rsidR="00666033" w:rsidRPr="00CA79AD" w:rsidRDefault="00666033" w:rsidP="007419C7">
            <w:pPr>
              <w:spacing w:line="276" w:lineRule="auto"/>
              <w:jc w:val="both"/>
              <w:rPr>
                <w:rFonts w:ascii="Arial" w:hAnsi="Arial" w:cs="Arial"/>
                <w:sz w:val="22"/>
                <w:szCs w:val="22"/>
              </w:rPr>
            </w:pPr>
            <w:r w:rsidRPr="00CA79AD">
              <w:rPr>
                <w:rFonts w:ascii="Arial" w:hAnsi="Arial" w:cs="Arial"/>
                <w:sz w:val="22"/>
                <w:szCs w:val="22"/>
              </w:rPr>
              <w:t xml:space="preserve">Od </w:t>
            </w:r>
            <w:r w:rsidR="00833F7B">
              <w:rPr>
                <w:rFonts w:ascii="Arial" w:hAnsi="Arial" w:cs="Arial"/>
                <w:sz w:val="22"/>
                <w:szCs w:val="22"/>
              </w:rPr>
              <w:t xml:space="preserve">roku </w:t>
            </w:r>
            <w:r w:rsidRPr="00CA79AD">
              <w:rPr>
                <w:rFonts w:ascii="Arial" w:hAnsi="Arial" w:cs="Arial"/>
                <w:sz w:val="22"/>
                <w:szCs w:val="22"/>
              </w:rPr>
              <w:t>2005</w:t>
            </w:r>
          </w:p>
        </w:tc>
      </w:tr>
      <w:tr w:rsidR="00666033" w:rsidRPr="00CA79AD" w14:paraId="74CB4CEE" w14:textId="77777777" w:rsidTr="00666033">
        <w:tc>
          <w:tcPr>
            <w:tcW w:w="2802" w:type="dxa"/>
          </w:tcPr>
          <w:p w14:paraId="266DFB59"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Frekvence výstupu: </w:t>
            </w:r>
          </w:p>
        </w:tc>
        <w:tc>
          <w:tcPr>
            <w:tcW w:w="6486" w:type="dxa"/>
          </w:tcPr>
          <w:p w14:paraId="645039EE" w14:textId="77777777" w:rsidR="00666033" w:rsidRPr="00CA79AD" w:rsidRDefault="000C72E9" w:rsidP="007419C7">
            <w:pPr>
              <w:spacing w:line="276" w:lineRule="auto"/>
              <w:jc w:val="both"/>
              <w:rPr>
                <w:rFonts w:ascii="Arial" w:hAnsi="Arial" w:cs="Arial"/>
                <w:sz w:val="22"/>
                <w:szCs w:val="22"/>
              </w:rPr>
            </w:pPr>
            <w:r>
              <w:rPr>
                <w:rFonts w:ascii="Arial" w:hAnsi="Arial" w:cs="Arial"/>
                <w:sz w:val="22"/>
                <w:szCs w:val="22"/>
              </w:rPr>
              <w:t>Ročně</w:t>
            </w:r>
          </w:p>
        </w:tc>
      </w:tr>
      <w:tr w:rsidR="00666033" w:rsidRPr="00CA79AD" w14:paraId="197A973B" w14:textId="77777777" w:rsidTr="00666033">
        <w:trPr>
          <w:trHeight w:val="70"/>
        </w:trPr>
        <w:tc>
          <w:tcPr>
            <w:tcW w:w="2802" w:type="dxa"/>
          </w:tcPr>
          <w:p w14:paraId="36532EC3"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Členění indikátoru: </w:t>
            </w:r>
          </w:p>
        </w:tc>
        <w:tc>
          <w:tcPr>
            <w:tcW w:w="6486" w:type="dxa"/>
          </w:tcPr>
          <w:p w14:paraId="3035C2B0" w14:textId="6CEFBA86" w:rsidR="00666033" w:rsidRPr="00CA79AD" w:rsidRDefault="00F0194D" w:rsidP="007419C7">
            <w:pPr>
              <w:spacing w:line="276" w:lineRule="auto"/>
              <w:jc w:val="both"/>
              <w:rPr>
                <w:rFonts w:ascii="Arial" w:hAnsi="Arial" w:cs="Arial"/>
                <w:sz w:val="22"/>
                <w:szCs w:val="22"/>
              </w:rPr>
            </w:pPr>
            <w:r w:rsidRPr="00F0194D">
              <w:rPr>
                <w:rFonts w:ascii="Arial" w:hAnsi="Arial" w:cs="Arial"/>
                <w:sz w:val="22"/>
                <w:szCs w:val="22"/>
              </w:rPr>
              <w:t>Podíl v jednotlivých krajích a vybraných skupinách domácností (domácnosti důchodců, domácnosti s dětmi)</w:t>
            </w:r>
          </w:p>
        </w:tc>
      </w:tr>
      <w:tr w:rsidR="00666033" w:rsidRPr="00CA79AD" w14:paraId="4A77D93C" w14:textId="77777777" w:rsidTr="00666033">
        <w:trPr>
          <w:trHeight w:val="70"/>
        </w:trPr>
        <w:tc>
          <w:tcPr>
            <w:tcW w:w="2802" w:type="dxa"/>
          </w:tcPr>
          <w:p w14:paraId="0F087C3E"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Mezinárodní srovnání:</w:t>
            </w:r>
          </w:p>
        </w:tc>
        <w:tc>
          <w:tcPr>
            <w:tcW w:w="6486" w:type="dxa"/>
          </w:tcPr>
          <w:p w14:paraId="539306C7" w14:textId="72375E9E" w:rsidR="00666033" w:rsidRPr="00CA79AD" w:rsidRDefault="00F0194D" w:rsidP="007419C7">
            <w:pPr>
              <w:spacing w:line="276" w:lineRule="auto"/>
              <w:jc w:val="both"/>
              <w:rPr>
                <w:rFonts w:ascii="Arial" w:hAnsi="Arial" w:cs="Arial"/>
                <w:sz w:val="22"/>
                <w:szCs w:val="22"/>
              </w:rPr>
            </w:pPr>
            <w:r>
              <w:rPr>
                <w:rFonts w:ascii="Arial" w:hAnsi="Arial" w:cs="Arial"/>
                <w:sz w:val="22"/>
                <w:szCs w:val="22"/>
              </w:rPr>
              <w:t>U</w:t>
            </w:r>
            <w:r w:rsidRPr="00F0194D">
              <w:rPr>
                <w:rFonts w:ascii="Arial" w:hAnsi="Arial" w:cs="Arial"/>
                <w:sz w:val="22"/>
                <w:szCs w:val="22"/>
              </w:rPr>
              <w:t xml:space="preserve"> nečleněných ukazatelů za členské země EU</w:t>
            </w:r>
          </w:p>
        </w:tc>
      </w:tr>
    </w:tbl>
    <w:p w14:paraId="02D9E518" w14:textId="77777777" w:rsidR="00BA0F9E" w:rsidRDefault="00BA0F9E" w:rsidP="007419C7">
      <w:pPr>
        <w:pStyle w:val="r2030podcle"/>
        <w:numPr>
          <w:ilvl w:val="0"/>
          <w:numId w:val="0"/>
        </w:numPr>
        <w:spacing w:before="0" w:after="0"/>
        <w:ind w:left="792"/>
      </w:pPr>
    </w:p>
    <w:tbl>
      <w:tblPr>
        <w:tblStyle w:val="Mkatabulky"/>
        <w:tblW w:w="0" w:type="auto"/>
        <w:shd w:val="clear" w:color="auto" w:fill="D9D9D9" w:themeFill="background1" w:themeFillShade="D9"/>
        <w:tblLook w:val="04A0" w:firstRow="1" w:lastRow="0" w:firstColumn="1" w:lastColumn="0" w:noHBand="0" w:noVBand="1"/>
      </w:tblPr>
      <w:tblGrid>
        <w:gridCol w:w="2802"/>
        <w:gridCol w:w="6486"/>
      </w:tblGrid>
      <w:tr w:rsidR="00BA0F9E" w:rsidRPr="00BA0F9E" w14:paraId="01DB5B27" w14:textId="77777777" w:rsidTr="008728AF">
        <w:tc>
          <w:tcPr>
            <w:tcW w:w="2802" w:type="dxa"/>
            <w:shd w:val="clear" w:color="auto" w:fill="D9D9D9" w:themeFill="background1" w:themeFillShade="D9"/>
          </w:tcPr>
          <w:p w14:paraId="1FBFA307" w14:textId="77777777" w:rsidR="00BA0F9E" w:rsidRPr="00BA0F9E" w:rsidRDefault="00BA0F9E" w:rsidP="00003B31">
            <w:pPr>
              <w:autoSpaceDE w:val="0"/>
              <w:autoSpaceDN w:val="0"/>
              <w:adjustRightInd w:val="0"/>
              <w:rPr>
                <w:rFonts w:ascii="Arial" w:hAnsi="Arial" w:cs="Arial"/>
                <w:color w:val="000000"/>
                <w:sz w:val="22"/>
                <w:lang w:val="en-US"/>
              </w:rPr>
            </w:pPr>
            <w:proofErr w:type="spellStart"/>
            <w:r w:rsidRPr="00BA0F9E">
              <w:rPr>
                <w:rFonts w:ascii="Arial" w:hAnsi="Arial" w:cs="Arial"/>
                <w:color w:val="000000"/>
                <w:sz w:val="22"/>
                <w:lang w:val="en-US"/>
              </w:rPr>
              <w:t>Název</w:t>
            </w:r>
            <w:proofErr w:type="spellEnd"/>
            <w:r w:rsidRPr="00BA0F9E">
              <w:rPr>
                <w:rFonts w:ascii="Arial" w:hAnsi="Arial" w:cs="Arial"/>
                <w:color w:val="000000"/>
                <w:sz w:val="22"/>
                <w:lang w:val="en-US"/>
              </w:rPr>
              <w:t xml:space="preserve"> a </w:t>
            </w:r>
            <w:proofErr w:type="spellStart"/>
            <w:r w:rsidRPr="00BA0F9E">
              <w:rPr>
                <w:rFonts w:ascii="Arial" w:hAnsi="Arial" w:cs="Arial"/>
                <w:color w:val="000000"/>
                <w:sz w:val="22"/>
                <w:lang w:val="en-US"/>
              </w:rPr>
              <w:t>označení</w:t>
            </w:r>
            <w:proofErr w:type="spellEnd"/>
            <w:r w:rsidRPr="00BA0F9E">
              <w:rPr>
                <w:rFonts w:ascii="Arial" w:hAnsi="Arial" w:cs="Arial"/>
                <w:color w:val="000000"/>
                <w:sz w:val="22"/>
                <w:lang w:val="en-US"/>
              </w:rPr>
              <w:t xml:space="preserve"> </w:t>
            </w:r>
            <w:proofErr w:type="spellStart"/>
            <w:r w:rsidRPr="00BA0F9E">
              <w:rPr>
                <w:rFonts w:ascii="Arial" w:hAnsi="Arial" w:cs="Arial"/>
                <w:color w:val="000000"/>
                <w:sz w:val="22"/>
                <w:lang w:val="en-US"/>
              </w:rPr>
              <w:t>indikátoru</w:t>
            </w:r>
            <w:proofErr w:type="spellEnd"/>
            <w:r w:rsidRPr="00BA0F9E">
              <w:rPr>
                <w:rFonts w:ascii="Arial" w:hAnsi="Arial" w:cs="Arial"/>
                <w:color w:val="000000"/>
                <w:sz w:val="22"/>
                <w:lang w:val="en-US"/>
              </w:rPr>
              <w:t>:</w:t>
            </w:r>
          </w:p>
        </w:tc>
        <w:tc>
          <w:tcPr>
            <w:tcW w:w="6486" w:type="dxa"/>
            <w:shd w:val="clear" w:color="auto" w:fill="D9D9D9" w:themeFill="background1" w:themeFillShade="D9"/>
          </w:tcPr>
          <w:p w14:paraId="15DE07BB" w14:textId="23F2DE07" w:rsidR="00BA0F9E" w:rsidRPr="00BA0F9E" w:rsidRDefault="00BA0F9E" w:rsidP="00003B31">
            <w:pPr>
              <w:autoSpaceDE w:val="0"/>
              <w:autoSpaceDN w:val="0"/>
              <w:adjustRightInd w:val="0"/>
              <w:rPr>
                <w:rFonts w:ascii="Arial" w:hAnsi="Arial" w:cs="Arial"/>
                <w:b/>
                <w:color w:val="000000"/>
                <w:sz w:val="22"/>
                <w:lang w:val="en-US"/>
              </w:rPr>
            </w:pPr>
            <w:r w:rsidRPr="00BA0F9E">
              <w:rPr>
                <w:rFonts w:ascii="Arial" w:hAnsi="Arial" w:cs="Arial"/>
                <w:b/>
                <w:color w:val="000000"/>
                <w:sz w:val="22"/>
                <w:lang w:val="en-US"/>
              </w:rPr>
              <w:t xml:space="preserve">10.5.2 </w:t>
            </w:r>
            <w:proofErr w:type="spellStart"/>
            <w:r w:rsidRPr="00BA0F9E">
              <w:rPr>
                <w:rFonts w:ascii="Arial" w:hAnsi="Arial" w:cs="Arial"/>
                <w:b/>
                <w:color w:val="000000"/>
                <w:sz w:val="22"/>
                <w:lang w:val="en-US"/>
              </w:rPr>
              <w:t>Pokrytí</w:t>
            </w:r>
            <w:proofErr w:type="spellEnd"/>
            <w:r w:rsidRPr="00BA0F9E">
              <w:rPr>
                <w:rFonts w:ascii="Arial" w:hAnsi="Arial" w:cs="Arial"/>
                <w:b/>
                <w:color w:val="000000"/>
                <w:sz w:val="22"/>
                <w:lang w:val="en-US"/>
              </w:rPr>
              <w:t xml:space="preserve"> </w:t>
            </w:r>
            <w:proofErr w:type="spellStart"/>
            <w:r w:rsidRPr="00BA0F9E">
              <w:rPr>
                <w:rFonts w:ascii="Arial" w:hAnsi="Arial" w:cs="Arial"/>
                <w:b/>
                <w:color w:val="000000"/>
                <w:sz w:val="22"/>
                <w:lang w:val="en-US"/>
              </w:rPr>
              <w:t>České</w:t>
            </w:r>
            <w:proofErr w:type="spellEnd"/>
            <w:r w:rsidRPr="00BA0F9E">
              <w:rPr>
                <w:rFonts w:ascii="Arial" w:hAnsi="Arial" w:cs="Arial"/>
                <w:b/>
                <w:color w:val="000000"/>
                <w:sz w:val="22"/>
                <w:lang w:val="en-US"/>
              </w:rPr>
              <w:t xml:space="preserve"> </w:t>
            </w:r>
            <w:proofErr w:type="spellStart"/>
            <w:r w:rsidRPr="00BA0F9E">
              <w:rPr>
                <w:rFonts w:ascii="Arial" w:hAnsi="Arial" w:cs="Arial"/>
                <w:b/>
                <w:color w:val="000000"/>
                <w:sz w:val="22"/>
                <w:lang w:val="en-US"/>
              </w:rPr>
              <w:t>republiky</w:t>
            </w:r>
            <w:proofErr w:type="spellEnd"/>
            <w:r w:rsidRPr="00BA0F9E">
              <w:rPr>
                <w:rFonts w:ascii="Arial" w:hAnsi="Arial" w:cs="Arial"/>
                <w:b/>
                <w:color w:val="000000"/>
                <w:sz w:val="22"/>
                <w:lang w:val="en-US"/>
              </w:rPr>
              <w:t xml:space="preserve"> </w:t>
            </w:r>
            <w:proofErr w:type="spellStart"/>
            <w:r w:rsidRPr="00BA0F9E">
              <w:rPr>
                <w:rFonts w:ascii="Arial" w:hAnsi="Arial" w:cs="Arial"/>
                <w:b/>
                <w:color w:val="000000"/>
                <w:sz w:val="22"/>
                <w:lang w:val="en-US"/>
              </w:rPr>
              <w:t>sítěmi</w:t>
            </w:r>
            <w:proofErr w:type="spellEnd"/>
            <w:r w:rsidRPr="00BA0F9E">
              <w:rPr>
                <w:rFonts w:ascii="Arial" w:hAnsi="Arial" w:cs="Arial"/>
                <w:b/>
                <w:color w:val="000000"/>
                <w:sz w:val="22"/>
                <w:lang w:val="en-US"/>
              </w:rPr>
              <w:t xml:space="preserve"> </w:t>
            </w:r>
            <w:proofErr w:type="spellStart"/>
            <w:r w:rsidRPr="00BA0F9E">
              <w:rPr>
                <w:rFonts w:ascii="Arial" w:hAnsi="Arial" w:cs="Arial"/>
                <w:b/>
                <w:color w:val="000000"/>
                <w:sz w:val="22"/>
                <w:lang w:val="en-US"/>
              </w:rPr>
              <w:t>širokopásmového</w:t>
            </w:r>
            <w:proofErr w:type="spellEnd"/>
            <w:r w:rsidRPr="00BA0F9E">
              <w:rPr>
                <w:rFonts w:ascii="Arial" w:hAnsi="Arial" w:cs="Arial"/>
                <w:b/>
                <w:color w:val="000000"/>
                <w:sz w:val="22"/>
                <w:lang w:val="en-US"/>
              </w:rPr>
              <w:t xml:space="preserve"> </w:t>
            </w:r>
            <w:proofErr w:type="spellStart"/>
            <w:r w:rsidRPr="00BA0F9E">
              <w:rPr>
                <w:rFonts w:ascii="Arial" w:hAnsi="Arial" w:cs="Arial"/>
                <w:b/>
                <w:color w:val="000000"/>
                <w:sz w:val="22"/>
                <w:lang w:val="en-US"/>
              </w:rPr>
              <w:t>připojení</w:t>
            </w:r>
            <w:proofErr w:type="spellEnd"/>
            <w:r w:rsidRPr="00BA0F9E">
              <w:rPr>
                <w:rFonts w:ascii="Arial" w:hAnsi="Arial" w:cs="Arial"/>
                <w:b/>
                <w:color w:val="000000"/>
                <w:sz w:val="22"/>
                <w:lang w:val="en-US"/>
              </w:rPr>
              <w:t xml:space="preserve"> k </w:t>
            </w:r>
            <w:proofErr w:type="spellStart"/>
            <w:r w:rsidRPr="00BA0F9E">
              <w:rPr>
                <w:rFonts w:ascii="Arial" w:hAnsi="Arial" w:cs="Arial"/>
                <w:b/>
                <w:color w:val="000000"/>
                <w:sz w:val="22"/>
                <w:lang w:val="en-US"/>
              </w:rPr>
              <w:t>internetu</w:t>
            </w:r>
            <w:proofErr w:type="spellEnd"/>
          </w:p>
        </w:tc>
      </w:tr>
      <w:tr w:rsidR="00BA0F9E" w:rsidRPr="00BA0F9E" w14:paraId="246BC628" w14:textId="77777777" w:rsidTr="008728AF">
        <w:tc>
          <w:tcPr>
            <w:tcW w:w="2802" w:type="dxa"/>
            <w:shd w:val="clear" w:color="auto" w:fill="D9D9D9" w:themeFill="background1" w:themeFillShade="D9"/>
          </w:tcPr>
          <w:p w14:paraId="5744AA91" w14:textId="77777777" w:rsidR="00BA0F9E" w:rsidRPr="00BA0F9E" w:rsidRDefault="00BA0F9E" w:rsidP="00003B31">
            <w:pPr>
              <w:autoSpaceDE w:val="0"/>
              <w:autoSpaceDN w:val="0"/>
              <w:adjustRightInd w:val="0"/>
              <w:rPr>
                <w:rFonts w:ascii="Arial" w:hAnsi="Arial" w:cs="Arial"/>
                <w:color w:val="000000"/>
                <w:sz w:val="22"/>
                <w:lang w:val="en-US"/>
              </w:rPr>
            </w:pPr>
            <w:proofErr w:type="spellStart"/>
            <w:r w:rsidRPr="00BA0F9E">
              <w:rPr>
                <w:rFonts w:ascii="Arial" w:hAnsi="Arial" w:cs="Arial"/>
                <w:color w:val="000000"/>
                <w:sz w:val="22"/>
                <w:lang w:val="en-US"/>
              </w:rPr>
              <w:t>Stručná</w:t>
            </w:r>
            <w:proofErr w:type="spellEnd"/>
            <w:r w:rsidRPr="00BA0F9E">
              <w:rPr>
                <w:rFonts w:ascii="Arial" w:hAnsi="Arial" w:cs="Arial"/>
                <w:color w:val="000000"/>
                <w:sz w:val="22"/>
                <w:lang w:val="en-US"/>
              </w:rPr>
              <w:t xml:space="preserve"> </w:t>
            </w:r>
            <w:proofErr w:type="spellStart"/>
            <w:r w:rsidRPr="00BA0F9E">
              <w:rPr>
                <w:rFonts w:ascii="Arial" w:hAnsi="Arial" w:cs="Arial"/>
                <w:color w:val="000000"/>
                <w:sz w:val="22"/>
                <w:lang w:val="en-US"/>
              </w:rPr>
              <w:t>definice</w:t>
            </w:r>
            <w:proofErr w:type="spellEnd"/>
            <w:r w:rsidRPr="00BA0F9E">
              <w:rPr>
                <w:rFonts w:ascii="Arial" w:hAnsi="Arial" w:cs="Arial"/>
                <w:color w:val="000000"/>
                <w:sz w:val="22"/>
                <w:lang w:val="en-US"/>
              </w:rPr>
              <w:t>:</w:t>
            </w:r>
          </w:p>
        </w:tc>
        <w:tc>
          <w:tcPr>
            <w:tcW w:w="6486" w:type="dxa"/>
            <w:shd w:val="clear" w:color="auto" w:fill="D9D9D9" w:themeFill="background1" w:themeFillShade="D9"/>
          </w:tcPr>
          <w:p w14:paraId="00505223" w14:textId="77777777" w:rsidR="00BA0F9E" w:rsidRPr="00BA0F9E" w:rsidRDefault="00BA0F9E" w:rsidP="00003B31">
            <w:pPr>
              <w:autoSpaceDE w:val="0"/>
              <w:autoSpaceDN w:val="0"/>
              <w:adjustRightInd w:val="0"/>
              <w:rPr>
                <w:rFonts w:ascii="Arial" w:hAnsi="Arial" w:cs="Arial"/>
                <w:color w:val="000000"/>
                <w:sz w:val="22"/>
                <w:lang w:val="en-US"/>
              </w:rPr>
            </w:pPr>
          </w:p>
        </w:tc>
      </w:tr>
      <w:tr w:rsidR="00BA0F9E" w:rsidRPr="00BA0F9E" w14:paraId="587EC2B2" w14:textId="77777777" w:rsidTr="008728AF">
        <w:tc>
          <w:tcPr>
            <w:tcW w:w="2802" w:type="dxa"/>
            <w:shd w:val="clear" w:color="auto" w:fill="D9D9D9" w:themeFill="background1" w:themeFillShade="D9"/>
          </w:tcPr>
          <w:p w14:paraId="559DC446" w14:textId="77777777" w:rsidR="00BA0F9E" w:rsidRPr="00BA0F9E" w:rsidRDefault="00BA0F9E" w:rsidP="00003B31">
            <w:pPr>
              <w:autoSpaceDE w:val="0"/>
              <w:autoSpaceDN w:val="0"/>
              <w:adjustRightInd w:val="0"/>
              <w:rPr>
                <w:rFonts w:ascii="Arial" w:hAnsi="Arial" w:cs="Arial"/>
                <w:color w:val="000000"/>
                <w:sz w:val="22"/>
                <w:lang w:val="en-US"/>
              </w:rPr>
            </w:pPr>
            <w:proofErr w:type="spellStart"/>
            <w:r w:rsidRPr="00BA0F9E">
              <w:rPr>
                <w:rFonts w:ascii="Arial" w:hAnsi="Arial" w:cs="Arial"/>
                <w:color w:val="000000"/>
                <w:sz w:val="22"/>
                <w:lang w:val="en-US"/>
              </w:rPr>
              <w:t>Jednotka</w:t>
            </w:r>
            <w:proofErr w:type="spellEnd"/>
            <w:r w:rsidRPr="00BA0F9E">
              <w:rPr>
                <w:rFonts w:ascii="Arial" w:hAnsi="Arial" w:cs="Arial"/>
                <w:color w:val="000000"/>
                <w:sz w:val="22"/>
                <w:lang w:val="en-US"/>
              </w:rPr>
              <w:t>:</w:t>
            </w:r>
          </w:p>
        </w:tc>
        <w:tc>
          <w:tcPr>
            <w:tcW w:w="6486" w:type="dxa"/>
            <w:shd w:val="clear" w:color="auto" w:fill="D9D9D9" w:themeFill="background1" w:themeFillShade="D9"/>
          </w:tcPr>
          <w:p w14:paraId="207F8E31" w14:textId="77777777" w:rsidR="00BA0F9E" w:rsidRPr="00BA0F9E" w:rsidRDefault="00BA0F9E" w:rsidP="007419C7">
            <w:pPr>
              <w:autoSpaceDE w:val="0"/>
              <w:autoSpaceDN w:val="0"/>
              <w:adjustRightInd w:val="0"/>
              <w:jc w:val="both"/>
              <w:rPr>
                <w:rFonts w:ascii="Arial" w:hAnsi="Arial" w:cs="Arial"/>
                <w:color w:val="000000"/>
                <w:sz w:val="22"/>
                <w:lang w:val="en-US"/>
              </w:rPr>
            </w:pPr>
            <w:r w:rsidRPr="00BA0F9E">
              <w:rPr>
                <w:rFonts w:ascii="Arial" w:hAnsi="Arial" w:cs="Arial"/>
                <w:color w:val="000000"/>
                <w:sz w:val="22"/>
                <w:lang w:val="en-US"/>
              </w:rPr>
              <w:t>%</w:t>
            </w:r>
          </w:p>
        </w:tc>
      </w:tr>
      <w:tr w:rsidR="00BA0F9E" w:rsidRPr="00BA0F9E" w14:paraId="7F1E946B" w14:textId="77777777" w:rsidTr="008728AF">
        <w:tc>
          <w:tcPr>
            <w:tcW w:w="2802" w:type="dxa"/>
            <w:shd w:val="clear" w:color="auto" w:fill="D9D9D9" w:themeFill="background1" w:themeFillShade="D9"/>
          </w:tcPr>
          <w:p w14:paraId="11FFF8CA" w14:textId="77777777" w:rsidR="00BA0F9E" w:rsidRPr="00BA0F9E" w:rsidRDefault="00BA0F9E" w:rsidP="00003B31">
            <w:pPr>
              <w:autoSpaceDE w:val="0"/>
              <w:autoSpaceDN w:val="0"/>
              <w:adjustRightInd w:val="0"/>
              <w:rPr>
                <w:rFonts w:ascii="Arial" w:hAnsi="Arial" w:cs="Arial"/>
                <w:color w:val="000000"/>
                <w:sz w:val="22"/>
                <w:lang w:val="en-US"/>
              </w:rPr>
            </w:pPr>
            <w:r w:rsidRPr="00BA0F9E">
              <w:rPr>
                <w:rFonts w:ascii="Arial" w:hAnsi="Arial" w:cs="Arial"/>
                <w:color w:val="000000"/>
                <w:sz w:val="22"/>
                <w:lang w:val="en-US"/>
              </w:rPr>
              <w:t>Gestor:</w:t>
            </w:r>
          </w:p>
        </w:tc>
        <w:tc>
          <w:tcPr>
            <w:tcW w:w="6486" w:type="dxa"/>
            <w:shd w:val="clear" w:color="auto" w:fill="D9D9D9" w:themeFill="background1" w:themeFillShade="D9"/>
          </w:tcPr>
          <w:p w14:paraId="23F813DC" w14:textId="2BC256CF" w:rsidR="00BA0F9E" w:rsidRPr="00BA0F9E" w:rsidRDefault="00BA0F9E" w:rsidP="007419C7">
            <w:pPr>
              <w:autoSpaceDE w:val="0"/>
              <w:autoSpaceDN w:val="0"/>
              <w:adjustRightInd w:val="0"/>
              <w:jc w:val="both"/>
              <w:rPr>
                <w:rFonts w:ascii="Arial" w:hAnsi="Arial" w:cs="Arial"/>
                <w:bCs/>
                <w:color w:val="000000"/>
                <w:sz w:val="22"/>
                <w:lang w:val="en-US"/>
              </w:rPr>
            </w:pPr>
            <w:proofErr w:type="spellStart"/>
            <w:r>
              <w:rPr>
                <w:rFonts w:ascii="Arial" w:hAnsi="Arial" w:cs="Arial"/>
                <w:bCs/>
                <w:color w:val="000000"/>
                <w:sz w:val="22"/>
                <w:lang w:val="en-US"/>
              </w:rPr>
              <w:t>Úřad</w:t>
            </w:r>
            <w:proofErr w:type="spellEnd"/>
            <w:r>
              <w:rPr>
                <w:rFonts w:ascii="Arial" w:hAnsi="Arial" w:cs="Arial"/>
                <w:bCs/>
                <w:color w:val="000000"/>
                <w:sz w:val="22"/>
                <w:lang w:val="en-US"/>
              </w:rPr>
              <w:t xml:space="preserve"> </w:t>
            </w:r>
            <w:proofErr w:type="spellStart"/>
            <w:r>
              <w:rPr>
                <w:rFonts w:ascii="Arial" w:hAnsi="Arial" w:cs="Arial"/>
                <w:bCs/>
                <w:color w:val="000000"/>
                <w:sz w:val="22"/>
                <w:lang w:val="en-US"/>
              </w:rPr>
              <w:t>vlády</w:t>
            </w:r>
            <w:proofErr w:type="spellEnd"/>
            <w:r>
              <w:rPr>
                <w:rFonts w:ascii="Arial" w:hAnsi="Arial" w:cs="Arial"/>
                <w:bCs/>
                <w:color w:val="000000"/>
                <w:sz w:val="22"/>
                <w:lang w:val="en-US"/>
              </w:rPr>
              <w:t xml:space="preserve"> </w:t>
            </w:r>
            <w:proofErr w:type="spellStart"/>
            <w:r>
              <w:rPr>
                <w:rFonts w:ascii="Arial" w:hAnsi="Arial" w:cs="Arial"/>
                <w:bCs/>
                <w:color w:val="000000"/>
                <w:sz w:val="22"/>
                <w:lang w:val="en-US"/>
              </w:rPr>
              <w:t>ve</w:t>
            </w:r>
            <w:proofErr w:type="spellEnd"/>
            <w:r>
              <w:rPr>
                <w:rFonts w:ascii="Arial" w:hAnsi="Arial" w:cs="Arial"/>
                <w:bCs/>
                <w:color w:val="000000"/>
                <w:sz w:val="22"/>
                <w:lang w:val="en-US"/>
              </w:rPr>
              <w:t xml:space="preserve"> </w:t>
            </w:r>
            <w:proofErr w:type="spellStart"/>
            <w:r>
              <w:rPr>
                <w:rFonts w:ascii="Arial" w:hAnsi="Arial" w:cs="Arial"/>
                <w:bCs/>
                <w:color w:val="000000"/>
                <w:sz w:val="22"/>
                <w:lang w:val="en-US"/>
              </w:rPr>
              <w:t>spolupráci</w:t>
            </w:r>
            <w:proofErr w:type="spellEnd"/>
            <w:r>
              <w:rPr>
                <w:rFonts w:ascii="Arial" w:hAnsi="Arial" w:cs="Arial"/>
                <w:bCs/>
                <w:color w:val="000000"/>
                <w:sz w:val="22"/>
                <w:lang w:val="en-US"/>
              </w:rPr>
              <w:t xml:space="preserve"> s </w:t>
            </w:r>
            <w:proofErr w:type="spellStart"/>
            <w:r>
              <w:rPr>
                <w:rFonts w:ascii="Arial" w:hAnsi="Arial" w:cs="Arial"/>
                <w:bCs/>
                <w:color w:val="000000"/>
                <w:sz w:val="22"/>
                <w:lang w:val="en-US"/>
              </w:rPr>
              <w:t>Českým</w:t>
            </w:r>
            <w:proofErr w:type="spellEnd"/>
            <w:r>
              <w:rPr>
                <w:rFonts w:ascii="Arial" w:hAnsi="Arial" w:cs="Arial"/>
                <w:bCs/>
                <w:color w:val="000000"/>
                <w:sz w:val="22"/>
                <w:lang w:val="en-US"/>
              </w:rPr>
              <w:t xml:space="preserve"> </w:t>
            </w:r>
            <w:proofErr w:type="spellStart"/>
            <w:r>
              <w:rPr>
                <w:rFonts w:ascii="Arial" w:hAnsi="Arial" w:cs="Arial"/>
                <w:bCs/>
                <w:color w:val="000000"/>
                <w:sz w:val="22"/>
                <w:lang w:val="en-US"/>
              </w:rPr>
              <w:t>telekomunikačním</w:t>
            </w:r>
            <w:proofErr w:type="spellEnd"/>
            <w:r>
              <w:rPr>
                <w:rFonts w:ascii="Arial" w:hAnsi="Arial" w:cs="Arial"/>
                <w:bCs/>
                <w:color w:val="000000"/>
                <w:sz w:val="22"/>
                <w:lang w:val="en-US"/>
              </w:rPr>
              <w:t xml:space="preserve"> </w:t>
            </w:r>
            <w:proofErr w:type="spellStart"/>
            <w:r>
              <w:rPr>
                <w:rFonts w:ascii="Arial" w:hAnsi="Arial" w:cs="Arial"/>
                <w:bCs/>
                <w:color w:val="000000"/>
                <w:sz w:val="22"/>
                <w:lang w:val="en-US"/>
              </w:rPr>
              <w:t>úřadem</w:t>
            </w:r>
            <w:proofErr w:type="spellEnd"/>
          </w:p>
        </w:tc>
      </w:tr>
      <w:tr w:rsidR="00BA0F9E" w:rsidRPr="00BA0F9E" w14:paraId="7F471CEF" w14:textId="77777777" w:rsidTr="008728AF">
        <w:tc>
          <w:tcPr>
            <w:tcW w:w="2802" w:type="dxa"/>
            <w:shd w:val="clear" w:color="auto" w:fill="D9D9D9" w:themeFill="background1" w:themeFillShade="D9"/>
          </w:tcPr>
          <w:p w14:paraId="5330C13C" w14:textId="77777777" w:rsidR="00BA0F9E" w:rsidRPr="00BA0F9E" w:rsidRDefault="00BA0F9E" w:rsidP="00003B31">
            <w:pPr>
              <w:autoSpaceDE w:val="0"/>
              <w:autoSpaceDN w:val="0"/>
              <w:adjustRightInd w:val="0"/>
              <w:rPr>
                <w:rFonts w:ascii="Arial" w:hAnsi="Arial" w:cs="Arial"/>
                <w:color w:val="000000"/>
                <w:sz w:val="22"/>
                <w:lang w:val="en-US"/>
              </w:rPr>
            </w:pPr>
            <w:proofErr w:type="spellStart"/>
            <w:r w:rsidRPr="00BA0F9E">
              <w:rPr>
                <w:rFonts w:ascii="Arial" w:hAnsi="Arial" w:cs="Arial"/>
                <w:color w:val="000000"/>
                <w:sz w:val="22"/>
                <w:lang w:val="en-US"/>
              </w:rPr>
              <w:t>Význam</w:t>
            </w:r>
            <w:proofErr w:type="spellEnd"/>
            <w:r w:rsidRPr="00BA0F9E">
              <w:rPr>
                <w:rFonts w:ascii="Arial" w:hAnsi="Arial" w:cs="Arial"/>
                <w:color w:val="000000"/>
                <w:sz w:val="22"/>
                <w:lang w:val="en-US"/>
              </w:rPr>
              <w:t xml:space="preserve"> </w:t>
            </w:r>
            <w:proofErr w:type="spellStart"/>
            <w:r w:rsidRPr="00BA0F9E">
              <w:rPr>
                <w:rFonts w:ascii="Arial" w:hAnsi="Arial" w:cs="Arial"/>
                <w:color w:val="000000"/>
                <w:sz w:val="22"/>
                <w:lang w:val="en-US"/>
              </w:rPr>
              <w:t>indikátoru</w:t>
            </w:r>
            <w:proofErr w:type="spellEnd"/>
            <w:r w:rsidRPr="00BA0F9E">
              <w:rPr>
                <w:rFonts w:ascii="Arial" w:hAnsi="Arial" w:cs="Arial"/>
                <w:color w:val="000000"/>
                <w:sz w:val="22"/>
                <w:lang w:val="en-US"/>
              </w:rPr>
              <w:t>:</w:t>
            </w:r>
          </w:p>
        </w:tc>
        <w:tc>
          <w:tcPr>
            <w:tcW w:w="6486" w:type="dxa"/>
            <w:shd w:val="clear" w:color="auto" w:fill="D9D9D9" w:themeFill="background1" w:themeFillShade="D9"/>
          </w:tcPr>
          <w:p w14:paraId="1071F816" w14:textId="77777777" w:rsidR="00BA0F9E" w:rsidRPr="00BA0F9E" w:rsidRDefault="00BA0F9E" w:rsidP="007419C7">
            <w:pPr>
              <w:autoSpaceDE w:val="0"/>
              <w:autoSpaceDN w:val="0"/>
              <w:adjustRightInd w:val="0"/>
              <w:jc w:val="both"/>
              <w:rPr>
                <w:rFonts w:ascii="Arial" w:hAnsi="Arial" w:cs="Arial"/>
                <w:color w:val="000000"/>
                <w:sz w:val="22"/>
                <w:lang w:val="en-US"/>
              </w:rPr>
            </w:pPr>
            <w:proofErr w:type="spellStart"/>
            <w:r w:rsidRPr="00BA0F9E">
              <w:rPr>
                <w:rFonts w:ascii="Arial" w:hAnsi="Arial" w:cs="Arial"/>
                <w:color w:val="000000"/>
                <w:sz w:val="22"/>
                <w:lang w:val="en-US"/>
              </w:rPr>
              <w:t>Zlepšení</w:t>
            </w:r>
            <w:proofErr w:type="spellEnd"/>
            <w:r w:rsidRPr="00BA0F9E">
              <w:rPr>
                <w:rFonts w:ascii="Arial" w:hAnsi="Arial" w:cs="Arial"/>
                <w:color w:val="000000"/>
                <w:sz w:val="22"/>
                <w:lang w:val="en-US"/>
              </w:rPr>
              <w:t xml:space="preserve"> </w:t>
            </w:r>
            <w:proofErr w:type="spellStart"/>
            <w:r w:rsidRPr="00BA0F9E">
              <w:rPr>
                <w:rFonts w:ascii="Arial" w:hAnsi="Arial" w:cs="Arial"/>
                <w:color w:val="000000"/>
                <w:sz w:val="22"/>
                <w:lang w:val="en-US"/>
              </w:rPr>
              <w:t>dostupnosti</w:t>
            </w:r>
            <w:proofErr w:type="spellEnd"/>
            <w:r w:rsidRPr="00BA0F9E">
              <w:rPr>
                <w:rFonts w:ascii="Arial" w:hAnsi="Arial" w:cs="Arial"/>
                <w:color w:val="000000"/>
                <w:sz w:val="22"/>
                <w:lang w:val="en-US"/>
              </w:rPr>
              <w:t xml:space="preserve"> </w:t>
            </w:r>
            <w:proofErr w:type="spellStart"/>
            <w:r w:rsidRPr="00BA0F9E">
              <w:rPr>
                <w:rFonts w:ascii="Arial" w:hAnsi="Arial" w:cs="Arial"/>
                <w:color w:val="000000"/>
                <w:sz w:val="22"/>
                <w:lang w:val="en-US"/>
              </w:rPr>
              <w:t>kvalitní</w:t>
            </w:r>
            <w:proofErr w:type="spellEnd"/>
            <w:r w:rsidRPr="00BA0F9E">
              <w:rPr>
                <w:rFonts w:ascii="Arial" w:hAnsi="Arial" w:cs="Arial"/>
                <w:color w:val="000000"/>
                <w:sz w:val="22"/>
                <w:lang w:val="en-US"/>
              </w:rPr>
              <w:t xml:space="preserve"> </w:t>
            </w:r>
            <w:proofErr w:type="spellStart"/>
            <w:r w:rsidRPr="00BA0F9E">
              <w:rPr>
                <w:rFonts w:ascii="Arial" w:hAnsi="Arial" w:cs="Arial"/>
                <w:color w:val="000000"/>
                <w:sz w:val="22"/>
                <w:lang w:val="en-US"/>
              </w:rPr>
              <w:t>datové</w:t>
            </w:r>
            <w:proofErr w:type="spellEnd"/>
            <w:r w:rsidRPr="00BA0F9E">
              <w:rPr>
                <w:rFonts w:ascii="Arial" w:hAnsi="Arial" w:cs="Arial"/>
                <w:color w:val="000000"/>
                <w:sz w:val="22"/>
                <w:lang w:val="en-US"/>
              </w:rPr>
              <w:t xml:space="preserve"> </w:t>
            </w:r>
            <w:proofErr w:type="spellStart"/>
            <w:r w:rsidRPr="00BA0F9E">
              <w:rPr>
                <w:rFonts w:ascii="Arial" w:hAnsi="Arial" w:cs="Arial"/>
                <w:color w:val="000000"/>
                <w:sz w:val="22"/>
                <w:lang w:val="en-US"/>
              </w:rPr>
              <w:t>infrastruktury</w:t>
            </w:r>
            <w:proofErr w:type="spellEnd"/>
            <w:r w:rsidRPr="00BA0F9E">
              <w:rPr>
                <w:rFonts w:ascii="Arial" w:hAnsi="Arial" w:cs="Arial"/>
                <w:color w:val="000000"/>
                <w:sz w:val="22"/>
                <w:lang w:val="en-US"/>
              </w:rPr>
              <w:t xml:space="preserve"> je </w:t>
            </w:r>
            <w:proofErr w:type="spellStart"/>
            <w:r w:rsidRPr="00BA0F9E">
              <w:rPr>
                <w:rFonts w:ascii="Arial" w:hAnsi="Arial" w:cs="Arial"/>
                <w:color w:val="000000"/>
                <w:sz w:val="22"/>
                <w:lang w:val="en-US"/>
              </w:rPr>
              <w:t>důležitým</w:t>
            </w:r>
            <w:proofErr w:type="spellEnd"/>
            <w:r w:rsidRPr="00BA0F9E">
              <w:rPr>
                <w:rFonts w:ascii="Arial" w:hAnsi="Arial" w:cs="Arial"/>
                <w:color w:val="000000"/>
                <w:sz w:val="22"/>
                <w:lang w:val="en-US"/>
              </w:rPr>
              <w:t xml:space="preserve"> </w:t>
            </w:r>
            <w:proofErr w:type="spellStart"/>
            <w:r w:rsidRPr="00BA0F9E">
              <w:rPr>
                <w:rFonts w:ascii="Arial" w:hAnsi="Arial" w:cs="Arial"/>
                <w:color w:val="000000"/>
                <w:sz w:val="22"/>
                <w:lang w:val="en-US"/>
              </w:rPr>
              <w:t>prvkem</w:t>
            </w:r>
            <w:proofErr w:type="spellEnd"/>
            <w:r w:rsidRPr="00BA0F9E">
              <w:rPr>
                <w:rFonts w:ascii="Arial" w:hAnsi="Arial" w:cs="Arial"/>
                <w:color w:val="000000"/>
                <w:sz w:val="22"/>
                <w:lang w:val="en-US"/>
              </w:rPr>
              <w:t xml:space="preserve"> </w:t>
            </w:r>
            <w:proofErr w:type="spellStart"/>
            <w:r w:rsidRPr="00BA0F9E">
              <w:rPr>
                <w:rFonts w:ascii="Arial" w:hAnsi="Arial" w:cs="Arial"/>
                <w:color w:val="000000"/>
                <w:sz w:val="22"/>
                <w:lang w:val="en-US"/>
              </w:rPr>
              <w:t>jak</w:t>
            </w:r>
            <w:proofErr w:type="spellEnd"/>
            <w:r w:rsidRPr="00BA0F9E">
              <w:rPr>
                <w:rFonts w:ascii="Arial" w:hAnsi="Arial" w:cs="Arial"/>
                <w:color w:val="000000"/>
                <w:sz w:val="22"/>
                <w:lang w:val="en-US"/>
              </w:rPr>
              <w:t xml:space="preserve"> v </w:t>
            </w:r>
            <w:proofErr w:type="spellStart"/>
            <w:r w:rsidRPr="00BA0F9E">
              <w:rPr>
                <w:rFonts w:ascii="Arial" w:hAnsi="Arial" w:cs="Arial"/>
                <w:color w:val="000000"/>
                <w:sz w:val="22"/>
                <w:lang w:val="en-US"/>
              </w:rPr>
              <w:t>podpoře</w:t>
            </w:r>
            <w:proofErr w:type="spellEnd"/>
            <w:r w:rsidRPr="00BA0F9E">
              <w:rPr>
                <w:rFonts w:ascii="Arial" w:hAnsi="Arial" w:cs="Arial"/>
                <w:color w:val="000000"/>
                <w:sz w:val="22"/>
                <w:lang w:val="en-US"/>
              </w:rPr>
              <w:t xml:space="preserve"> </w:t>
            </w:r>
            <w:proofErr w:type="spellStart"/>
            <w:r w:rsidRPr="00BA0F9E">
              <w:rPr>
                <w:rFonts w:ascii="Arial" w:hAnsi="Arial" w:cs="Arial"/>
                <w:color w:val="000000"/>
                <w:sz w:val="22"/>
                <w:lang w:val="en-US"/>
              </w:rPr>
              <w:t>ekonomické</w:t>
            </w:r>
            <w:proofErr w:type="spellEnd"/>
            <w:r w:rsidRPr="00BA0F9E">
              <w:rPr>
                <w:rFonts w:ascii="Arial" w:hAnsi="Arial" w:cs="Arial"/>
                <w:color w:val="000000"/>
                <w:sz w:val="22"/>
                <w:lang w:val="en-US"/>
              </w:rPr>
              <w:t xml:space="preserve"> </w:t>
            </w:r>
            <w:proofErr w:type="spellStart"/>
            <w:r w:rsidRPr="00BA0F9E">
              <w:rPr>
                <w:rFonts w:ascii="Arial" w:hAnsi="Arial" w:cs="Arial"/>
                <w:color w:val="000000"/>
                <w:sz w:val="22"/>
                <w:lang w:val="en-US"/>
              </w:rPr>
              <w:t>aktivity</w:t>
            </w:r>
            <w:proofErr w:type="spellEnd"/>
            <w:r w:rsidRPr="00BA0F9E">
              <w:rPr>
                <w:rFonts w:ascii="Arial" w:hAnsi="Arial" w:cs="Arial"/>
                <w:color w:val="000000"/>
                <w:sz w:val="22"/>
                <w:lang w:val="en-US"/>
              </w:rPr>
              <w:t xml:space="preserve"> </w:t>
            </w:r>
            <w:proofErr w:type="spellStart"/>
            <w:r w:rsidRPr="00BA0F9E">
              <w:rPr>
                <w:rFonts w:ascii="Arial" w:hAnsi="Arial" w:cs="Arial"/>
                <w:color w:val="000000"/>
                <w:sz w:val="22"/>
                <w:lang w:val="en-US"/>
              </w:rPr>
              <w:t>celkově</w:t>
            </w:r>
            <w:proofErr w:type="spellEnd"/>
            <w:r w:rsidRPr="00BA0F9E">
              <w:rPr>
                <w:rFonts w:ascii="Arial" w:hAnsi="Arial" w:cs="Arial"/>
                <w:color w:val="000000"/>
                <w:sz w:val="22"/>
                <w:lang w:val="en-US"/>
              </w:rPr>
              <w:t xml:space="preserve"> – </w:t>
            </w:r>
            <w:proofErr w:type="spellStart"/>
            <w:r w:rsidRPr="00BA0F9E">
              <w:rPr>
                <w:rFonts w:ascii="Arial" w:hAnsi="Arial" w:cs="Arial"/>
                <w:color w:val="000000"/>
                <w:sz w:val="22"/>
                <w:lang w:val="en-US"/>
              </w:rPr>
              <w:t>obecně</w:t>
            </w:r>
            <w:proofErr w:type="spellEnd"/>
            <w:r w:rsidRPr="00BA0F9E">
              <w:rPr>
                <w:rFonts w:ascii="Arial" w:hAnsi="Arial" w:cs="Arial"/>
                <w:color w:val="000000"/>
                <w:sz w:val="22"/>
                <w:lang w:val="en-US"/>
              </w:rPr>
              <w:t xml:space="preserve"> </w:t>
            </w:r>
            <w:proofErr w:type="spellStart"/>
            <w:r w:rsidRPr="00BA0F9E">
              <w:rPr>
                <w:rFonts w:ascii="Arial" w:hAnsi="Arial" w:cs="Arial"/>
                <w:color w:val="000000"/>
                <w:sz w:val="22"/>
                <w:lang w:val="en-US"/>
              </w:rPr>
              <w:t>efekt</w:t>
            </w:r>
            <w:proofErr w:type="spellEnd"/>
            <w:r w:rsidRPr="00BA0F9E">
              <w:rPr>
                <w:rFonts w:ascii="Arial" w:hAnsi="Arial" w:cs="Arial"/>
                <w:color w:val="000000"/>
                <w:sz w:val="22"/>
                <w:lang w:val="en-US"/>
              </w:rPr>
              <w:t xml:space="preserve"> </w:t>
            </w:r>
            <w:proofErr w:type="spellStart"/>
            <w:r w:rsidRPr="00BA0F9E">
              <w:rPr>
                <w:rFonts w:ascii="Arial" w:hAnsi="Arial" w:cs="Arial"/>
                <w:color w:val="000000"/>
                <w:sz w:val="22"/>
                <w:lang w:val="en-US"/>
              </w:rPr>
              <w:t>budování</w:t>
            </w:r>
            <w:proofErr w:type="spellEnd"/>
            <w:r w:rsidRPr="00BA0F9E">
              <w:rPr>
                <w:rFonts w:ascii="Arial" w:hAnsi="Arial" w:cs="Arial"/>
                <w:color w:val="000000"/>
                <w:sz w:val="22"/>
                <w:lang w:val="en-US"/>
              </w:rPr>
              <w:t xml:space="preserve"> </w:t>
            </w:r>
            <w:proofErr w:type="spellStart"/>
            <w:r w:rsidRPr="00BA0F9E">
              <w:rPr>
                <w:rFonts w:ascii="Arial" w:hAnsi="Arial" w:cs="Arial"/>
                <w:color w:val="000000"/>
                <w:sz w:val="22"/>
                <w:lang w:val="en-US"/>
              </w:rPr>
              <w:t>kvalitní</w:t>
            </w:r>
            <w:proofErr w:type="spellEnd"/>
            <w:r w:rsidRPr="00BA0F9E">
              <w:rPr>
                <w:rFonts w:ascii="Arial" w:hAnsi="Arial" w:cs="Arial"/>
                <w:color w:val="000000"/>
                <w:sz w:val="22"/>
                <w:lang w:val="en-US"/>
              </w:rPr>
              <w:t xml:space="preserve"> </w:t>
            </w:r>
            <w:proofErr w:type="spellStart"/>
            <w:r w:rsidRPr="00BA0F9E">
              <w:rPr>
                <w:rFonts w:ascii="Arial" w:hAnsi="Arial" w:cs="Arial"/>
                <w:color w:val="000000"/>
                <w:sz w:val="22"/>
                <w:lang w:val="en-US"/>
              </w:rPr>
              <w:t>infrastruktury</w:t>
            </w:r>
            <w:proofErr w:type="spellEnd"/>
            <w:r w:rsidRPr="00BA0F9E">
              <w:rPr>
                <w:rFonts w:ascii="Arial" w:hAnsi="Arial" w:cs="Arial"/>
                <w:color w:val="000000"/>
                <w:sz w:val="22"/>
                <w:lang w:val="en-US"/>
              </w:rPr>
              <w:t xml:space="preserve"> – ale </w:t>
            </w:r>
            <w:proofErr w:type="spellStart"/>
            <w:r w:rsidRPr="00BA0F9E">
              <w:rPr>
                <w:rFonts w:ascii="Arial" w:hAnsi="Arial" w:cs="Arial"/>
                <w:color w:val="000000"/>
                <w:sz w:val="22"/>
                <w:lang w:val="en-US"/>
              </w:rPr>
              <w:t>neméně</w:t>
            </w:r>
            <w:proofErr w:type="spellEnd"/>
            <w:r w:rsidRPr="00BA0F9E">
              <w:rPr>
                <w:rFonts w:ascii="Arial" w:hAnsi="Arial" w:cs="Arial"/>
                <w:color w:val="000000"/>
                <w:sz w:val="22"/>
                <w:lang w:val="en-US"/>
              </w:rPr>
              <w:t xml:space="preserve"> </w:t>
            </w:r>
            <w:proofErr w:type="spellStart"/>
            <w:r w:rsidRPr="00BA0F9E">
              <w:rPr>
                <w:rFonts w:ascii="Arial" w:hAnsi="Arial" w:cs="Arial"/>
                <w:color w:val="000000"/>
                <w:sz w:val="22"/>
                <w:lang w:val="en-US"/>
              </w:rPr>
              <w:t>významným</w:t>
            </w:r>
            <w:proofErr w:type="spellEnd"/>
            <w:r w:rsidRPr="00BA0F9E">
              <w:rPr>
                <w:rFonts w:ascii="Arial" w:hAnsi="Arial" w:cs="Arial"/>
                <w:color w:val="000000"/>
                <w:sz w:val="22"/>
                <w:lang w:val="en-US"/>
              </w:rPr>
              <w:t xml:space="preserve"> je </w:t>
            </w:r>
            <w:proofErr w:type="spellStart"/>
            <w:r w:rsidRPr="00BA0F9E">
              <w:rPr>
                <w:rFonts w:ascii="Arial" w:hAnsi="Arial" w:cs="Arial"/>
                <w:color w:val="000000"/>
                <w:sz w:val="22"/>
                <w:lang w:val="en-US"/>
              </w:rPr>
              <w:t>také</w:t>
            </w:r>
            <w:proofErr w:type="spellEnd"/>
            <w:r w:rsidRPr="00BA0F9E">
              <w:rPr>
                <w:rFonts w:ascii="Arial" w:hAnsi="Arial" w:cs="Arial"/>
                <w:color w:val="000000"/>
                <w:sz w:val="22"/>
                <w:lang w:val="en-US"/>
              </w:rPr>
              <w:t xml:space="preserve"> </w:t>
            </w:r>
            <w:proofErr w:type="spellStart"/>
            <w:r w:rsidRPr="00BA0F9E">
              <w:rPr>
                <w:rFonts w:ascii="Arial" w:hAnsi="Arial" w:cs="Arial"/>
                <w:color w:val="000000"/>
                <w:sz w:val="22"/>
                <w:lang w:val="en-US"/>
              </w:rPr>
              <w:t>předpoklad</w:t>
            </w:r>
            <w:proofErr w:type="spellEnd"/>
            <w:r w:rsidRPr="00BA0F9E">
              <w:rPr>
                <w:rFonts w:ascii="Arial" w:hAnsi="Arial" w:cs="Arial"/>
                <w:color w:val="000000"/>
                <w:sz w:val="22"/>
                <w:lang w:val="en-US"/>
              </w:rPr>
              <w:t xml:space="preserve">, </w:t>
            </w:r>
            <w:proofErr w:type="spellStart"/>
            <w:r w:rsidRPr="00BA0F9E">
              <w:rPr>
                <w:rFonts w:ascii="Arial" w:hAnsi="Arial" w:cs="Arial"/>
                <w:color w:val="000000"/>
                <w:sz w:val="22"/>
                <w:lang w:val="en-US"/>
              </w:rPr>
              <w:t>že</w:t>
            </w:r>
            <w:proofErr w:type="spellEnd"/>
            <w:r w:rsidRPr="00BA0F9E">
              <w:rPr>
                <w:rFonts w:ascii="Arial" w:hAnsi="Arial" w:cs="Arial"/>
                <w:color w:val="000000"/>
                <w:sz w:val="22"/>
                <w:lang w:val="en-US"/>
              </w:rPr>
              <w:t xml:space="preserve"> </w:t>
            </w:r>
            <w:proofErr w:type="spellStart"/>
            <w:r w:rsidRPr="00BA0F9E">
              <w:rPr>
                <w:rFonts w:ascii="Arial" w:hAnsi="Arial" w:cs="Arial"/>
                <w:color w:val="000000"/>
                <w:sz w:val="22"/>
                <w:lang w:val="en-US"/>
              </w:rPr>
              <w:t>kvalitní</w:t>
            </w:r>
            <w:proofErr w:type="spellEnd"/>
            <w:r w:rsidRPr="00BA0F9E">
              <w:rPr>
                <w:rFonts w:ascii="Arial" w:hAnsi="Arial" w:cs="Arial"/>
                <w:color w:val="000000"/>
                <w:sz w:val="22"/>
                <w:lang w:val="en-US"/>
              </w:rPr>
              <w:t xml:space="preserve"> </w:t>
            </w:r>
            <w:proofErr w:type="spellStart"/>
            <w:r w:rsidRPr="00BA0F9E">
              <w:rPr>
                <w:rFonts w:ascii="Arial" w:hAnsi="Arial" w:cs="Arial"/>
                <w:color w:val="000000"/>
                <w:sz w:val="22"/>
                <w:lang w:val="en-US"/>
              </w:rPr>
              <w:t>datová</w:t>
            </w:r>
            <w:proofErr w:type="spellEnd"/>
            <w:r w:rsidRPr="00BA0F9E">
              <w:rPr>
                <w:rFonts w:ascii="Arial" w:hAnsi="Arial" w:cs="Arial"/>
                <w:color w:val="000000"/>
                <w:sz w:val="22"/>
                <w:lang w:val="en-US"/>
              </w:rPr>
              <w:t xml:space="preserve"> </w:t>
            </w:r>
            <w:proofErr w:type="spellStart"/>
            <w:r w:rsidRPr="00BA0F9E">
              <w:rPr>
                <w:rFonts w:ascii="Arial" w:hAnsi="Arial" w:cs="Arial"/>
                <w:color w:val="000000"/>
                <w:sz w:val="22"/>
                <w:lang w:val="en-US"/>
              </w:rPr>
              <w:t>infrastruktura</w:t>
            </w:r>
            <w:proofErr w:type="spellEnd"/>
            <w:r w:rsidRPr="00BA0F9E">
              <w:rPr>
                <w:rFonts w:ascii="Arial" w:hAnsi="Arial" w:cs="Arial"/>
                <w:color w:val="000000"/>
                <w:sz w:val="22"/>
                <w:lang w:val="en-US"/>
              </w:rPr>
              <w:t xml:space="preserve"> je </w:t>
            </w:r>
            <w:proofErr w:type="spellStart"/>
            <w:r w:rsidRPr="00BA0F9E">
              <w:rPr>
                <w:rFonts w:ascii="Arial" w:hAnsi="Arial" w:cs="Arial"/>
                <w:color w:val="000000"/>
                <w:sz w:val="22"/>
                <w:lang w:val="en-US"/>
              </w:rPr>
              <w:t>nutnou</w:t>
            </w:r>
            <w:proofErr w:type="spellEnd"/>
            <w:r w:rsidRPr="00BA0F9E">
              <w:rPr>
                <w:rFonts w:ascii="Arial" w:hAnsi="Arial" w:cs="Arial"/>
                <w:color w:val="000000"/>
                <w:sz w:val="22"/>
                <w:lang w:val="en-US"/>
              </w:rPr>
              <w:t xml:space="preserve"> </w:t>
            </w:r>
            <w:proofErr w:type="spellStart"/>
            <w:r w:rsidRPr="00BA0F9E">
              <w:rPr>
                <w:rFonts w:ascii="Arial" w:hAnsi="Arial" w:cs="Arial"/>
                <w:color w:val="000000"/>
                <w:sz w:val="22"/>
                <w:lang w:val="en-US"/>
              </w:rPr>
              <w:t>podmínkou</w:t>
            </w:r>
            <w:proofErr w:type="spellEnd"/>
            <w:r w:rsidRPr="00BA0F9E">
              <w:rPr>
                <w:rFonts w:ascii="Arial" w:hAnsi="Arial" w:cs="Arial"/>
                <w:color w:val="000000"/>
                <w:sz w:val="22"/>
                <w:lang w:val="en-US"/>
              </w:rPr>
              <w:t xml:space="preserve"> </w:t>
            </w:r>
            <w:proofErr w:type="spellStart"/>
            <w:r w:rsidRPr="00BA0F9E">
              <w:rPr>
                <w:rFonts w:ascii="Arial" w:hAnsi="Arial" w:cs="Arial"/>
                <w:color w:val="000000"/>
                <w:sz w:val="22"/>
                <w:lang w:val="en-US"/>
              </w:rPr>
              <w:t>snižování</w:t>
            </w:r>
            <w:proofErr w:type="spellEnd"/>
            <w:r w:rsidRPr="00BA0F9E">
              <w:rPr>
                <w:rFonts w:ascii="Arial" w:hAnsi="Arial" w:cs="Arial"/>
                <w:color w:val="000000"/>
                <w:sz w:val="22"/>
                <w:lang w:val="en-US"/>
              </w:rPr>
              <w:t xml:space="preserve"> </w:t>
            </w:r>
            <w:proofErr w:type="spellStart"/>
            <w:r w:rsidRPr="00BA0F9E">
              <w:rPr>
                <w:rFonts w:ascii="Arial" w:hAnsi="Arial" w:cs="Arial"/>
                <w:color w:val="000000"/>
                <w:sz w:val="22"/>
                <w:lang w:val="en-US"/>
              </w:rPr>
              <w:t>regionálních</w:t>
            </w:r>
            <w:proofErr w:type="spellEnd"/>
            <w:r w:rsidRPr="00BA0F9E">
              <w:rPr>
                <w:rFonts w:ascii="Arial" w:hAnsi="Arial" w:cs="Arial"/>
                <w:color w:val="000000"/>
                <w:sz w:val="22"/>
                <w:lang w:val="en-US"/>
              </w:rPr>
              <w:t xml:space="preserve"> </w:t>
            </w:r>
            <w:proofErr w:type="spellStart"/>
            <w:r w:rsidRPr="00BA0F9E">
              <w:rPr>
                <w:rFonts w:ascii="Arial" w:hAnsi="Arial" w:cs="Arial"/>
                <w:color w:val="000000"/>
                <w:sz w:val="22"/>
                <w:lang w:val="en-US"/>
              </w:rPr>
              <w:t>disparit</w:t>
            </w:r>
            <w:proofErr w:type="spellEnd"/>
            <w:r w:rsidRPr="00BA0F9E">
              <w:rPr>
                <w:rFonts w:ascii="Arial" w:hAnsi="Arial" w:cs="Arial"/>
                <w:color w:val="000000"/>
                <w:sz w:val="22"/>
                <w:lang w:val="en-US"/>
              </w:rPr>
              <w:t xml:space="preserve">, </w:t>
            </w:r>
            <w:proofErr w:type="spellStart"/>
            <w:r w:rsidRPr="00BA0F9E">
              <w:rPr>
                <w:rFonts w:ascii="Arial" w:hAnsi="Arial" w:cs="Arial"/>
                <w:color w:val="000000"/>
                <w:sz w:val="22"/>
                <w:lang w:val="en-US"/>
              </w:rPr>
              <w:t>kdy</w:t>
            </w:r>
            <w:proofErr w:type="spellEnd"/>
            <w:r w:rsidRPr="00BA0F9E">
              <w:rPr>
                <w:rFonts w:ascii="Arial" w:hAnsi="Arial" w:cs="Arial"/>
                <w:color w:val="000000"/>
                <w:sz w:val="22"/>
                <w:lang w:val="en-US"/>
              </w:rPr>
              <w:t xml:space="preserve"> absence </w:t>
            </w:r>
            <w:proofErr w:type="spellStart"/>
            <w:r w:rsidRPr="00BA0F9E">
              <w:rPr>
                <w:rFonts w:ascii="Arial" w:hAnsi="Arial" w:cs="Arial"/>
                <w:color w:val="000000"/>
                <w:sz w:val="22"/>
                <w:lang w:val="en-US"/>
              </w:rPr>
              <w:t>datové</w:t>
            </w:r>
            <w:proofErr w:type="spellEnd"/>
            <w:r w:rsidRPr="00BA0F9E">
              <w:rPr>
                <w:rFonts w:ascii="Arial" w:hAnsi="Arial" w:cs="Arial"/>
                <w:color w:val="000000"/>
                <w:sz w:val="22"/>
                <w:lang w:val="en-US"/>
              </w:rPr>
              <w:t xml:space="preserve"> </w:t>
            </w:r>
            <w:proofErr w:type="spellStart"/>
            <w:r w:rsidRPr="00BA0F9E">
              <w:rPr>
                <w:rFonts w:ascii="Arial" w:hAnsi="Arial" w:cs="Arial"/>
                <w:color w:val="000000"/>
                <w:sz w:val="22"/>
                <w:lang w:val="en-US"/>
              </w:rPr>
              <w:t>infrastruktury</w:t>
            </w:r>
            <w:proofErr w:type="spellEnd"/>
            <w:r w:rsidRPr="00BA0F9E">
              <w:rPr>
                <w:rFonts w:ascii="Arial" w:hAnsi="Arial" w:cs="Arial"/>
                <w:color w:val="000000"/>
                <w:sz w:val="22"/>
                <w:lang w:val="en-US"/>
              </w:rPr>
              <w:t xml:space="preserve"> </w:t>
            </w:r>
            <w:proofErr w:type="spellStart"/>
            <w:r w:rsidRPr="00BA0F9E">
              <w:rPr>
                <w:rFonts w:ascii="Arial" w:hAnsi="Arial" w:cs="Arial"/>
                <w:color w:val="000000"/>
                <w:sz w:val="22"/>
                <w:lang w:val="en-US"/>
              </w:rPr>
              <w:t>omezuje</w:t>
            </w:r>
            <w:proofErr w:type="spellEnd"/>
            <w:r w:rsidRPr="00BA0F9E">
              <w:rPr>
                <w:rFonts w:ascii="Arial" w:hAnsi="Arial" w:cs="Arial"/>
                <w:color w:val="000000"/>
                <w:sz w:val="22"/>
                <w:lang w:val="en-US"/>
              </w:rPr>
              <w:t xml:space="preserve"> </w:t>
            </w:r>
            <w:proofErr w:type="spellStart"/>
            <w:r w:rsidRPr="00BA0F9E">
              <w:rPr>
                <w:rFonts w:ascii="Arial" w:hAnsi="Arial" w:cs="Arial"/>
                <w:color w:val="000000"/>
                <w:sz w:val="22"/>
                <w:lang w:val="en-US"/>
              </w:rPr>
              <w:t>možnost</w:t>
            </w:r>
            <w:proofErr w:type="spellEnd"/>
            <w:r w:rsidRPr="00BA0F9E">
              <w:rPr>
                <w:rFonts w:ascii="Arial" w:hAnsi="Arial" w:cs="Arial"/>
                <w:color w:val="000000"/>
                <w:sz w:val="22"/>
                <w:lang w:val="en-US"/>
              </w:rPr>
              <w:t xml:space="preserve"> </w:t>
            </w:r>
            <w:proofErr w:type="spellStart"/>
            <w:r w:rsidRPr="00BA0F9E">
              <w:rPr>
                <w:rFonts w:ascii="Arial" w:hAnsi="Arial" w:cs="Arial"/>
                <w:color w:val="000000"/>
                <w:sz w:val="22"/>
                <w:lang w:val="en-US"/>
              </w:rPr>
              <w:t>ekonomického</w:t>
            </w:r>
            <w:proofErr w:type="spellEnd"/>
            <w:r w:rsidRPr="00BA0F9E">
              <w:rPr>
                <w:rFonts w:ascii="Arial" w:hAnsi="Arial" w:cs="Arial"/>
                <w:color w:val="000000"/>
                <w:sz w:val="22"/>
                <w:lang w:val="en-US"/>
              </w:rPr>
              <w:t xml:space="preserve"> </w:t>
            </w:r>
            <w:proofErr w:type="spellStart"/>
            <w:r w:rsidRPr="00BA0F9E">
              <w:rPr>
                <w:rFonts w:ascii="Arial" w:hAnsi="Arial" w:cs="Arial"/>
                <w:color w:val="000000"/>
                <w:sz w:val="22"/>
                <w:lang w:val="en-US"/>
              </w:rPr>
              <w:t>růstu</w:t>
            </w:r>
            <w:proofErr w:type="spellEnd"/>
            <w:r w:rsidRPr="00BA0F9E">
              <w:rPr>
                <w:rFonts w:ascii="Arial" w:hAnsi="Arial" w:cs="Arial"/>
                <w:color w:val="000000"/>
                <w:sz w:val="22"/>
                <w:lang w:val="en-US"/>
              </w:rPr>
              <w:t xml:space="preserve"> </w:t>
            </w:r>
            <w:proofErr w:type="spellStart"/>
            <w:r w:rsidRPr="00BA0F9E">
              <w:rPr>
                <w:rFonts w:ascii="Arial" w:hAnsi="Arial" w:cs="Arial"/>
                <w:color w:val="000000"/>
                <w:sz w:val="22"/>
                <w:lang w:val="en-US"/>
              </w:rPr>
              <w:t>daného</w:t>
            </w:r>
            <w:proofErr w:type="spellEnd"/>
            <w:r w:rsidRPr="00BA0F9E">
              <w:rPr>
                <w:rFonts w:ascii="Arial" w:hAnsi="Arial" w:cs="Arial"/>
                <w:color w:val="000000"/>
                <w:sz w:val="22"/>
                <w:lang w:val="en-US"/>
              </w:rPr>
              <w:t xml:space="preserve"> </w:t>
            </w:r>
            <w:proofErr w:type="spellStart"/>
            <w:r w:rsidRPr="00BA0F9E">
              <w:rPr>
                <w:rFonts w:ascii="Arial" w:hAnsi="Arial" w:cs="Arial"/>
                <w:color w:val="000000"/>
                <w:sz w:val="22"/>
                <w:lang w:val="en-US"/>
              </w:rPr>
              <w:t>regionu</w:t>
            </w:r>
            <w:proofErr w:type="spellEnd"/>
            <w:r w:rsidRPr="00BA0F9E">
              <w:rPr>
                <w:rFonts w:ascii="Arial" w:hAnsi="Arial" w:cs="Arial"/>
                <w:color w:val="000000"/>
                <w:sz w:val="22"/>
                <w:lang w:val="en-US"/>
              </w:rPr>
              <w:t>.</w:t>
            </w:r>
          </w:p>
        </w:tc>
      </w:tr>
      <w:tr w:rsidR="00BA0F9E" w:rsidRPr="00BA0F9E" w14:paraId="45942F9E" w14:textId="77777777" w:rsidTr="008728AF">
        <w:tc>
          <w:tcPr>
            <w:tcW w:w="2802" w:type="dxa"/>
            <w:shd w:val="clear" w:color="auto" w:fill="D9D9D9" w:themeFill="background1" w:themeFillShade="D9"/>
          </w:tcPr>
          <w:p w14:paraId="662DFED3" w14:textId="77777777" w:rsidR="00BA0F9E" w:rsidRPr="00BA0F9E" w:rsidRDefault="00BA0F9E" w:rsidP="00003B31">
            <w:pPr>
              <w:autoSpaceDE w:val="0"/>
              <w:autoSpaceDN w:val="0"/>
              <w:adjustRightInd w:val="0"/>
              <w:rPr>
                <w:rFonts w:ascii="Arial" w:hAnsi="Arial" w:cs="Arial"/>
                <w:color w:val="000000"/>
                <w:sz w:val="22"/>
                <w:lang w:val="en-US"/>
              </w:rPr>
            </w:pPr>
            <w:proofErr w:type="spellStart"/>
            <w:r w:rsidRPr="00BA0F9E">
              <w:rPr>
                <w:rFonts w:ascii="Arial" w:hAnsi="Arial" w:cs="Arial"/>
                <w:color w:val="000000"/>
                <w:sz w:val="22"/>
                <w:lang w:val="en-US"/>
              </w:rPr>
              <w:t>Časová</w:t>
            </w:r>
            <w:proofErr w:type="spellEnd"/>
            <w:r w:rsidRPr="00BA0F9E">
              <w:rPr>
                <w:rFonts w:ascii="Arial" w:hAnsi="Arial" w:cs="Arial"/>
                <w:color w:val="000000"/>
                <w:sz w:val="22"/>
                <w:lang w:val="en-US"/>
              </w:rPr>
              <w:t xml:space="preserve"> </w:t>
            </w:r>
            <w:proofErr w:type="spellStart"/>
            <w:r w:rsidRPr="00BA0F9E">
              <w:rPr>
                <w:rFonts w:ascii="Arial" w:hAnsi="Arial" w:cs="Arial"/>
                <w:color w:val="000000"/>
                <w:sz w:val="22"/>
                <w:lang w:val="en-US"/>
              </w:rPr>
              <w:t>řada</w:t>
            </w:r>
            <w:proofErr w:type="spellEnd"/>
            <w:r w:rsidRPr="00BA0F9E">
              <w:rPr>
                <w:rFonts w:ascii="Arial" w:hAnsi="Arial" w:cs="Arial"/>
                <w:color w:val="000000"/>
                <w:sz w:val="22"/>
                <w:lang w:val="en-US"/>
              </w:rPr>
              <w:t>:</w:t>
            </w:r>
          </w:p>
        </w:tc>
        <w:tc>
          <w:tcPr>
            <w:tcW w:w="6486" w:type="dxa"/>
            <w:shd w:val="clear" w:color="auto" w:fill="D9D9D9" w:themeFill="background1" w:themeFillShade="D9"/>
          </w:tcPr>
          <w:p w14:paraId="0D95C430" w14:textId="77777777" w:rsidR="00BA0F9E" w:rsidRPr="00BA0F9E" w:rsidRDefault="00BA0F9E" w:rsidP="007419C7">
            <w:pPr>
              <w:autoSpaceDE w:val="0"/>
              <w:autoSpaceDN w:val="0"/>
              <w:adjustRightInd w:val="0"/>
              <w:jc w:val="both"/>
              <w:rPr>
                <w:rFonts w:ascii="Arial" w:hAnsi="Arial" w:cs="Arial"/>
                <w:color w:val="000000"/>
                <w:sz w:val="22"/>
                <w:lang w:val="en-US"/>
              </w:rPr>
            </w:pPr>
            <w:r w:rsidRPr="00BA0F9E">
              <w:rPr>
                <w:rFonts w:ascii="Arial" w:hAnsi="Arial" w:cs="Arial"/>
                <w:color w:val="000000"/>
                <w:sz w:val="22"/>
                <w:lang w:val="en-US"/>
              </w:rPr>
              <w:t xml:space="preserve">Od </w:t>
            </w:r>
            <w:proofErr w:type="spellStart"/>
            <w:r w:rsidRPr="00BA0F9E">
              <w:rPr>
                <w:rFonts w:ascii="Arial" w:hAnsi="Arial" w:cs="Arial"/>
                <w:color w:val="000000"/>
                <w:sz w:val="22"/>
                <w:lang w:val="en-US"/>
              </w:rPr>
              <w:t>roku</w:t>
            </w:r>
            <w:proofErr w:type="spellEnd"/>
            <w:r w:rsidRPr="00BA0F9E">
              <w:rPr>
                <w:rFonts w:ascii="Arial" w:hAnsi="Arial" w:cs="Arial"/>
                <w:color w:val="000000"/>
                <w:sz w:val="22"/>
                <w:lang w:val="en-US"/>
              </w:rPr>
              <w:t xml:space="preserve"> 2016</w:t>
            </w:r>
          </w:p>
        </w:tc>
      </w:tr>
      <w:tr w:rsidR="00BA0F9E" w:rsidRPr="00BA0F9E" w14:paraId="4DB9759C" w14:textId="77777777" w:rsidTr="008728AF">
        <w:tc>
          <w:tcPr>
            <w:tcW w:w="2802" w:type="dxa"/>
            <w:shd w:val="clear" w:color="auto" w:fill="D9D9D9" w:themeFill="background1" w:themeFillShade="D9"/>
          </w:tcPr>
          <w:p w14:paraId="60F3937E" w14:textId="77777777" w:rsidR="00BA0F9E" w:rsidRPr="00BA0F9E" w:rsidRDefault="00BA0F9E" w:rsidP="00003B31">
            <w:pPr>
              <w:autoSpaceDE w:val="0"/>
              <w:autoSpaceDN w:val="0"/>
              <w:adjustRightInd w:val="0"/>
              <w:rPr>
                <w:rFonts w:ascii="Arial" w:hAnsi="Arial" w:cs="Arial"/>
                <w:color w:val="000000"/>
                <w:sz w:val="22"/>
                <w:lang w:val="en-US"/>
              </w:rPr>
            </w:pPr>
            <w:proofErr w:type="spellStart"/>
            <w:r w:rsidRPr="00BA0F9E">
              <w:rPr>
                <w:rFonts w:ascii="Arial" w:hAnsi="Arial" w:cs="Arial"/>
                <w:color w:val="000000"/>
                <w:sz w:val="22"/>
                <w:lang w:val="en-US"/>
              </w:rPr>
              <w:t>Frekvence</w:t>
            </w:r>
            <w:proofErr w:type="spellEnd"/>
            <w:r w:rsidRPr="00BA0F9E">
              <w:rPr>
                <w:rFonts w:ascii="Arial" w:hAnsi="Arial" w:cs="Arial"/>
                <w:color w:val="000000"/>
                <w:sz w:val="22"/>
                <w:lang w:val="en-US"/>
              </w:rPr>
              <w:t xml:space="preserve"> </w:t>
            </w:r>
            <w:proofErr w:type="spellStart"/>
            <w:r w:rsidRPr="00BA0F9E">
              <w:rPr>
                <w:rFonts w:ascii="Arial" w:hAnsi="Arial" w:cs="Arial"/>
                <w:color w:val="000000"/>
                <w:sz w:val="22"/>
                <w:lang w:val="en-US"/>
              </w:rPr>
              <w:t>výstupu</w:t>
            </w:r>
            <w:proofErr w:type="spellEnd"/>
            <w:r w:rsidRPr="00BA0F9E">
              <w:rPr>
                <w:rFonts w:ascii="Arial" w:hAnsi="Arial" w:cs="Arial"/>
                <w:color w:val="000000"/>
                <w:sz w:val="22"/>
                <w:lang w:val="en-US"/>
              </w:rPr>
              <w:t>:</w:t>
            </w:r>
          </w:p>
        </w:tc>
        <w:tc>
          <w:tcPr>
            <w:tcW w:w="6486" w:type="dxa"/>
            <w:shd w:val="clear" w:color="auto" w:fill="D9D9D9" w:themeFill="background1" w:themeFillShade="D9"/>
          </w:tcPr>
          <w:p w14:paraId="7B6E3378" w14:textId="77777777" w:rsidR="00BA0F9E" w:rsidRPr="00BA0F9E" w:rsidRDefault="00BA0F9E" w:rsidP="007419C7">
            <w:pPr>
              <w:autoSpaceDE w:val="0"/>
              <w:autoSpaceDN w:val="0"/>
              <w:adjustRightInd w:val="0"/>
              <w:jc w:val="both"/>
              <w:rPr>
                <w:rFonts w:ascii="Arial" w:hAnsi="Arial" w:cs="Arial"/>
                <w:color w:val="000000"/>
                <w:sz w:val="22"/>
                <w:lang w:val="en-US"/>
              </w:rPr>
            </w:pPr>
            <w:proofErr w:type="spellStart"/>
            <w:r w:rsidRPr="00BA0F9E">
              <w:rPr>
                <w:rFonts w:ascii="Arial" w:hAnsi="Arial" w:cs="Arial"/>
                <w:color w:val="000000"/>
                <w:sz w:val="22"/>
                <w:lang w:val="en-US"/>
              </w:rPr>
              <w:t>Ročně</w:t>
            </w:r>
            <w:proofErr w:type="spellEnd"/>
          </w:p>
        </w:tc>
      </w:tr>
      <w:tr w:rsidR="00BA0F9E" w:rsidRPr="00BA0F9E" w14:paraId="50EF6FCA" w14:textId="77777777" w:rsidTr="008728AF">
        <w:tc>
          <w:tcPr>
            <w:tcW w:w="2802" w:type="dxa"/>
            <w:shd w:val="clear" w:color="auto" w:fill="D9D9D9" w:themeFill="background1" w:themeFillShade="D9"/>
          </w:tcPr>
          <w:p w14:paraId="5EE1B49E" w14:textId="77777777" w:rsidR="00BA0F9E" w:rsidRPr="00BA0F9E" w:rsidRDefault="00BA0F9E" w:rsidP="00003B31">
            <w:pPr>
              <w:autoSpaceDE w:val="0"/>
              <w:autoSpaceDN w:val="0"/>
              <w:adjustRightInd w:val="0"/>
              <w:rPr>
                <w:rFonts w:ascii="Arial" w:hAnsi="Arial" w:cs="Arial"/>
                <w:color w:val="000000"/>
                <w:sz w:val="22"/>
                <w:lang w:val="en-US"/>
              </w:rPr>
            </w:pPr>
            <w:proofErr w:type="spellStart"/>
            <w:r w:rsidRPr="00BA0F9E">
              <w:rPr>
                <w:rFonts w:ascii="Arial" w:hAnsi="Arial" w:cs="Arial"/>
                <w:color w:val="000000"/>
                <w:sz w:val="22"/>
                <w:lang w:val="en-US"/>
              </w:rPr>
              <w:t>Členění</w:t>
            </w:r>
            <w:proofErr w:type="spellEnd"/>
            <w:r w:rsidRPr="00BA0F9E">
              <w:rPr>
                <w:rFonts w:ascii="Arial" w:hAnsi="Arial" w:cs="Arial"/>
                <w:color w:val="000000"/>
                <w:sz w:val="22"/>
                <w:lang w:val="en-US"/>
              </w:rPr>
              <w:t xml:space="preserve"> </w:t>
            </w:r>
            <w:proofErr w:type="spellStart"/>
            <w:r w:rsidRPr="00BA0F9E">
              <w:rPr>
                <w:rFonts w:ascii="Arial" w:hAnsi="Arial" w:cs="Arial"/>
                <w:color w:val="000000"/>
                <w:sz w:val="22"/>
                <w:lang w:val="en-US"/>
              </w:rPr>
              <w:t>indikátoru</w:t>
            </w:r>
            <w:proofErr w:type="spellEnd"/>
            <w:r w:rsidRPr="00BA0F9E">
              <w:rPr>
                <w:rFonts w:ascii="Arial" w:hAnsi="Arial" w:cs="Arial"/>
                <w:color w:val="000000"/>
                <w:sz w:val="22"/>
                <w:lang w:val="en-US"/>
              </w:rPr>
              <w:t>:</w:t>
            </w:r>
          </w:p>
        </w:tc>
        <w:tc>
          <w:tcPr>
            <w:tcW w:w="6486" w:type="dxa"/>
            <w:shd w:val="clear" w:color="auto" w:fill="D9D9D9" w:themeFill="background1" w:themeFillShade="D9"/>
          </w:tcPr>
          <w:p w14:paraId="13DAEE2A" w14:textId="39FB6B9A" w:rsidR="00BA0F9E" w:rsidRPr="00BA0F9E" w:rsidRDefault="00BA0F9E" w:rsidP="007419C7">
            <w:pPr>
              <w:autoSpaceDE w:val="0"/>
              <w:autoSpaceDN w:val="0"/>
              <w:adjustRightInd w:val="0"/>
              <w:jc w:val="both"/>
              <w:rPr>
                <w:rFonts w:ascii="Arial" w:hAnsi="Arial" w:cs="Arial"/>
                <w:b/>
                <w:color w:val="000000"/>
                <w:sz w:val="22"/>
                <w:lang w:val="en-US"/>
              </w:rPr>
            </w:pPr>
          </w:p>
        </w:tc>
      </w:tr>
      <w:tr w:rsidR="00BA0F9E" w:rsidRPr="00BA0F9E" w14:paraId="2B54B5E4" w14:textId="77777777" w:rsidTr="008728AF">
        <w:tc>
          <w:tcPr>
            <w:tcW w:w="2802" w:type="dxa"/>
            <w:shd w:val="clear" w:color="auto" w:fill="D9D9D9" w:themeFill="background1" w:themeFillShade="D9"/>
          </w:tcPr>
          <w:p w14:paraId="0CA06A82" w14:textId="77777777" w:rsidR="00BA0F9E" w:rsidRPr="00BA0F9E" w:rsidRDefault="00BA0F9E" w:rsidP="00003B31">
            <w:pPr>
              <w:rPr>
                <w:rFonts w:ascii="Arial" w:hAnsi="Arial" w:cs="Arial"/>
                <w:color w:val="000000"/>
                <w:sz w:val="22"/>
                <w:lang w:val="en-US"/>
              </w:rPr>
            </w:pPr>
            <w:proofErr w:type="spellStart"/>
            <w:r w:rsidRPr="00BA0F9E">
              <w:rPr>
                <w:rFonts w:ascii="Arial" w:hAnsi="Arial" w:cs="Arial"/>
                <w:color w:val="000000"/>
                <w:sz w:val="22"/>
                <w:lang w:val="en-US"/>
              </w:rPr>
              <w:t>Mezinárodní</w:t>
            </w:r>
            <w:proofErr w:type="spellEnd"/>
            <w:r w:rsidRPr="00BA0F9E">
              <w:rPr>
                <w:rFonts w:ascii="Arial" w:hAnsi="Arial" w:cs="Arial"/>
                <w:color w:val="000000"/>
                <w:sz w:val="22"/>
                <w:lang w:val="en-US"/>
              </w:rPr>
              <w:t xml:space="preserve"> </w:t>
            </w:r>
            <w:proofErr w:type="spellStart"/>
            <w:r w:rsidRPr="00BA0F9E">
              <w:rPr>
                <w:rFonts w:ascii="Arial" w:hAnsi="Arial" w:cs="Arial"/>
                <w:color w:val="000000"/>
                <w:sz w:val="22"/>
                <w:lang w:val="en-US"/>
              </w:rPr>
              <w:t>srovnání</w:t>
            </w:r>
            <w:proofErr w:type="spellEnd"/>
            <w:r w:rsidRPr="00BA0F9E">
              <w:rPr>
                <w:rFonts w:ascii="Arial" w:hAnsi="Arial" w:cs="Arial"/>
                <w:color w:val="000000"/>
                <w:sz w:val="22"/>
                <w:lang w:val="en-US"/>
              </w:rPr>
              <w:t>:</w:t>
            </w:r>
          </w:p>
        </w:tc>
        <w:tc>
          <w:tcPr>
            <w:tcW w:w="6486" w:type="dxa"/>
            <w:shd w:val="clear" w:color="auto" w:fill="D9D9D9" w:themeFill="background1" w:themeFillShade="D9"/>
          </w:tcPr>
          <w:p w14:paraId="0122B3B4" w14:textId="77777777" w:rsidR="00BA0F9E" w:rsidRPr="00BA0F9E" w:rsidRDefault="00BA0F9E" w:rsidP="007419C7">
            <w:pPr>
              <w:jc w:val="both"/>
              <w:rPr>
                <w:rFonts w:ascii="Arial" w:hAnsi="Arial" w:cs="Arial"/>
                <w:sz w:val="22"/>
              </w:rPr>
            </w:pPr>
            <w:r w:rsidRPr="00BA0F9E">
              <w:rPr>
                <w:rFonts w:ascii="Arial" w:hAnsi="Arial" w:cs="Arial"/>
                <w:bCs/>
                <w:color w:val="000000"/>
                <w:sz w:val="22"/>
                <w:lang w:val="en-US"/>
              </w:rPr>
              <w:t>-</w:t>
            </w:r>
          </w:p>
        </w:tc>
      </w:tr>
      <w:tr w:rsidR="00BA0F9E" w:rsidRPr="00BA0F9E" w14:paraId="06702CC8" w14:textId="77777777" w:rsidTr="008728AF">
        <w:tc>
          <w:tcPr>
            <w:tcW w:w="2802" w:type="dxa"/>
            <w:shd w:val="clear" w:color="auto" w:fill="D9D9D9" w:themeFill="background1" w:themeFillShade="D9"/>
          </w:tcPr>
          <w:p w14:paraId="0309C3FB" w14:textId="1872B8D8" w:rsidR="00BA0F9E" w:rsidRPr="008728AF" w:rsidRDefault="00BA0F9E" w:rsidP="00003B31">
            <w:pPr>
              <w:rPr>
                <w:rFonts w:ascii="Arial" w:hAnsi="Arial" w:cs="Arial"/>
                <w:i/>
                <w:color w:val="000000"/>
                <w:sz w:val="22"/>
                <w:lang w:val="en-US"/>
              </w:rPr>
            </w:pPr>
            <w:proofErr w:type="spellStart"/>
            <w:r w:rsidRPr="008728AF">
              <w:rPr>
                <w:rFonts w:ascii="Arial" w:hAnsi="Arial" w:cs="Arial"/>
                <w:i/>
                <w:color w:val="000000"/>
                <w:sz w:val="22"/>
                <w:lang w:val="en-US"/>
              </w:rPr>
              <w:t>Poznámka</w:t>
            </w:r>
            <w:proofErr w:type="spellEnd"/>
            <w:r w:rsidRPr="008728AF">
              <w:rPr>
                <w:rFonts w:ascii="Arial" w:hAnsi="Arial" w:cs="Arial"/>
                <w:i/>
                <w:color w:val="000000"/>
                <w:sz w:val="22"/>
                <w:lang w:val="en-US"/>
              </w:rPr>
              <w:t xml:space="preserve">: </w:t>
            </w:r>
          </w:p>
        </w:tc>
        <w:tc>
          <w:tcPr>
            <w:tcW w:w="6486" w:type="dxa"/>
            <w:shd w:val="clear" w:color="auto" w:fill="D9D9D9" w:themeFill="background1" w:themeFillShade="D9"/>
          </w:tcPr>
          <w:p w14:paraId="28B01707" w14:textId="75E3A9F1" w:rsidR="00BA0F9E" w:rsidRPr="008728AF" w:rsidRDefault="00BA0F9E" w:rsidP="007419C7">
            <w:pPr>
              <w:jc w:val="both"/>
              <w:rPr>
                <w:rFonts w:ascii="Arial" w:hAnsi="Arial" w:cs="Arial"/>
                <w:bCs/>
                <w:i/>
                <w:color w:val="000000"/>
                <w:sz w:val="22"/>
                <w:lang w:val="en-US"/>
              </w:rPr>
            </w:pPr>
            <w:proofErr w:type="spellStart"/>
            <w:r w:rsidRPr="008728AF">
              <w:rPr>
                <w:rFonts w:ascii="Arial" w:hAnsi="Arial" w:cs="Arial"/>
                <w:bCs/>
                <w:i/>
                <w:color w:val="000000"/>
                <w:sz w:val="22"/>
                <w:lang w:val="en-US"/>
              </w:rPr>
              <w:t>Název</w:t>
            </w:r>
            <w:proofErr w:type="spellEnd"/>
            <w:r w:rsidRPr="008728AF">
              <w:rPr>
                <w:rFonts w:ascii="Arial" w:hAnsi="Arial" w:cs="Arial"/>
                <w:bCs/>
                <w:i/>
                <w:color w:val="000000"/>
                <w:sz w:val="22"/>
                <w:lang w:val="en-US"/>
              </w:rPr>
              <w:t xml:space="preserve">, </w:t>
            </w:r>
            <w:proofErr w:type="spellStart"/>
            <w:r w:rsidR="008728AF">
              <w:rPr>
                <w:rFonts w:ascii="Arial" w:hAnsi="Arial" w:cs="Arial"/>
                <w:bCs/>
                <w:i/>
                <w:color w:val="000000"/>
                <w:sz w:val="22"/>
                <w:lang w:val="en-US"/>
              </w:rPr>
              <w:t>definice</w:t>
            </w:r>
            <w:proofErr w:type="spellEnd"/>
            <w:r w:rsidR="008728AF">
              <w:rPr>
                <w:rFonts w:ascii="Arial" w:hAnsi="Arial" w:cs="Arial"/>
                <w:bCs/>
                <w:i/>
                <w:color w:val="000000"/>
                <w:sz w:val="22"/>
                <w:lang w:val="en-US"/>
              </w:rPr>
              <w:t xml:space="preserve">, </w:t>
            </w:r>
            <w:proofErr w:type="spellStart"/>
            <w:r w:rsidRPr="008728AF">
              <w:rPr>
                <w:rFonts w:ascii="Arial" w:hAnsi="Arial" w:cs="Arial"/>
                <w:bCs/>
                <w:i/>
                <w:color w:val="000000"/>
                <w:sz w:val="22"/>
                <w:lang w:val="en-US"/>
              </w:rPr>
              <w:t>gesce</w:t>
            </w:r>
            <w:proofErr w:type="spellEnd"/>
            <w:r w:rsidRPr="008728AF">
              <w:rPr>
                <w:rFonts w:ascii="Arial" w:hAnsi="Arial" w:cs="Arial"/>
                <w:bCs/>
                <w:i/>
                <w:color w:val="000000"/>
                <w:sz w:val="22"/>
                <w:lang w:val="en-US"/>
              </w:rPr>
              <w:t xml:space="preserve"> a </w:t>
            </w:r>
            <w:proofErr w:type="spellStart"/>
            <w:r w:rsidR="008728AF" w:rsidRPr="008728AF">
              <w:rPr>
                <w:rFonts w:ascii="Arial" w:hAnsi="Arial" w:cs="Arial"/>
                <w:bCs/>
                <w:i/>
                <w:color w:val="000000"/>
                <w:sz w:val="22"/>
                <w:lang w:val="en-US"/>
              </w:rPr>
              <w:t>členění</w:t>
            </w:r>
            <w:proofErr w:type="spellEnd"/>
            <w:r w:rsidR="008728AF" w:rsidRPr="008728AF">
              <w:rPr>
                <w:rFonts w:ascii="Arial" w:hAnsi="Arial" w:cs="Arial"/>
                <w:bCs/>
                <w:i/>
                <w:color w:val="000000"/>
                <w:sz w:val="22"/>
                <w:lang w:val="en-US"/>
              </w:rPr>
              <w:t xml:space="preserve"> </w:t>
            </w:r>
            <w:proofErr w:type="spellStart"/>
            <w:r w:rsidR="008728AF" w:rsidRPr="008728AF">
              <w:rPr>
                <w:rFonts w:ascii="Arial" w:hAnsi="Arial" w:cs="Arial"/>
                <w:bCs/>
                <w:i/>
                <w:color w:val="000000"/>
                <w:sz w:val="22"/>
                <w:lang w:val="en-US"/>
              </w:rPr>
              <w:t>indikátoru</w:t>
            </w:r>
            <w:proofErr w:type="spellEnd"/>
            <w:r w:rsidR="008728AF" w:rsidRPr="008728AF">
              <w:rPr>
                <w:rFonts w:ascii="Arial" w:hAnsi="Arial" w:cs="Arial"/>
                <w:bCs/>
                <w:i/>
                <w:color w:val="000000"/>
                <w:sz w:val="22"/>
                <w:lang w:val="en-US"/>
              </w:rPr>
              <w:t xml:space="preserve"> </w:t>
            </w:r>
            <w:proofErr w:type="spellStart"/>
            <w:r w:rsidR="008728AF" w:rsidRPr="008728AF">
              <w:rPr>
                <w:rFonts w:ascii="Arial" w:hAnsi="Arial" w:cs="Arial"/>
                <w:bCs/>
                <w:i/>
                <w:color w:val="000000"/>
                <w:sz w:val="22"/>
                <w:lang w:val="en-US"/>
              </w:rPr>
              <w:t>budou</w:t>
            </w:r>
            <w:proofErr w:type="spellEnd"/>
            <w:r w:rsidR="008728AF" w:rsidRPr="008728AF">
              <w:rPr>
                <w:rFonts w:ascii="Arial" w:hAnsi="Arial" w:cs="Arial"/>
                <w:bCs/>
                <w:i/>
                <w:color w:val="000000"/>
                <w:sz w:val="22"/>
                <w:lang w:val="en-US"/>
              </w:rPr>
              <w:t xml:space="preserve"> </w:t>
            </w:r>
            <w:proofErr w:type="spellStart"/>
            <w:r w:rsidR="008728AF" w:rsidRPr="008728AF">
              <w:rPr>
                <w:rFonts w:ascii="Arial" w:hAnsi="Arial" w:cs="Arial"/>
                <w:bCs/>
                <w:i/>
                <w:color w:val="000000"/>
                <w:sz w:val="22"/>
                <w:lang w:val="en-US"/>
              </w:rPr>
              <w:t>dopracovány</w:t>
            </w:r>
            <w:proofErr w:type="spellEnd"/>
            <w:r w:rsidRPr="008728AF">
              <w:rPr>
                <w:rFonts w:ascii="Arial" w:hAnsi="Arial" w:cs="Arial"/>
                <w:bCs/>
                <w:i/>
                <w:color w:val="000000"/>
                <w:sz w:val="22"/>
                <w:lang w:val="en-US"/>
              </w:rPr>
              <w:t xml:space="preserve"> </w:t>
            </w:r>
            <w:proofErr w:type="spellStart"/>
            <w:r w:rsidRPr="008728AF">
              <w:rPr>
                <w:rFonts w:ascii="Arial" w:hAnsi="Arial" w:cs="Arial"/>
                <w:bCs/>
                <w:i/>
                <w:color w:val="000000"/>
                <w:sz w:val="22"/>
                <w:lang w:val="en-US"/>
              </w:rPr>
              <w:t>ve</w:t>
            </w:r>
            <w:proofErr w:type="spellEnd"/>
            <w:r w:rsidRPr="008728AF">
              <w:rPr>
                <w:rFonts w:ascii="Arial" w:hAnsi="Arial" w:cs="Arial"/>
                <w:bCs/>
                <w:i/>
                <w:color w:val="000000"/>
                <w:sz w:val="22"/>
                <w:lang w:val="en-US"/>
              </w:rPr>
              <w:t xml:space="preserve"> </w:t>
            </w:r>
            <w:proofErr w:type="spellStart"/>
            <w:r w:rsidRPr="008728AF">
              <w:rPr>
                <w:rFonts w:ascii="Arial" w:hAnsi="Arial" w:cs="Arial"/>
                <w:bCs/>
                <w:i/>
                <w:color w:val="000000"/>
                <w:sz w:val="22"/>
                <w:lang w:val="en-US"/>
              </w:rPr>
              <w:t>spolupráci</w:t>
            </w:r>
            <w:proofErr w:type="spellEnd"/>
            <w:r w:rsidRPr="008728AF">
              <w:rPr>
                <w:rFonts w:ascii="Arial" w:hAnsi="Arial" w:cs="Arial"/>
                <w:bCs/>
                <w:i/>
                <w:color w:val="000000"/>
                <w:sz w:val="22"/>
                <w:lang w:val="en-US"/>
              </w:rPr>
              <w:t xml:space="preserve"> s </w:t>
            </w:r>
            <w:proofErr w:type="spellStart"/>
            <w:r w:rsidRPr="008728AF">
              <w:rPr>
                <w:rFonts w:ascii="Arial" w:hAnsi="Arial" w:cs="Arial"/>
                <w:bCs/>
                <w:i/>
                <w:color w:val="000000"/>
                <w:sz w:val="22"/>
                <w:lang w:val="en-US"/>
              </w:rPr>
              <w:t>Českým</w:t>
            </w:r>
            <w:proofErr w:type="spellEnd"/>
            <w:r w:rsidRPr="008728AF">
              <w:rPr>
                <w:rFonts w:ascii="Arial" w:hAnsi="Arial" w:cs="Arial"/>
                <w:bCs/>
                <w:i/>
                <w:color w:val="000000"/>
                <w:sz w:val="22"/>
                <w:lang w:val="en-US"/>
              </w:rPr>
              <w:t xml:space="preserve"> </w:t>
            </w:r>
            <w:proofErr w:type="spellStart"/>
            <w:r w:rsidRPr="008728AF">
              <w:rPr>
                <w:rFonts w:ascii="Arial" w:hAnsi="Arial" w:cs="Arial"/>
                <w:bCs/>
                <w:i/>
                <w:color w:val="000000"/>
                <w:sz w:val="22"/>
                <w:lang w:val="en-US"/>
              </w:rPr>
              <w:t>telekomunikačním</w:t>
            </w:r>
            <w:proofErr w:type="spellEnd"/>
            <w:r w:rsidRPr="008728AF">
              <w:rPr>
                <w:rFonts w:ascii="Arial" w:hAnsi="Arial" w:cs="Arial"/>
                <w:bCs/>
                <w:i/>
                <w:color w:val="000000"/>
                <w:sz w:val="22"/>
                <w:lang w:val="en-US"/>
              </w:rPr>
              <w:t xml:space="preserve"> </w:t>
            </w:r>
            <w:proofErr w:type="spellStart"/>
            <w:r w:rsidRPr="008728AF">
              <w:rPr>
                <w:rFonts w:ascii="Arial" w:hAnsi="Arial" w:cs="Arial"/>
                <w:bCs/>
                <w:i/>
                <w:color w:val="000000"/>
                <w:sz w:val="22"/>
                <w:lang w:val="en-US"/>
              </w:rPr>
              <w:t>úřadem</w:t>
            </w:r>
            <w:proofErr w:type="spellEnd"/>
          </w:p>
        </w:tc>
      </w:tr>
    </w:tbl>
    <w:p w14:paraId="72D59D93" w14:textId="77777777" w:rsidR="00833F7B" w:rsidRPr="00833F7B" w:rsidRDefault="00833F7B" w:rsidP="007419C7">
      <w:pPr>
        <w:pStyle w:val="r2030podcle"/>
        <w:numPr>
          <w:ilvl w:val="1"/>
          <w:numId w:val="17"/>
        </w:numPr>
        <w:ind w:left="567" w:hanging="425"/>
      </w:pPr>
      <w:r w:rsidRPr="00833F7B">
        <w:t>Navzdory důsledkům změny klimatu stát udržuje vysoký standard vodohospodářských služeb a zároveň zvyšuje jejich dostupnost.</w:t>
      </w:r>
    </w:p>
    <w:tbl>
      <w:tblPr>
        <w:tblStyle w:val="Mkatabulky"/>
        <w:tblW w:w="0" w:type="auto"/>
        <w:tblLook w:val="04A0" w:firstRow="1" w:lastRow="0" w:firstColumn="1" w:lastColumn="0" w:noHBand="0" w:noVBand="1"/>
      </w:tblPr>
      <w:tblGrid>
        <w:gridCol w:w="2802"/>
        <w:gridCol w:w="6486"/>
      </w:tblGrid>
      <w:tr w:rsidR="00666033" w:rsidRPr="00CA79AD" w14:paraId="4119257F" w14:textId="77777777" w:rsidTr="00666033">
        <w:tc>
          <w:tcPr>
            <w:tcW w:w="2802" w:type="dxa"/>
          </w:tcPr>
          <w:p w14:paraId="080AF4E3" w14:textId="77777777" w:rsidR="00666033" w:rsidRPr="00833F7B" w:rsidRDefault="00666033" w:rsidP="00C51B65">
            <w:pPr>
              <w:spacing w:line="276" w:lineRule="auto"/>
              <w:contextualSpacing/>
              <w:rPr>
                <w:rFonts w:ascii="Arial" w:hAnsi="Arial" w:cs="Arial"/>
                <w:sz w:val="22"/>
                <w:szCs w:val="22"/>
              </w:rPr>
            </w:pPr>
            <w:r w:rsidRPr="00833F7B">
              <w:rPr>
                <w:rFonts w:ascii="Arial" w:hAnsi="Arial" w:cs="Arial"/>
                <w:sz w:val="22"/>
                <w:szCs w:val="22"/>
              </w:rPr>
              <w:t xml:space="preserve">Název a označení indikátoru: </w:t>
            </w:r>
          </w:p>
        </w:tc>
        <w:tc>
          <w:tcPr>
            <w:tcW w:w="6486" w:type="dxa"/>
          </w:tcPr>
          <w:p w14:paraId="27614BE8" w14:textId="6E824FA9" w:rsidR="00666033" w:rsidRPr="00C033EE" w:rsidRDefault="003378C0" w:rsidP="00C51B65">
            <w:pPr>
              <w:spacing w:line="276" w:lineRule="auto"/>
              <w:contextualSpacing/>
              <w:rPr>
                <w:rFonts w:ascii="Arial" w:hAnsi="Arial" w:cs="Arial"/>
                <w:b/>
                <w:sz w:val="22"/>
                <w:szCs w:val="22"/>
              </w:rPr>
            </w:pPr>
            <w:r>
              <w:rPr>
                <w:rFonts w:ascii="Arial" w:hAnsi="Arial" w:cs="Arial"/>
                <w:b/>
                <w:sz w:val="22"/>
                <w:szCs w:val="22"/>
              </w:rPr>
              <w:t>10.6</w:t>
            </w:r>
            <w:r w:rsidR="00666033" w:rsidRPr="00C033EE">
              <w:rPr>
                <w:rFonts w:ascii="Arial" w:hAnsi="Arial" w:cs="Arial"/>
                <w:b/>
                <w:sz w:val="22"/>
                <w:szCs w:val="22"/>
              </w:rPr>
              <w:t>.1 Obyvatelé zásobovaní vodou z vodovodů pro veřejnou potřebu</w:t>
            </w:r>
          </w:p>
          <w:p w14:paraId="5AA9D9E6" w14:textId="77777777" w:rsidR="00666033" w:rsidRPr="00CA79AD" w:rsidRDefault="00666033" w:rsidP="00C51B65">
            <w:pPr>
              <w:spacing w:line="276" w:lineRule="auto"/>
              <w:contextualSpacing/>
              <w:rPr>
                <w:rFonts w:ascii="Arial" w:hAnsi="Arial" w:cs="Arial"/>
                <w:sz w:val="22"/>
                <w:szCs w:val="22"/>
              </w:rPr>
            </w:pPr>
          </w:p>
        </w:tc>
      </w:tr>
      <w:tr w:rsidR="00666033" w:rsidRPr="00CA79AD" w14:paraId="7B552136" w14:textId="77777777" w:rsidTr="00666033">
        <w:tc>
          <w:tcPr>
            <w:tcW w:w="2802" w:type="dxa"/>
          </w:tcPr>
          <w:p w14:paraId="7CC043E9" w14:textId="77777777" w:rsidR="00666033" w:rsidRPr="00833F7B" w:rsidRDefault="00666033" w:rsidP="00C51B65">
            <w:pPr>
              <w:spacing w:line="276" w:lineRule="auto"/>
              <w:contextualSpacing/>
              <w:rPr>
                <w:rFonts w:ascii="Arial" w:hAnsi="Arial" w:cs="Arial"/>
                <w:sz w:val="22"/>
                <w:szCs w:val="22"/>
              </w:rPr>
            </w:pPr>
            <w:r w:rsidRPr="00833F7B">
              <w:rPr>
                <w:rFonts w:ascii="Arial" w:hAnsi="Arial" w:cs="Arial"/>
                <w:sz w:val="22"/>
                <w:szCs w:val="22"/>
              </w:rPr>
              <w:t xml:space="preserve">Stručná definice: </w:t>
            </w:r>
          </w:p>
        </w:tc>
        <w:tc>
          <w:tcPr>
            <w:tcW w:w="6486" w:type="dxa"/>
          </w:tcPr>
          <w:p w14:paraId="76FA4C7C" w14:textId="77777777" w:rsidR="00666033" w:rsidRPr="00CA79AD" w:rsidRDefault="00666033" w:rsidP="008A111E">
            <w:pPr>
              <w:spacing w:line="276" w:lineRule="auto"/>
              <w:contextualSpacing/>
              <w:jc w:val="both"/>
              <w:rPr>
                <w:rFonts w:ascii="Arial" w:hAnsi="Arial" w:cs="Arial"/>
                <w:sz w:val="22"/>
                <w:szCs w:val="22"/>
              </w:rPr>
            </w:pPr>
            <w:r w:rsidRPr="00CA79AD">
              <w:rPr>
                <w:rFonts w:ascii="Arial" w:hAnsi="Arial" w:cs="Arial"/>
                <w:sz w:val="22"/>
                <w:szCs w:val="22"/>
              </w:rPr>
              <w:t>Počet obyvatel trvale bydlících v domech připojených na vodovod pro veřejnou potřebu nebo zásobova</w:t>
            </w:r>
            <w:r w:rsidR="00AF4003">
              <w:rPr>
                <w:rFonts w:ascii="Arial" w:hAnsi="Arial" w:cs="Arial"/>
                <w:sz w:val="22"/>
                <w:szCs w:val="22"/>
              </w:rPr>
              <w:t xml:space="preserve">ných vodou </w:t>
            </w:r>
            <w:r w:rsidR="00AF4003">
              <w:rPr>
                <w:rFonts w:ascii="Arial" w:hAnsi="Arial" w:cs="Arial"/>
                <w:sz w:val="22"/>
                <w:szCs w:val="22"/>
              </w:rPr>
              <w:lastRenderedPageBreak/>
              <w:t>z veřejných stojanů</w:t>
            </w:r>
          </w:p>
        </w:tc>
      </w:tr>
      <w:tr w:rsidR="00666033" w:rsidRPr="00CA79AD" w14:paraId="118F7039" w14:textId="77777777" w:rsidTr="00666033">
        <w:tc>
          <w:tcPr>
            <w:tcW w:w="2802" w:type="dxa"/>
          </w:tcPr>
          <w:p w14:paraId="0BE811AD" w14:textId="77777777" w:rsidR="00666033" w:rsidRPr="00833F7B" w:rsidRDefault="00666033" w:rsidP="00C51B65">
            <w:pPr>
              <w:spacing w:line="276" w:lineRule="auto"/>
              <w:contextualSpacing/>
              <w:rPr>
                <w:rFonts w:ascii="Arial" w:hAnsi="Arial" w:cs="Arial"/>
                <w:sz w:val="22"/>
                <w:szCs w:val="22"/>
              </w:rPr>
            </w:pPr>
            <w:r w:rsidRPr="00833F7B">
              <w:rPr>
                <w:rFonts w:ascii="Arial" w:hAnsi="Arial" w:cs="Arial"/>
                <w:sz w:val="22"/>
                <w:szCs w:val="22"/>
              </w:rPr>
              <w:lastRenderedPageBreak/>
              <w:t>Jednotka:</w:t>
            </w:r>
          </w:p>
        </w:tc>
        <w:tc>
          <w:tcPr>
            <w:tcW w:w="6486" w:type="dxa"/>
          </w:tcPr>
          <w:p w14:paraId="60FAD377" w14:textId="77777777" w:rsidR="00666033" w:rsidRPr="00CA79AD" w:rsidRDefault="00833F7B" w:rsidP="008A111E">
            <w:pPr>
              <w:spacing w:line="276" w:lineRule="auto"/>
              <w:contextualSpacing/>
              <w:jc w:val="both"/>
              <w:rPr>
                <w:rFonts w:ascii="Arial" w:hAnsi="Arial" w:cs="Arial"/>
                <w:sz w:val="22"/>
                <w:szCs w:val="22"/>
              </w:rPr>
            </w:pPr>
            <w:r>
              <w:rPr>
                <w:rFonts w:ascii="Arial" w:hAnsi="Arial" w:cs="Arial"/>
                <w:sz w:val="22"/>
                <w:szCs w:val="22"/>
              </w:rPr>
              <w:t>Počet osob</w:t>
            </w:r>
          </w:p>
        </w:tc>
      </w:tr>
      <w:tr w:rsidR="00666033" w:rsidRPr="00CA79AD" w14:paraId="711750B7" w14:textId="77777777" w:rsidTr="00666033">
        <w:tc>
          <w:tcPr>
            <w:tcW w:w="2802" w:type="dxa"/>
          </w:tcPr>
          <w:p w14:paraId="46D0F513" w14:textId="77777777" w:rsidR="00666033" w:rsidRPr="00833F7B" w:rsidRDefault="00666033" w:rsidP="00C51B65">
            <w:pPr>
              <w:spacing w:line="276" w:lineRule="auto"/>
              <w:contextualSpacing/>
              <w:rPr>
                <w:rFonts w:ascii="Arial" w:hAnsi="Arial" w:cs="Arial"/>
                <w:sz w:val="22"/>
                <w:szCs w:val="22"/>
              </w:rPr>
            </w:pPr>
            <w:r w:rsidRPr="00833F7B">
              <w:rPr>
                <w:rFonts w:ascii="Arial" w:hAnsi="Arial" w:cs="Arial"/>
                <w:sz w:val="22"/>
                <w:szCs w:val="22"/>
              </w:rPr>
              <w:t xml:space="preserve">Gestor: </w:t>
            </w:r>
          </w:p>
        </w:tc>
        <w:tc>
          <w:tcPr>
            <w:tcW w:w="6486" w:type="dxa"/>
          </w:tcPr>
          <w:p w14:paraId="5956C6D9" w14:textId="77777777" w:rsidR="00666033" w:rsidRPr="00FA49D6" w:rsidRDefault="00666033" w:rsidP="008A111E">
            <w:pPr>
              <w:spacing w:line="276" w:lineRule="auto"/>
              <w:contextualSpacing/>
              <w:jc w:val="both"/>
              <w:rPr>
                <w:rFonts w:ascii="Arial" w:hAnsi="Arial" w:cs="Arial"/>
                <w:sz w:val="22"/>
                <w:szCs w:val="22"/>
              </w:rPr>
            </w:pPr>
            <w:r w:rsidRPr="00FA49D6">
              <w:rPr>
                <w:rFonts w:ascii="Arial" w:hAnsi="Arial" w:cs="Arial"/>
                <w:sz w:val="22"/>
                <w:szCs w:val="22"/>
              </w:rPr>
              <w:t xml:space="preserve">Český statistický úřad </w:t>
            </w:r>
          </w:p>
        </w:tc>
      </w:tr>
      <w:tr w:rsidR="00666033" w:rsidRPr="00CA79AD" w14:paraId="336505E9" w14:textId="77777777" w:rsidTr="00666033">
        <w:tc>
          <w:tcPr>
            <w:tcW w:w="2802" w:type="dxa"/>
          </w:tcPr>
          <w:p w14:paraId="26806D2D" w14:textId="77777777" w:rsidR="00666033" w:rsidRPr="00833F7B" w:rsidRDefault="00666033" w:rsidP="00C51B65">
            <w:pPr>
              <w:spacing w:line="276" w:lineRule="auto"/>
              <w:contextualSpacing/>
              <w:rPr>
                <w:rFonts w:ascii="Arial" w:hAnsi="Arial" w:cs="Arial"/>
                <w:sz w:val="22"/>
                <w:szCs w:val="22"/>
              </w:rPr>
            </w:pPr>
            <w:r w:rsidRPr="00833F7B">
              <w:rPr>
                <w:rFonts w:ascii="Arial" w:hAnsi="Arial" w:cs="Arial"/>
                <w:sz w:val="22"/>
                <w:szCs w:val="22"/>
              </w:rPr>
              <w:t xml:space="preserve">Význam indikátoru: </w:t>
            </w:r>
          </w:p>
        </w:tc>
        <w:tc>
          <w:tcPr>
            <w:tcW w:w="6486" w:type="dxa"/>
          </w:tcPr>
          <w:p w14:paraId="27E91205" w14:textId="77777777" w:rsidR="00666033" w:rsidRPr="00CA79AD" w:rsidRDefault="00666033" w:rsidP="008A111E">
            <w:pPr>
              <w:spacing w:line="276" w:lineRule="auto"/>
              <w:contextualSpacing/>
              <w:jc w:val="both"/>
              <w:rPr>
                <w:rFonts w:ascii="Arial" w:hAnsi="Arial" w:cs="Arial"/>
                <w:sz w:val="22"/>
                <w:szCs w:val="22"/>
              </w:rPr>
            </w:pPr>
            <w:r>
              <w:rPr>
                <w:rFonts w:ascii="Arial" w:hAnsi="Arial" w:cs="Arial"/>
                <w:sz w:val="22"/>
                <w:szCs w:val="22"/>
              </w:rPr>
              <w:t xml:space="preserve">Kvalita pitné vody dostupné z veřejného vodovodu je daná zákonem a v dodávkách nesmí být podkročena. Tento vysoký standard lze nejlépe zajistit právě v místech napojených na veřejný vodovod. </w:t>
            </w:r>
          </w:p>
        </w:tc>
      </w:tr>
      <w:tr w:rsidR="00666033" w:rsidRPr="00CA79AD" w14:paraId="0121CD63" w14:textId="77777777" w:rsidTr="00666033">
        <w:tc>
          <w:tcPr>
            <w:tcW w:w="2802" w:type="dxa"/>
          </w:tcPr>
          <w:p w14:paraId="45A0890C" w14:textId="77777777" w:rsidR="00666033" w:rsidRPr="00833F7B" w:rsidRDefault="00666033" w:rsidP="00C51B65">
            <w:pPr>
              <w:spacing w:line="276" w:lineRule="auto"/>
              <w:contextualSpacing/>
              <w:rPr>
                <w:rFonts w:ascii="Arial" w:hAnsi="Arial" w:cs="Arial"/>
                <w:sz w:val="22"/>
                <w:szCs w:val="22"/>
              </w:rPr>
            </w:pPr>
            <w:r w:rsidRPr="00833F7B">
              <w:rPr>
                <w:rFonts w:ascii="Arial" w:hAnsi="Arial" w:cs="Arial"/>
                <w:sz w:val="22"/>
                <w:szCs w:val="22"/>
              </w:rPr>
              <w:t xml:space="preserve">Časová řada: </w:t>
            </w:r>
          </w:p>
        </w:tc>
        <w:tc>
          <w:tcPr>
            <w:tcW w:w="6486" w:type="dxa"/>
          </w:tcPr>
          <w:p w14:paraId="3AB65D30" w14:textId="77777777" w:rsidR="00666033" w:rsidRPr="00CA79AD" w:rsidRDefault="00666033" w:rsidP="008A111E">
            <w:pPr>
              <w:spacing w:line="276" w:lineRule="auto"/>
              <w:contextualSpacing/>
              <w:jc w:val="both"/>
              <w:rPr>
                <w:rFonts w:ascii="Arial" w:hAnsi="Arial" w:cs="Arial"/>
                <w:sz w:val="22"/>
                <w:szCs w:val="22"/>
              </w:rPr>
            </w:pPr>
            <w:r w:rsidRPr="00CA79AD">
              <w:rPr>
                <w:rFonts w:ascii="Arial" w:hAnsi="Arial" w:cs="Arial"/>
                <w:sz w:val="22"/>
                <w:szCs w:val="22"/>
              </w:rPr>
              <w:t>ČR od roku 1958, současné kraje od roku 2000, pro kraje platné do roku 1999 jsou časové řady od roku 1960 do 1999</w:t>
            </w:r>
          </w:p>
        </w:tc>
      </w:tr>
      <w:tr w:rsidR="00666033" w:rsidRPr="00CA79AD" w14:paraId="64C611D5" w14:textId="77777777" w:rsidTr="00666033">
        <w:tc>
          <w:tcPr>
            <w:tcW w:w="2802" w:type="dxa"/>
          </w:tcPr>
          <w:p w14:paraId="08D1055E" w14:textId="77777777" w:rsidR="00666033" w:rsidRPr="00833F7B" w:rsidRDefault="00666033" w:rsidP="00C51B65">
            <w:pPr>
              <w:spacing w:line="276" w:lineRule="auto"/>
              <w:contextualSpacing/>
              <w:rPr>
                <w:rFonts w:ascii="Arial" w:hAnsi="Arial" w:cs="Arial"/>
                <w:sz w:val="22"/>
                <w:szCs w:val="22"/>
              </w:rPr>
            </w:pPr>
            <w:r w:rsidRPr="00833F7B">
              <w:rPr>
                <w:rFonts w:ascii="Arial" w:hAnsi="Arial" w:cs="Arial"/>
                <w:sz w:val="22"/>
                <w:szCs w:val="22"/>
              </w:rPr>
              <w:t xml:space="preserve">Frekvence výstupu: </w:t>
            </w:r>
          </w:p>
        </w:tc>
        <w:tc>
          <w:tcPr>
            <w:tcW w:w="6486" w:type="dxa"/>
          </w:tcPr>
          <w:p w14:paraId="55C795AE" w14:textId="77777777" w:rsidR="00666033" w:rsidRPr="00CA79AD" w:rsidRDefault="001500B5" w:rsidP="008A111E">
            <w:pPr>
              <w:spacing w:line="276" w:lineRule="auto"/>
              <w:contextualSpacing/>
              <w:jc w:val="both"/>
              <w:rPr>
                <w:rFonts w:ascii="Arial" w:hAnsi="Arial" w:cs="Arial"/>
                <w:sz w:val="22"/>
                <w:szCs w:val="22"/>
              </w:rPr>
            </w:pPr>
            <w:r>
              <w:rPr>
                <w:rFonts w:ascii="Arial" w:hAnsi="Arial" w:cs="Arial"/>
                <w:sz w:val="22"/>
                <w:szCs w:val="22"/>
              </w:rPr>
              <w:t>Ročně</w:t>
            </w:r>
          </w:p>
        </w:tc>
      </w:tr>
      <w:tr w:rsidR="00666033" w:rsidRPr="00CA79AD" w14:paraId="69274725" w14:textId="77777777" w:rsidTr="00666033">
        <w:trPr>
          <w:trHeight w:val="70"/>
        </w:trPr>
        <w:tc>
          <w:tcPr>
            <w:tcW w:w="2802" w:type="dxa"/>
          </w:tcPr>
          <w:p w14:paraId="1DA703D4" w14:textId="77777777" w:rsidR="00666033" w:rsidRPr="00833F7B" w:rsidRDefault="00666033" w:rsidP="00C51B65">
            <w:pPr>
              <w:spacing w:line="276" w:lineRule="auto"/>
              <w:contextualSpacing/>
              <w:rPr>
                <w:rFonts w:ascii="Arial" w:hAnsi="Arial" w:cs="Arial"/>
                <w:sz w:val="22"/>
                <w:szCs w:val="22"/>
              </w:rPr>
            </w:pPr>
            <w:r w:rsidRPr="00833F7B">
              <w:rPr>
                <w:rFonts w:ascii="Arial" w:hAnsi="Arial" w:cs="Arial"/>
                <w:sz w:val="22"/>
                <w:szCs w:val="22"/>
              </w:rPr>
              <w:t xml:space="preserve">Členění indikátoru: </w:t>
            </w:r>
          </w:p>
        </w:tc>
        <w:tc>
          <w:tcPr>
            <w:tcW w:w="6486" w:type="dxa"/>
          </w:tcPr>
          <w:p w14:paraId="2B4AA1A0" w14:textId="090A0127" w:rsidR="00666033" w:rsidRPr="00CA79AD" w:rsidRDefault="007419C7" w:rsidP="008A111E">
            <w:pPr>
              <w:spacing w:line="276" w:lineRule="auto"/>
              <w:contextualSpacing/>
              <w:jc w:val="both"/>
              <w:rPr>
                <w:rFonts w:ascii="Arial" w:hAnsi="Arial" w:cs="Arial"/>
                <w:sz w:val="22"/>
                <w:szCs w:val="22"/>
              </w:rPr>
            </w:pPr>
            <w:r>
              <w:rPr>
                <w:rFonts w:ascii="Arial" w:hAnsi="Arial" w:cs="Arial"/>
                <w:sz w:val="22"/>
                <w:szCs w:val="22"/>
              </w:rPr>
              <w:t>Celostátně</w:t>
            </w:r>
            <w:r w:rsidR="00666033" w:rsidRPr="00CA79AD">
              <w:rPr>
                <w:rFonts w:ascii="Arial" w:hAnsi="Arial" w:cs="Arial"/>
                <w:sz w:val="22"/>
                <w:szCs w:val="22"/>
              </w:rPr>
              <w:t xml:space="preserve">, </w:t>
            </w:r>
            <w:r>
              <w:rPr>
                <w:rFonts w:ascii="Arial" w:hAnsi="Arial" w:cs="Arial"/>
                <w:sz w:val="22"/>
                <w:szCs w:val="22"/>
              </w:rPr>
              <w:t>dle krajů</w:t>
            </w:r>
          </w:p>
        </w:tc>
      </w:tr>
      <w:tr w:rsidR="00666033" w:rsidRPr="00CA79AD" w14:paraId="3ABABDDD" w14:textId="77777777" w:rsidTr="00666033">
        <w:trPr>
          <w:trHeight w:val="70"/>
        </w:trPr>
        <w:tc>
          <w:tcPr>
            <w:tcW w:w="2802" w:type="dxa"/>
          </w:tcPr>
          <w:p w14:paraId="22E15659" w14:textId="77777777" w:rsidR="00666033" w:rsidRPr="00833F7B" w:rsidRDefault="00666033" w:rsidP="00C51B65">
            <w:pPr>
              <w:spacing w:line="276" w:lineRule="auto"/>
              <w:contextualSpacing/>
              <w:rPr>
                <w:rFonts w:ascii="Arial" w:hAnsi="Arial" w:cs="Arial"/>
                <w:sz w:val="22"/>
                <w:szCs w:val="22"/>
              </w:rPr>
            </w:pPr>
            <w:r w:rsidRPr="00833F7B">
              <w:rPr>
                <w:rFonts w:ascii="Arial" w:hAnsi="Arial" w:cs="Arial"/>
                <w:sz w:val="22"/>
                <w:szCs w:val="22"/>
              </w:rPr>
              <w:t>Mezinárodní srovnání:</w:t>
            </w:r>
          </w:p>
        </w:tc>
        <w:tc>
          <w:tcPr>
            <w:tcW w:w="6486" w:type="dxa"/>
          </w:tcPr>
          <w:p w14:paraId="39BA4A22" w14:textId="77777777" w:rsidR="00666033" w:rsidRPr="00CA79AD" w:rsidRDefault="00833F7B" w:rsidP="008A111E">
            <w:pPr>
              <w:spacing w:line="276" w:lineRule="auto"/>
              <w:contextualSpacing/>
              <w:jc w:val="both"/>
              <w:rPr>
                <w:rFonts w:ascii="Arial" w:hAnsi="Arial" w:cs="Arial"/>
                <w:sz w:val="22"/>
                <w:szCs w:val="22"/>
              </w:rPr>
            </w:pPr>
            <w:r>
              <w:rPr>
                <w:rFonts w:ascii="Arial" w:hAnsi="Arial" w:cs="Arial"/>
                <w:sz w:val="22"/>
                <w:szCs w:val="22"/>
              </w:rPr>
              <w:t>-</w:t>
            </w:r>
          </w:p>
        </w:tc>
      </w:tr>
    </w:tbl>
    <w:p w14:paraId="29129403" w14:textId="77777777" w:rsidR="00666033" w:rsidRPr="00CA79AD" w:rsidRDefault="00666033" w:rsidP="00C51B65">
      <w:pPr>
        <w:spacing w:line="276" w:lineRule="auto"/>
        <w:contextualSpacing/>
        <w:rPr>
          <w:rFonts w:ascii="Arial" w:hAnsi="Arial" w:cs="Arial"/>
          <w:b/>
          <w:sz w:val="22"/>
          <w:szCs w:val="22"/>
        </w:rPr>
      </w:pPr>
    </w:p>
    <w:tbl>
      <w:tblPr>
        <w:tblStyle w:val="Mkatabulky"/>
        <w:tblW w:w="0" w:type="auto"/>
        <w:tblLook w:val="04A0" w:firstRow="1" w:lastRow="0" w:firstColumn="1" w:lastColumn="0" w:noHBand="0" w:noVBand="1"/>
      </w:tblPr>
      <w:tblGrid>
        <w:gridCol w:w="2802"/>
        <w:gridCol w:w="6486"/>
      </w:tblGrid>
      <w:tr w:rsidR="00666033" w:rsidRPr="00CA79AD" w14:paraId="3DA08DBE" w14:textId="77777777" w:rsidTr="00666033">
        <w:tc>
          <w:tcPr>
            <w:tcW w:w="2802" w:type="dxa"/>
          </w:tcPr>
          <w:p w14:paraId="48C510EE" w14:textId="77777777" w:rsidR="00666033" w:rsidRPr="00833F7B" w:rsidRDefault="00666033" w:rsidP="00C51B65">
            <w:pPr>
              <w:spacing w:line="276" w:lineRule="auto"/>
              <w:contextualSpacing/>
              <w:rPr>
                <w:rFonts w:ascii="Arial" w:hAnsi="Arial" w:cs="Arial"/>
                <w:sz w:val="22"/>
                <w:szCs w:val="22"/>
              </w:rPr>
            </w:pPr>
            <w:r w:rsidRPr="00833F7B">
              <w:rPr>
                <w:rFonts w:ascii="Arial" w:hAnsi="Arial" w:cs="Arial"/>
                <w:sz w:val="22"/>
                <w:szCs w:val="22"/>
              </w:rPr>
              <w:t xml:space="preserve">Název a označení indikátoru: </w:t>
            </w:r>
          </w:p>
        </w:tc>
        <w:tc>
          <w:tcPr>
            <w:tcW w:w="6486" w:type="dxa"/>
          </w:tcPr>
          <w:p w14:paraId="4B274C22" w14:textId="23ED3929" w:rsidR="00666033" w:rsidRPr="00C033EE" w:rsidRDefault="003378C0" w:rsidP="00FB66D5">
            <w:pPr>
              <w:spacing w:line="276" w:lineRule="auto"/>
              <w:contextualSpacing/>
              <w:rPr>
                <w:rFonts w:ascii="Arial" w:hAnsi="Arial" w:cs="Arial"/>
                <w:b/>
                <w:sz w:val="22"/>
                <w:szCs w:val="22"/>
              </w:rPr>
            </w:pPr>
            <w:r>
              <w:rPr>
                <w:rFonts w:ascii="Arial" w:hAnsi="Arial" w:cs="Arial"/>
                <w:b/>
                <w:sz w:val="22"/>
                <w:szCs w:val="22"/>
              </w:rPr>
              <w:t>10.6</w:t>
            </w:r>
            <w:r w:rsidR="00666033" w:rsidRPr="00C033EE">
              <w:rPr>
                <w:rFonts w:ascii="Arial" w:hAnsi="Arial" w:cs="Arial"/>
                <w:b/>
                <w:sz w:val="22"/>
                <w:szCs w:val="22"/>
              </w:rPr>
              <w:t>.2 Obyvatelé trvale bydlící v domech napojených na kanalizaci pro veřejnou potřebu</w:t>
            </w:r>
            <w:r w:rsidR="00FB66D5">
              <w:rPr>
                <w:rFonts w:ascii="Arial" w:hAnsi="Arial" w:cs="Arial"/>
                <w:b/>
                <w:sz w:val="22"/>
                <w:szCs w:val="22"/>
              </w:rPr>
              <w:t xml:space="preserve"> </w:t>
            </w:r>
            <w:r w:rsidR="00FB66D5" w:rsidRPr="00FB66D5">
              <w:rPr>
                <w:rFonts w:ascii="Arial" w:hAnsi="Arial" w:cs="Arial"/>
                <w:b/>
                <w:sz w:val="22"/>
                <w:szCs w:val="22"/>
              </w:rPr>
              <w:t>s koncovkou ČOV</w:t>
            </w:r>
          </w:p>
        </w:tc>
      </w:tr>
      <w:tr w:rsidR="00666033" w:rsidRPr="00CA79AD" w14:paraId="63FF6957" w14:textId="77777777" w:rsidTr="00666033">
        <w:tc>
          <w:tcPr>
            <w:tcW w:w="2802" w:type="dxa"/>
          </w:tcPr>
          <w:p w14:paraId="536A803F" w14:textId="77777777" w:rsidR="00666033" w:rsidRPr="00833F7B" w:rsidRDefault="00666033" w:rsidP="00C51B65">
            <w:pPr>
              <w:spacing w:line="276" w:lineRule="auto"/>
              <w:contextualSpacing/>
              <w:rPr>
                <w:rFonts w:ascii="Arial" w:hAnsi="Arial" w:cs="Arial"/>
                <w:sz w:val="22"/>
                <w:szCs w:val="22"/>
              </w:rPr>
            </w:pPr>
            <w:r w:rsidRPr="00833F7B">
              <w:rPr>
                <w:rFonts w:ascii="Arial" w:hAnsi="Arial" w:cs="Arial"/>
                <w:sz w:val="22"/>
                <w:szCs w:val="22"/>
              </w:rPr>
              <w:t xml:space="preserve">Stručná definice: </w:t>
            </w:r>
          </w:p>
        </w:tc>
        <w:tc>
          <w:tcPr>
            <w:tcW w:w="6486" w:type="dxa"/>
          </w:tcPr>
          <w:p w14:paraId="37C6E301" w14:textId="77777777" w:rsidR="00666033" w:rsidRPr="00CA79AD" w:rsidRDefault="00666033" w:rsidP="008A111E">
            <w:pPr>
              <w:spacing w:line="276" w:lineRule="auto"/>
              <w:contextualSpacing/>
              <w:jc w:val="both"/>
              <w:rPr>
                <w:rFonts w:ascii="Arial" w:hAnsi="Arial" w:cs="Arial"/>
                <w:sz w:val="22"/>
                <w:szCs w:val="22"/>
              </w:rPr>
            </w:pPr>
            <w:r w:rsidRPr="00CA79AD">
              <w:rPr>
                <w:rFonts w:ascii="Arial" w:hAnsi="Arial" w:cs="Arial"/>
                <w:sz w:val="22"/>
                <w:szCs w:val="22"/>
              </w:rPr>
              <w:t>Počet obyvatel trvale bydlících v domech, které jsou napojeny na kanalizaci pro veřejnou potřebu</w:t>
            </w:r>
          </w:p>
        </w:tc>
      </w:tr>
      <w:tr w:rsidR="00666033" w:rsidRPr="00CA79AD" w14:paraId="2D013A1B" w14:textId="77777777" w:rsidTr="00666033">
        <w:tc>
          <w:tcPr>
            <w:tcW w:w="2802" w:type="dxa"/>
          </w:tcPr>
          <w:p w14:paraId="58790F7D" w14:textId="77777777" w:rsidR="00666033" w:rsidRPr="00833F7B" w:rsidRDefault="00666033" w:rsidP="00C51B65">
            <w:pPr>
              <w:spacing w:line="276" w:lineRule="auto"/>
              <w:contextualSpacing/>
              <w:rPr>
                <w:rFonts w:ascii="Arial" w:hAnsi="Arial" w:cs="Arial"/>
                <w:sz w:val="22"/>
                <w:szCs w:val="22"/>
              </w:rPr>
            </w:pPr>
            <w:r w:rsidRPr="00833F7B">
              <w:rPr>
                <w:rFonts w:ascii="Arial" w:hAnsi="Arial" w:cs="Arial"/>
                <w:sz w:val="22"/>
                <w:szCs w:val="22"/>
              </w:rPr>
              <w:t>Jednotka:</w:t>
            </w:r>
          </w:p>
        </w:tc>
        <w:tc>
          <w:tcPr>
            <w:tcW w:w="6486" w:type="dxa"/>
          </w:tcPr>
          <w:p w14:paraId="375402EE" w14:textId="77777777" w:rsidR="00666033" w:rsidRPr="00CA79AD" w:rsidRDefault="00833F7B" w:rsidP="008A111E">
            <w:pPr>
              <w:spacing w:line="276" w:lineRule="auto"/>
              <w:contextualSpacing/>
              <w:jc w:val="both"/>
              <w:rPr>
                <w:rFonts w:ascii="Arial" w:hAnsi="Arial" w:cs="Arial"/>
                <w:sz w:val="22"/>
                <w:szCs w:val="22"/>
              </w:rPr>
            </w:pPr>
            <w:r>
              <w:rPr>
                <w:rFonts w:ascii="Arial" w:hAnsi="Arial" w:cs="Arial"/>
                <w:sz w:val="22"/>
                <w:szCs w:val="22"/>
              </w:rPr>
              <w:t>Počet osob</w:t>
            </w:r>
          </w:p>
        </w:tc>
      </w:tr>
      <w:tr w:rsidR="00666033" w:rsidRPr="00CA79AD" w14:paraId="6CA50FBF" w14:textId="77777777" w:rsidTr="00666033">
        <w:tc>
          <w:tcPr>
            <w:tcW w:w="2802" w:type="dxa"/>
          </w:tcPr>
          <w:p w14:paraId="231EE8E4" w14:textId="77777777" w:rsidR="00666033" w:rsidRPr="00833F7B" w:rsidRDefault="00666033" w:rsidP="00C51B65">
            <w:pPr>
              <w:spacing w:line="276" w:lineRule="auto"/>
              <w:contextualSpacing/>
              <w:rPr>
                <w:rFonts w:ascii="Arial" w:hAnsi="Arial" w:cs="Arial"/>
                <w:sz w:val="22"/>
                <w:szCs w:val="22"/>
              </w:rPr>
            </w:pPr>
            <w:r w:rsidRPr="00833F7B">
              <w:rPr>
                <w:rFonts w:ascii="Arial" w:hAnsi="Arial" w:cs="Arial"/>
                <w:sz w:val="22"/>
                <w:szCs w:val="22"/>
              </w:rPr>
              <w:t xml:space="preserve">Gestor: </w:t>
            </w:r>
          </w:p>
        </w:tc>
        <w:tc>
          <w:tcPr>
            <w:tcW w:w="6486" w:type="dxa"/>
          </w:tcPr>
          <w:p w14:paraId="73D92673" w14:textId="77777777" w:rsidR="00666033" w:rsidRPr="00FA49D6" w:rsidRDefault="00666033" w:rsidP="008A111E">
            <w:pPr>
              <w:spacing w:line="276" w:lineRule="auto"/>
              <w:contextualSpacing/>
              <w:jc w:val="both"/>
              <w:rPr>
                <w:rFonts w:ascii="Arial" w:hAnsi="Arial" w:cs="Arial"/>
                <w:sz w:val="22"/>
                <w:szCs w:val="22"/>
              </w:rPr>
            </w:pPr>
            <w:r w:rsidRPr="00FA49D6">
              <w:rPr>
                <w:rFonts w:ascii="Arial" w:hAnsi="Arial" w:cs="Arial"/>
                <w:sz w:val="22"/>
                <w:szCs w:val="22"/>
              </w:rPr>
              <w:t>Český statistický úřad</w:t>
            </w:r>
          </w:p>
        </w:tc>
      </w:tr>
      <w:tr w:rsidR="00666033" w:rsidRPr="00CA79AD" w14:paraId="610A84FC" w14:textId="77777777" w:rsidTr="00666033">
        <w:tc>
          <w:tcPr>
            <w:tcW w:w="2802" w:type="dxa"/>
          </w:tcPr>
          <w:p w14:paraId="135A09E7" w14:textId="77777777" w:rsidR="00666033" w:rsidRPr="00833F7B" w:rsidRDefault="00666033" w:rsidP="00C51B65">
            <w:pPr>
              <w:spacing w:line="276" w:lineRule="auto"/>
              <w:contextualSpacing/>
              <w:rPr>
                <w:rFonts w:ascii="Arial" w:hAnsi="Arial" w:cs="Arial"/>
                <w:sz w:val="22"/>
                <w:szCs w:val="22"/>
              </w:rPr>
            </w:pPr>
            <w:r w:rsidRPr="00833F7B">
              <w:rPr>
                <w:rFonts w:ascii="Arial" w:hAnsi="Arial" w:cs="Arial"/>
                <w:sz w:val="22"/>
                <w:szCs w:val="22"/>
              </w:rPr>
              <w:t xml:space="preserve">Význam indikátoru: </w:t>
            </w:r>
          </w:p>
        </w:tc>
        <w:tc>
          <w:tcPr>
            <w:tcW w:w="6486" w:type="dxa"/>
          </w:tcPr>
          <w:p w14:paraId="003A8B9C" w14:textId="77777777" w:rsidR="00666033" w:rsidRPr="00CA79AD" w:rsidRDefault="00666033" w:rsidP="008A111E">
            <w:pPr>
              <w:spacing w:line="276" w:lineRule="auto"/>
              <w:contextualSpacing/>
              <w:jc w:val="both"/>
              <w:rPr>
                <w:rFonts w:ascii="Arial" w:hAnsi="Arial" w:cs="Arial"/>
                <w:sz w:val="22"/>
                <w:szCs w:val="22"/>
              </w:rPr>
            </w:pPr>
            <w:r>
              <w:rPr>
                <w:rFonts w:ascii="Arial" w:hAnsi="Arial" w:cs="Arial"/>
                <w:sz w:val="22"/>
                <w:szCs w:val="22"/>
              </w:rPr>
              <w:t>Vyšší počet uživatelů napojených na kanalizační síť zároveň zvyšuje podíl vypouštěných vod, jejichž kvalita je kontrolována.</w:t>
            </w:r>
          </w:p>
        </w:tc>
      </w:tr>
      <w:tr w:rsidR="00666033" w:rsidRPr="00CA79AD" w14:paraId="217A7C31" w14:textId="77777777" w:rsidTr="00666033">
        <w:tc>
          <w:tcPr>
            <w:tcW w:w="2802" w:type="dxa"/>
          </w:tcPr>
          <w:p w14:paraId="6B9CA2EB" w14:textId="77777777" w:rsidR="00666033" w:rsidRPr="00833F7B" w:rsidRDefault="00666033" w:rsidP="00C51B65">
            <w:pPr>
              <w:spacing w:line="276" w:lineRule="auto"/>
              <w:contextualSpacing/>
              <w:rPr>
                <w:rFonts w:ascii="Arial" w:hAnsi="Arial" w:cs="Arial"/>
                <w:sz w:val="22"/>
                <w:szCs w:val="22"/>
              </w:rPr>
            </w:pPr>
            <w:r w:rsidRPr="00833F7B">
              <w:rPr>
                <w:rFonts w:ascii="Arial" w:hAnsi="Arial" w:cs="Arial"/>
                <w:sz w:val="22"/>
                <w:szCs w:val="22"/>
              </w:rPr>
              <w:t xml:space="preserve">Časová řada: </w:t>
            </w:r>
          </w:p>
        </w:tc>
        <w:tc>
          <w:tcPr>
            <w:tcW w:w="6486" w:type="dxa"/>
          </w:tcPr>
          <w:p w14:paraId="732304C2" w14:textId="77777777" w:rsidR="00666033" w:rsidRPr="00CA79AD" w:rsidRDefault="00666033" w:rsidP="008A111E">
            <w:pPr>
              <w:spacing w:line="276" w:lineRule="auto"/>
              <w:contextualSpacing/>
              <w:jc w:val="both"/>
              <w:rPr>
                <w:rFonts w:ascii="Arial" w:hAnsi="Arial" w:cs="Arial"/>
                <w:sz w:val="22"/>
                <w:szCs w:val="22"/>
              </w:rPr>
            </w:pPr>
            <w:r w:rsidRPr="00CA79AD">
              <w:rPr>
                <w:rFonts w:ascii="Arial" w:hAnsi="Arial" w:cs="Arial"/>
                <w:sz w:val="22"/>
                <w:szCs w:val="22"/>
              </w:rPr>
              <w:t>ČR od roku 1958, současné kraje od roku 2000, pro kraje platné do roku 1999 jsou časové řady od roku 1960 do 1999</w:t>
            </w:r>
          </w:p>
        </w:tc>
      </w:tr>
      <w:tr w:rsidR="00666033" w:rsidRPr="00CA79AD" w14:paraId="00BE5AA8" w14:textId="77777777" w:rsidTr="00666033">
        <w:tc>
          <w:tcPr>
            <w:tcW w:w="2802" w:type="dxa"/>
          </w:tcPr>
          <w:p w14:paraId="72FB250F" w14:textId="77777777" w:rsidR="00666033" w:rsidRPr="00833F7B" w:rsidRDefault="00666033" w:rsidP="00C51B65">
            <w:pPr>
              <w:spacing w:line="276" w:lineRule="auto"/>
              <w:contextualSpacing/>
              <w:rPr>
                <w:rFonts w:ascii="Arial" w:hAnsi="Arial" w:cs="Arial"/>
                <w:sz w:val="22"/>
                <w:szCs w:val="22"/>
              </w:rPr>
            </w:pPr>
            <w:r w:rsidRPr="00833F7B">
              <w:rPr>
                <w:rFonts w:ascii="Arial" w:hAnsi="Arial" w:cs="Arial"/>
                <w:sz w:val="22"/>
                <w:szCs w:val="22"/>
              </w:rPr>
              <w:t xml:space="preserve">Frekvence výstupu: </w:t>
            </w:r>
          </w:p>
        </w:tc>
        <w:tc>
          <w:tcPr>
            <w:tcW w:w="6486" w:type="dxa"/>
          </w:tcPr>
          <w:p w14:paraId="27C9B8AC" w14:textId="77777777" w:rsidR="00666033" w:rsidRPr="00CA79AD" w:rsidRDefault="000C72E9" w:rsidP="008A111E">
            <w:pPr>
              <w:spacing w:line="276" w:lineRule="auto"/>
              <w:contextualSpacing/>
              <w:jc w:val="both"/>
              <w:rPr>
                <w:rFonts w:ascii="Arial" w:hAnsi="Arial" w:cs="Arial"/>
                <w:sz w:val="22"/>
                <w:szCs w:val="22"/>
              </w:rPr>
            </w:pPr>
            <w:r>
              <w:rPr>
                <w:rFonts w:ascii="Arial" w:hAnsi="Arial" w:cs="Arial"/>
                <w:sz w:val="22"/>
                <w:szCs w:val="22"/>
              </w:rPr>
              <w:t>Ročně</w:t>
            </w:r>
          </w:p>
        </w:tc>
      </w:tr>
      <w:tr w:rsidR="00666033" w:rsidRPr="00CA79AD" w14:paraId="1E43686E" w14:textId="77777777" w:rsidTr="00666033">
        <w:trPr>
          <w:trHeight w:val="70"/>
        </w:trPr>
        <w:tc>
          <w:tcPr>
            <w:tcW w:w="2802" w:type="dxa"/>
          </w:tcPr>
          <w:p w14:paraId="21A88D0A" w14:textId="77777777" w:rsidR="00666033" w:rsidRPr="00833F7B" w:rsidRDefault="00666033" w:rsidP="00C51B65">
            <w:pPr>
              <w:spacing w:line="276" w:lineRule="auto"/>
              <w:contextualSpacing/>
              <w:rPr>
                <w:rFonts w:ascii="Arial" w:hAnsi="Arial" w:cs="Arial"/>
                <w:sz w:val="22"/>
                <w:szCs w:val="22"/>
              </w:rPr>
            </w:pPr>
            <w:r w:rsidRPr="00833F7B">
              <w:rPr>
                <w:rFonts w:ascii="Arial" w:hAnsi="Arial" w:cs="Arial"/>
                <w:sz w:val="22"/>
                <w:szCs w:val="22"/>
              </w:rPr>
              <w:t xml:space="preserve">Členění indikátoru: </w:t>
            </w:r>
          </w:p>
        </w:tc>
        <w:tc>
          <w:tcPr>
            <w:tcW w:w="6486" w:type="dxa"/>
          </w:tcPr>
          <w:p w14:paraId="5A378057" w14:textId="6A080B89" w:rsidR="00666033" w:rsidRPr="00CA79AD" w:rsidRDefault="007419C7" w:rsidP="008A111E">
            <w:pPr>
              <w:spacing w:line="276" w:lineRule="auto"/>
              <w:contextualSpacing/>
              <w:jc w:val="both"/>
              <w:rPr>
                <w:rFonts w:ascii="Arial" w:hAnsi="Arial" w:cs="Arial"/>
                <w:sz w:val="22"/>
                <w:szCs w:val="22"/>
              </w:rPr>
            </w:pPr>
            <w:r>
              <w:rPr>
                <w:rFonts w:ascii="Arial" w:hAnsi="Arial" w:cs="Arial"/>
                <w:sz w:val="22"/>
                <w:szCs w:val="22"/>
              </w:rPr>
              <w:t>Celostátně, dle krajů</w:t>
            </w:r>
          </w:p>
        </w:tc>
      </w:tr>
      <w:tr w:rsidR="00666033" w:rsidRPr="00CA79AD" w14:paraId="4654DD5E" w14:textId="77777777" w:rsidTr="00666033">
        <w:trPr>
          <w:trHeight w:val="70"/>
        </w:trPr>
        <w:tc>
          <w:tcPr>
            <w:tcW w:w="2802" w:type="dxa"/>
          </w:tcPr>
          <w:p w14:paraId="1B0A0573" w14:textId="77777777" w:rsidR="00666033" w:rsidRPr="00833F7B" w:rsidRDefault="00666033" w:rsidP="00C51B65">
            <w:pPr>
              <w:spacing w:line="276" w:lineRule="auto"/>
              <w:contextualSpacing/>
              <w:rPr>
                <w:rFonts w:ascii="Arial" w:hAnsi="Arial" w:cs="Arial"/>
                <w:sz w:val="22"/>
                <w:szCs w:val="22"/>
              </w:rPr>
            </w:pPr>
            <w:r w:rsidRPr="00833F7B">
              <w:rPr>
                <w:rFonts w:ascii="Arial" w:hAnsi="Arial" w:cs="Arial"/>
                <w:sz w:val="22"/>
                <w:szCs w:val="22"/>
              </w:rPr>
              <w:t>Mezinárodní srovnání:</w:t>
            </w:r>
          </w:p>
        </w:tc>
        <w:tc>
          <w:tcPr>
            <w:tcW w:w="6486" w:type="dxa"/>
          </w:tcPr>
          <w:p w14:paraId="6A7FDD2C" w14:textId="77777777" w:rsidR="00666033" w:rsidRPr="00833F7B" w:rsidRDefault="00833F7B" w:rsidP="008A111E">
            <w:pPr>
              <w:spacing w:line="276" w:lineRule="auto"/>
              <w:contextualSpacing/>
              <w:jc w:val="both"/>
              <w:rPr>
                <w:rFonts w:ascii="Arial" w:hAnsi="Arial" w:cs="Arial"/>
                <w:sz w:val="22"/>
                <w:szCs w:val="22"/>
              </w:rPr>
            </w:pPr>
            <w:r>
              <w:rPr>
                <w:rFonts w:ascii="Arial" w:hAnsi="Arial" w:cs="Arial"/>
                <w:sz w:val="22"/>
                <w:szCs w:val="22"/>
              </w:rPr>
              <w:t>-</w:t>
            </w:r>
          </w:p>
        </w:tc>
      </w:tr>
    </w:tbl>
    <w:p w14:paraId="40BD26B5" w14:textId="77777777" w:rsidR="00666033" w:rsidRPr="00F677C3" w:rsidRDefault="00515E96" w:rsidP="008A111E">
      <w:pPr>
        <w:pStyle w:val="r2030cle"/>
        <w:numPr>
          <w:ilvl w:val="0"/>
          <w:numId w:val="17"/>
        </w:numPr>
        <w:ind w:left="567" w:hanging="425"/>
        <w:jc w:val="both"/>
      </w:pPr>
      <w:r>
        <w:t>F</w:t>
      </w:r>
      <w:r w:rsidR="00666033" w:rsidRPr="00F677C3">
        <w:t>iskální systém jako předpoklad úspěšného hospodářství</w:t>
      </w:r>
      <w:r>
        <w:t xml:space="preserve"> je stabilní.</w:t>
      </w:r>
    </w:p>
    <w:p w14:paraId="3382B323" w14:textId="77777777" w:rsidR="00666033" w:rsidRPr="003247D0" w:rsidRDefault="00515E96" w:rsidP="008A111E">
      <w:pPr>
        <w:pStyle w:val="r2030podcle"/>
        <w:numPr>
          <w:ilvl w:val="1"/>
          <w:numId w:val="17"/>
        </w:numPr>
        <w:ind w:left="567" w:hanging="425"/>
        <w:jc w:val="both"/>
      </w:pPr>
      <w:r>
        <w:t xml:space="preserve">Střednědobý výhled zachovává </w:t>
      </w:r>
      <w:r w:rsidR="00666033" w:rsidRPr="003247D0">
        <w:t xml:space="preserve">rovnováhu příjmů a výdajů a </w:t>
      </w:r>
      <w:r>
        <w:t xml:space="preserve">dlouhodobě se sleduje udržitelnost. </w:t>
      </w:r>
    </w:p>
    <w:tbl>
      <w:tblPr>
        <w:tblStyle w:val="Mkatabulky"/>
        <w:tblW w:w="0" w:type="auto"/>
        <w:tblLook w:val="04A0" w:firstRow="1" w:lastRow="0" w:firstColumn="1" w:lastColumn="0" w:noHBand="0" w:noVBand="1"/>
      </w:tblPr>
      <w:tblGrid>
        <w:gridCol w:w="2802"/>
        <w:gridCol w:w="6486"/>
      </w:tblGrid>
      <w:tr w:rsidR="00666033" w:rsidRPr="00CA79AD" w14:paraId="21905A37" w14:textId="77777777" w:rsidTr="00666033">
        <w:tc>
          <w:tcPr>
            <w:tcW w:w="2802" w:type="dxa"/>
          </w:tcPr>
          <w:p w14:paraId="381F2733"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Název a označení indikátoru: </w:t>
            </w:r>
          </w:p>
        </w:tc>
        <w:tc>
          <w:tcPr>
            <w:tcW w:w="6486" w:type="dxa"/>
          </w:tcPr>
          <w:p w14:paraId="1E2F8F12" w14:textId="77777777" w:rsidR="00666033" w:rsidRPr="00E54EF4" w:rsidRDefault="00666033" w:rsidP="00C51B65">
            <w:pPr>
              <w:spacing w:line="276" w:lineRule="auto"/>
              <w:rPr>
                <w:rFonts w:ascii="Arial" w:eastAsia="Arial" w:hAnsi="Arial" w:cs="Arial"/>
                <w:b/>
                <w:color w:val="000000"/>
                <w:sz w:val="22"/>
                <w:szCs w:val="22"/>
              </w:rPr>
            </w:pPr>
            <w:r w:rsidRPr="00E54EF4">
              <w:rPr>
                <w:rFonts w:ascii="Arial" w:eastAsia="Arial" w:hAnsi="Arial" w:cs="Arial"/>
                <w:b/>
                <w:color w:val="000000"/>
                <w:sz w:val="22"/>
                <w:szCs w:val="22"/>
              </w:rPr>
              <w:t>11.1.1 Dluh sektoru vládních institucí</w:t>
            </w:r>
          </w:p>
        </w:tc>
      </w:tr>
      <w:tr w:rsidR="00666033" w:rsidRPr="00CA79AD" w14:paraId="069B1BED" w14:textId="77777777" w:rsidTr="00666033">
        <w:tc>
          <w:tcPr>
            <w:tcW w:w="2802" w:type="dxa"/>
          </w:tcPr>
          <w:p w14:paraId="39E1BE0E"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Stručná definice: </w:t>
            </w:r>
          </w:p>
        </w:tc>
        <w:tc>
          <w:tcPr>
            <w:tcW w:w="6486" w:type="dxa"/>
          </w:tcPr>
          <w:p w14:paraId="24450344" w14:textId="77777777" w:rsidR="00666033" w:rsidRPr="00CA79AD" w:rsidRDefault="00666033" w:rsidP="008A111E">
            <w:pPr>
              <w:spacing w:line="276" w:lineRule="auto"/>
              <w:jc w:val="both"/>
              <w:rPr>
                <w:rFonts w:ascii="Arial" w:hAnsi="Arial" w:cs="Arial"/>
                <w:sz w:val="22"/>
                <w:szCs w:val="22"/>
              </w:rPr>
            </w:pPr>
            <w:r w:rsidRPr="00CA79AD">
              <w:rPr>
                <w:rFonts w:ascii="Arial" w:hAnsi="Arial" w:cs="Arial"/>
                <w:sz w:val="22"/>
                <w:szCs w:val="22"/>
              </w:rPr>
              <w:t>Výše konsolidovaných závazků sektoru vládních institucí vyplývajících z přijatých vkladů, emitovaných dluhopisů a přijatých půjček</w:t>
            </w:r>
          </w:p>
        </w:tc>
      </w:tr>
      <w:tr w:rsidR="00666033" w:rsidRPr="00CA79AD" w14:paraId="5B9EFC1B" w14:textId="77777777" w:rsidTr="00666033">
        <w:tc>
          <w:tcPr>
            <w:tcW w:w="2802" w:type="dxa"/>
          </w:tcPr>
          <w:p w14:paraId="078B0CDF"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Jednotka:</w:t>
            </w:r>
          </w:p>
        </w:tc>
        <w:tc>
          <w:tcPr>
            <w:tcW w:w="6486" w:type="dxa"/>
          </w:tcPr>
          <w:p w14:paraId="7C797C35" w14:textId="77777777" w:rsidR="00666033" w:rsidRPr="00CA79AD" w:rsidRDefault="00515E96" w:rsidP="008A111E">
            <w:pPr>
              <w:spacing w:line="276" w:lineRule="auto"/>
              <w:jc w:val="both"/>
              <w:rPr>
                <w:rFonts w:ascii="Arial" w:eastAsia="Arial" w:hAnsi="Arial" w:cs="Arial"/>
                <w:color w:val="000000"/>
                <w:sz w:val="22"/>
                <w:szCs w:val="22"/>
              </w:rPr>
            </w:pPr>
            <w:r>
              <w:rPr>
                <w:rFonts w:ascii="Arial" w:eastAsia="Arial" w:hAnsi="Arial" w:cs="Arial"/>
                <w:color w:val="000000"/>
                <w:sz w:val="22"/>
                <w:szCs w:val="22"/>
              </w:rPr>
              <w:t>Podíl</w:t>
            </w:r>
            <w:r w:rsidR="00666033" w:rsidRPr="00CA79AD">
              <w:rPr>
                <w:rFonts w:ascii="Arial" w:eastAsia="Arial" w:hAnsi="Arial" w:cs="Arial"/>
                <w:color w:val="000000"/>
                <w:sz w:val="22"/>
                <w:szCs w:val="22"/>
              </w:rPr>
              <w:t xml:space="preserve"> HDP</w:t>
            </w:r>
            <w:r>
              <w:rPr>
                <w:rFonts w:ascii="Arial" w:eastAsia="Arial" w:hAnsi="Arial" w:cs="Arial"/>
                <w:color w:val="000000"/>
                <w:sz w:val="22"/>
                <w:szCs w:val="22"/>
              </w:rPr>
              <w:t xml:space="preserve"> (v </w:t>
            </w:r>
            <w:r w:rsidRPr="00CA79AD">
              <w:rPr>
                <w:rFonts w:ascii="Arial" w:eastAsia="Arial" w:hAnsi="Arial" w:cs="Arial"/>
                <w:color w:val="000000"/>
                <w:sz w:val="22"/>
                <w:szCs w:val="22"/>
              </w:rPr>
              <w:t>%</w:t>
            </w:r>
            <w:r>
              <w:rPr>
                <w:rFonts w:ascii="Arial" w:eastAsia="Arial" w:hAnsi="Arial" w:cs="Arial"/>
                <w:color w:val="000000"/>
                <w:sz w:val="22"/>
                <w:szCs w:val="22"/>
              </w:rPr>
              <w:t>)</w:t>
            </w:r>
          </w:p>
        </w:tc>
      </w:tr>
      <w:tr w:rsidR="00666033" w:rsidRPr="00CA79AD" w14:paraId="6CA35D20" w14:textId="77777777" w:rsidTr="00666033">
        <w:tc>
          <w:tcPr>
            <w:tcW w:w="2802" w:type="dxa"/>
          </w:tcPr>
          <w:p w14:paraId="7D3A8593"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Gestor: </w:t>
            </w:r>
          </w:p>
        </w:tc>
        <w:tc>
          <w:tcPr>
            <w:tcW w:w="6486" w:type="dxa"/>
          </w:tcPr>
          <w:p w14:paraId="49235C93" w14:textId="77777777" w:rsidR="00666033" w:rsidRPr="00FA49D6" w:rsidRDefault="00666033" w:rsidP="008A111E">
            <w:pPr>
              <w:spacing w:line="276" w:lineRule="auto"/>
              <w:jc w:val="both"/>
              <w:rPr>
                <w:rFonts w:ascii="Arial" w:hAnsi="Arial" w:cs="Arial"/>
                <w:sz w:val="22"/>
                <w:szCs w:val="22"/>
              </w:rPr>
            </w:pPr>
            <w:r w:rsidRPr="00FA49D6">
              <w:rPr>
                <w:rFonts w:ascii="Arial" w:hAnsi="Arial" w:cs="Arial"/>
                <w:sz w:val="22"/>
                <w:szCs w:val="22"/>
              </w:rPr>
              <w:t>Český statistický úřad</w:t>
            </w:r>
          </w:p>
        </w:tc>
      </w:tr>
      <w:tr w:rsidR="00666033" w:rsidRPr="00CA79AD" w14:paraId="76397E52" w14:textId="77777777" w:rsidTr="00666033">
        <w:tc>
          <w:tcPr>
            <w:tcW w:w="2802" w:type="dxa"/>
          </w:tcPr>
          <w:p w14:paraId="523879C7"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Význam indikátoru: </w:t>
            </w:r>
          </w:p>
        </w:tc>
        <w:tc>
          <w:tcPr>
            <w:tcW w:w="6486" w:type="dxa"/>
          </w:tcPr>
          <w:p w14:paraId="5BA4A986" w14:textId="77777777" w:rsidR="00666033" w:rsidRPr="00CA79AD" w:rsidRDefault="00666033" w:rsidP="008A111E">
            <w:pPr>
              <w:spacing w:line="276" w:lineRule="auto"/>
              <w:jc w:val="both"/>
              <w:rPr>
                <w:rFonts w:ascii="Arial" w:hAnsi="Arial" w:cs="Arial"/>
                <w:sz w:val="22"/>
                <w:szCs w:val="22"/>
              </w:rPr>
            </w:pPr>
            <w:r w:rsidRPr="00CA79AD">
              <w:rPr>
                <w:rFonts w:ascii="Arial" w:hAnsi="Arial" w:cs="Arial"/>
                <w:sz w:val="22"/>
                <w:szCs w:val="22"/>
              </w:rPr>
              <w:t>Představuje jeden ze základních ukazatelů dlouhodobé</w:t>
            </w:r>
          </w:p>
          <w:p w14:paraId="5708588A" w14:textId="77777777" w:rsidR="00666033" w:rsidRPr="00CA79AD" w:rsidRDefault="00666033" w:rsidP="008A111E">
            <w:pPr>
              <w:spacing w:line="276" w:lineRule="auto"/>
              <w:jc w:val="both"/>
              <w:rPr>
                <w:rFonts w:ascii="Arial" w:hAnsi="Arial" w:cs="Arial"/>
                <w:sz w:val="22"/>
                <w:szCs w:val="22"/>
              </w:rPr>
            </w:pPr>
            <w:r w:rsidRPr="00CA79AD">
              <w:rPr>
                <w:rFonts w:ascii="Arial" w:hAnsi="Arial" w:cs="Arial"/>
                <w:sz w:val="22"/>
                <w:szCs w:val="22"/>
              </w:rPr>
              <w:t>udržitelnosti veřejných rozpočtů a financí</w:t>
            </w:r>
            <w:r w:rsidR="00404E0E">
              <w:rPr>
                <w:rFonts w:ascii="Arial" w:hAnsi="Arial" w:cs="Arial"/>
                <w:sz w:val="22"/>
                <w:szCs w:val="22"/>
              </w:rPr>
              <w:t>.</w:t>
            </w:r>
          </w:p>
        </w:tc>
      </w:tr>
      <w:tr w:rsidR="00666033" w:rsidRPr="00CA79AD" w14:paraId="6EF35F00" w14:textId="77777777" w:rsidTr="00666033">
        <w:tc>
          <w:tcPr>
            <w:tcW w:w="2802" w:type="dxa"/>
          </w:tcPr>
          <w:p w14:paraId="16B007FA"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Časová řada: </w:t>
            </w:r>
          </w:p>
        </w:tc>
        <w:tc>
          <w:tcPr>
            <w:tcW w:w="6486" w:type="dxa"/>
          </w:tcPr>
          <w:p w14:paraId="7A2EC2C8" w14:textId="77777777" w:rsidR="00666033" w:rsidRPr="00CA79AD" w:rsidRDefault="00666033" w:rsidP="008A111E">
            <w:pPr>
              <w:spacing w:line="276" w:lineRule="auto"/>
              <w:jc w:val="both"/>
              <w:rPr>
                <w:rFonts w:ascii="Arial" w:hAnsi="Arial" w:cs="Arial"/>
                <w:sz w:val="22"/>
                <w:szCs w:val="22"/>
              </w:rPr>
            </w:pPr>
            <w:r w:rsidRPr="00CA79AD">
              <w:rPr>
                <w:rFonts w:ascii="Arial" w:hAnsi="Arial" w:cs="Arial"/>
                <w:sz w:val="22"/>
                <w:szCs w:val="22"/>
              </w:rPr>
              <w:t xml:space="preserve">Od </w:t>
            </w:r>
            <w:r w:rsidR="00515E96">
              <w:rPr>
                <w:rFonts w:ascii="Arial" w:hAnsi="Arial" w:cs="Arial"/>
                <w:sz w:val="22"/>
                <w:szCs w:val="22"/>
              </w:rPr>
              <w:t xml:space="preserve">roku </w:t>
            </w:r>
            <w:r w:rsidRPr="00CA79AD">
              <w:rPr>
                <w:rFonts w:ascii="Arial" w:hAnsi="Arial" w:cs="Arial"/>
                <w:sz w:val="22"/>
                <w:szCs w:val="22"/>
              </w:rPr>
              <w:t>2000</w:t>
            </w:r>
          </w:p>
        </w:tc>
      </w:tr>
      <w:tr w:rsidR="00666033" w:rsidRPr="00CA79AD" w14:paraId="208F07D1" w14:textId="77777777" w:rsidTr="00666033">
        <w:tc>
          <w:tcPr>
            <w:tcW w:w="2802" w:type="dxa"/>
          </w:tcPr>
          <w:p w14:paraId="09907605"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Frekvence výstupu: </w:t>
            </w:r>
          </w:p>
        </w:tc>
        <w:tc>
          <w:tcPr>
            <w:tcW w:w="6486" w:type="dxa"/>
          </w:tcPr>
          <w:p w14:paraId="060C4A67" w14:textId="77777777" w:rsidR="00666033" w:rsidRPr="00CA79AD" w:rsidRDefault="001500B5" w:rsidP="008A111E">
            <w:pPr>
              <w:spacing w:line="276" w:lineRule="auto"/>
              <w:jc w:val="both"/>
              <w:rPr>
                <w:rFonts w:ascii="Arial" w:hAnsi="Arial" w:cs="Arial"/>
                <w:sz w:val="22"/>
                <w:szCs w:val="22"/>
              </w:rPr>
            </w:pPr>
            <w:r>
              <w:rPr>
                <w:rFonts w:ascii="Arial" w:hAnsi="Arial" w:cs="Arial"/>
                <w:sz w:val="22"/>
                <w:szCs w:val="22"/>
              </w:rPr>
              <w:t>Čtvrtletně</w:t>
            </w:r>
          </w:p>
        </w:tc>
      </w:tr>
      <w:tr w:rsidR="00666033" w:rsidRPr="00CA79AD" w14:paraId="7A2A73FA" w14:textId="77777777" w:rsidTr="00666033">
        <w:trPr>
          <w:trHeight w:val="70"/>
        </w:trPr>
        <w:tc>
          <w:tcPr>
            <w:tcW w:w="2802" w:type="dxa"/>
          </w:tcPr>
          <w:p w14:paraId="2A2BB1D2"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Členění indikátoru: </w:t>
            </w:r>
          </w:p>
        </w:tc>
        <w:tc>
          <w:tcPr>
            <w:tcW w:w="6486" w:type="dxa"/>
          </w:tcPr>
          <w:p w14:paraId="69519769" w14:textId="77777777" w:rsidR="00666033" w:rsidRPr="00CA79AD" w:rsidRDefault="00666033" w:rsidP="008A111E">
            <w:pPr>
              <w:spacing w:line="276" w:lineRule="auto"/>
              <w:jc w:val="both"/>
              <w:rPr>
                <w:rFonts w:ascii="Arial" w:hAnsi="Arial" w:cs="Arial"/>
                <w:sz w:val="22"/>
                <w:szCs w:val="22"/>
              </w:rPr>
            </w:pPr>
            <w:r w:rsidRPr="00CA79AD">
              <w:rPr>
                <w:rFonts w:ascii="Arial" w:hAnsi="Arial" w:cs="Arial"/>
                <w:sz w:val="22"/>
                <w:szCs w:val="22"/>
              </w:rPr>
              <w:t>-</w:t>
            </w:r>
          </w:p>
        </w:tc>
      </w:tr>
      <w:tr w:rsidR="00666033" w:rsidRPr="00CA79AD" w14:paraId="54EC9860" w14:textId="77777777" w:rsidTr="00666033">
        <w:trPr>
          <w:trHeight w:val="70"/>
        </w:trPr>
        <w:tc>
          <w:tcPr>
            <w:tcW w:w="2802" w:type="dxa"/>
          </w:tcPr>
          <w:p w14:paraId="49B0400C"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Mezinárodní srovnání:</w:t>
            </w:r>
          </w:p>
        </w:tc>
        <w:tc>
          <w:tcPr>
            <w:tcW w:w="6486" w:type="dxa"/>
          </w:tcPr>
          <w:p w14:paraId="0995DA83" w14:textId="77777777" w:rsidR="00666033" w:rsidRPr="00CA79AD" w:rsidRDefault="00666033" w:rsidP="008A111E">
            <w:pPr>
              <w:spacing w:line="276" w:lineRule="auto"/>
              <w:jc w:val="both"/>
              <w:rPr>
                <w:rFonts w:ascii="Arial" w:hAnsi="Arial" w:cs="Arial"/>
                <w:sz w:val="22"/>
                <w:szCs w:val="22"/>
              </w:rPr>
            </w:pPr>
            <w:r w:rsidRPr="00CA79AD">
              <w:rPr>
                <w:rFonts w:ascii="Arial" w:hAnsi="Arial" w:cs="Arial"/>
                <w:sz w:val="22"/>
                <w:szCs w:val="22"/>
              </w:rPr>
              <w:t>Členské státy EU</w:t>
            </w:r>
          </w:p>
        </w:tc>
      </w:tr>
    </w:tbl>
    <w:p w14:paraId="139E6AFA" w14:textId="77777777" w:rsidR="00666033" w:rsidRPr="00CA79AD" w:rsidRDefault="00666033" w:rsidP="00C51B65">
      <w:pPr>
        <w:spacing w:line="276" w:lineRule="auto"/>
        <w:contextualSpacing/>
        <w:rPr>
          <w:rFonts w:ascii="Arial" w:hAnsi="Arial" w:cs="Arial"/>
          <w:sz w:val="22"/>
          <w:szCs w:val="22"/>
        </w:rPr>
      </w:pPr>
    </w:p>
    <w:tbl>
      <w:tblPr>
        <w:tblStyle w:val="Mkatabulky"/>
        <w:tblW w:w="0" w:type="auto"/>
        <w:tblLook w:val="04A0" w:firstRow="1" w:lastRow="0" w:firstColumn="1" w:lastColumn="0" w:noHBand="0" w:noVBand="1"/>
      </w:tblPr>
      <w:tblGrid>
        <w:gridCol w:w="2802"/>
        <w:gridCol w:w="6486"/>
      </w:tblGrid>
      <w:tr w:rsidR="00666033" w:rsidRPr="00CA79AD" w14:paraId="1D88C0D1" w14:textId="77777777" w:rsidTr="00666033">
        <w:tc>
          <w:tcPr>
            <w:tcW w:w="2802" w:type="dxa"/>
          </w:tcPr>
          <w:p w14:paraId="3F7AB2F7"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Název a označení indikátoru: </w:t>
            </w:r>
          </w:p>
        </w:tc>
        <w:tc>
          <w:tcPr>
            <w:tcW w:w="6486" w:type="dxa"/>
          </w:tcPr>
          <w:p w14:paraId="613085C5" w14:textId="77777777" w:rsidR="00666033" w:rsidRPr="00E54EF4" w:rsidRDefault="00666033" w:rsidP="00C51B65">
            <w:pPr>
              <w:spacing w:line="276" w:lineRule="auto"/>
              <w:rPr>
                <w:rFonts w:ascii="Arial" w:eastAsia="Arial" w:hAnsi="Arial" w:cs="Arial"/>
                <w:b/>
                <w:color w:val="000000"/>
                <w:sz w:val="22"/>
                <w:szCs w:val="22"/>
              </w:rPr>
            </w:pPr>
            <w:r w:rsidRPr="00E54EF4">
              <w:rPr>
                <w:rFonts w:ascii="Arial" w:eastAsia="Arial" w:hAnsi="Arial" w:cs="Arial"/>
                <w:b/>
                <w:color w:val="000000"/>
                <w:sz w:val="22"/>
                <w:szCs w:val="22"/>
              </w:rPr>
              <w:t>11.1.2 Strukturální saldo sektoru vládních institucí</w:t>
            </w:r>
          </w:p>
        </w:tc>
      </w:tr>
      <w:tr w:rsidR="00666033" w:rsidRPr="00CA79AD" w14:paraId="4BAA8A09" w14:textId="77777777" w:rsidTr="00666033">
        <w:tc>
          <w:tcPr>
            <w:tcW w:w="2802" w:type="dxa"/>
          </w:tcPr>
          <w:p w14:paraId="2259DB22"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Stručná definice: </w:t>
            </w:r>
          </w:p>
        </w:tc>
        <w:tc>
          <w:tcPr>
            <w:tcW w:w="6486" w:type="dxa"/>
          </w:tcPr>
          <w:p w14:paraId="6C386C95" w14:textId="77777777" w:rsidR="00666033" w:rsidRPr="00CA79AD" w:rsidRDefault="00666033" w:rsidP="008A111E">
            <w:pPr>
              <w:spacing w:line="276" w:lineRule="auto"/>
              <w:jc w:val="both"/>
              <w:rPr>
                <w:rFonts w:ascii="Arial" w:hAnsi="Arial" w:cs="Arial"/>
                <w:sz w:val="22"/>
                <w:szCs w:val="22"/>
              </w:rPr>
            </w:pPr>
            <w:r w:rsidRPr="00CA79AD">
              <w:rPr>
                <w:rFonts w:ascii="Arial" w:hAnsi="Arial" w:cs="Arial"/>
                <w:sz w:val="22"/>
                <w:szCs w:val="22"/>
              </w:rPr>
              <w:t>Deficit veřejných financí očištěný o jednorázové a cyklické vlivy</w:t>
            </w:r>
          </w:p>
        </w:tc>
      </w:tr>
      <w:tr w:rsidR="00666033" w:rsidRPr="00CA79AD" w14:paraId="5C8F8E1E" w14:textId="77777777" w:rsidTr="00666033">
        <w:tc>
          <w:tcPr>
            <w:tcW w:w="2802" w:type="dxa"/>
          </w:tcPr>
          <w:p w14:paraId="687E697D"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Jednotka:</w:t>
            </w:r>
          </w:p>
        </w:tc>
        <w:tc>
          <w:tcPr>
            <w:tcW w:w="6486" w:type="dxa"/>
          </w:tcPr>
          <w:p w14:paraId="54A1C1AB" w14:textId="77777777" w:rsidR="00666033" w:rsidRPr="00CA79AD" w:rsidRDefault="00CE5672" w:rsidP="008A111E">
            <w:pPr>
              <w:spacing w:line="276" w:lineRule="auto"/>
              <w:jc w:val="both"/>
              <w:rPr>
                <w:rFonts w:ascii="Arial" w:hAnsi="Arial" w:cs="Arial"/>
                <w:sz w:val="22"/>
                <w:szCs w:val="22"/>
              </w:rPr>
            </w:pPr>
            <w:r>
              <w:rPr>
                <w:rFonts w:ascii="Arial" w:eastAsia="Arial" w:hAnsi="Arial" w:cs="Arial"/>
                <w:color w:val="000000"/>
                <w:sz w:val="22"/>
                <w:szCs w:val="22"/>
              </w:rPr>
              <w:t>Podíl</w:t>
            </w:r>
            <w:r w:rsidRPr="00CA79AD">
              <w:rPr>
                <w:rFonts w:ascii="Arial" w:eastAsia="Arial" w:hAnsi="Arial" w:cs="Arial"/>
                <w:color w:val="000000"/>
                <w:sz w:val="22"/>
                <w:szCs w:val="22"/>
              </w:rPr>
              <w:t xml:space="preserve"> HDP</w:t>
            </w:r>
            <w:r>
              <w:rPr>
                <w:rFonts w:ascii="Arial" w:eastAsia="Arial" w:hAnsi="Arial" w:cs="Arial"/>
                <w:color w:val="000000"/>
                <w:sz w:val="22"/>
                <w:szCs w:val="22"/>
              </w:rPr>
              <w:t xml:space="preserve"> (v </w:t>
            </w:r>
            <w:r w:rsidRPr="00CA79AD">
              <w:rPr>
                <w:rFonts w:ascii="Arial" w:eastAsia="Arial" w:hAnsi="Arial" w:cs="Arial"/>
                <w:color w:val="000000"/>
                <w:sz w:val="22"/>
                <w:szCs w:val="22"/>
              </w:rPr>
              <w:t>%</w:t>
            </w:r>
            <w:r>
              <w:rPr>
                <w:rFonts w:ascii="Arial" w:eastAsia="Arial" w:hAnsi="Arial" w:cs="Arial"/>
                <w:color w:val="000000"/>
                <w:sz w:val="22"/>
                <w:szCs w:val="22"/>
              </w:rPr>
              <w:t>)</w:t>
            </w:r>
          </w:p>
        </w:tc>
      </w:tr>
      <w:tr w:rsidR="00666033" w:rsidRPr="00CA79AD" w14:paraId="4280667B" w14:textId="77777777" w:rsidTr="00666033">
        <w:tc>
          <w:tcPr>
            <w:tcW w:w="2802" w:type="dxa"/>
          </w:tcPr>
          <w:p w14:paraId="0A4BFC4E"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Gestor: </w:t>
            </w:r>
          </w:p>
        </w:tc>
        <w:tc>
          <w:tcPr>
            <w:tcW w:w="6486" w:type="dxa"/>
          </w:tcPr>
          <w:p w14:paraId="201AE2ED" w14:textId="77777777" w:rsidR="00666033" w:rsidRPr="00CA79AD" w:rsidRDefault="00666033" w:rsidP="008A111E">
            <w:pPr>
              <w:spacing w:line="276" w:lineRule="auto"/>
              <w:jc w:val="both"/>
              <w:rPr>
                <w:rFonts w:ascii="Arial" w:hAnsi="Arial" w:cs="Arial"/>
                <w:sz w:val="22"/>
                <w:szCs w:val="22"/>
              </w:rPr>
            </w:pPr>
            <w:r w:rsidRPr="00CA79AD">
              <w:rPr>
                <w:rFonts w:ascii="Arial" w:hAnsi="Arial" w:cs="Arial"/>
                <w:sz w:val="22"/>
                <w:szCs w:val="22"/>
              </w:rPr>
              <w:t>Ministerstvo financí</w:t>
            </w:r>
          </w:p>
        </w:tc>
      </w:tr>
      <w:tr w:rsidR="00666033" w:rsidRPr="00CA79AD" w14:paraId="1ABE140C" w14:textId="77777777" w:rsidTr="00666033">
        <w:tc>
          <w:tcPr>
            <w:tcW w:w="2802" w:type="dxa"/>
          </w:tcPr>
          <w:p w14:paraId="52E841FE"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Význam indikátoru: </w:t>
            </w:r>
          </w:p>
        </w:tc>
        <w:tc>
          <w:tcPr>
            <w:tcW w:w="6486" w:type="dxa"/>
          </w:tcPr>
          <w:p w14:paraId="333887CA" w14:textId="77777777" w:rsidR="00666033" w:rsidRPr="00CA79AD" w:rsidRDefault="00666033" w:rsidP="008A111E">
            <w:pPr>
              <w:spacing w:line="276" w:lineRule="auto"/>
              <w:jc w:val="both"/>
              <w:rPr>
                <w:rFonts w:ascii="Arial" w:hAnsi="Arial" w:cs="Arial"/>
                <w:sz w:val="22"/>
                <w:szCs w:val="22"/>
              </w:rPr>
            </w:pPr>
            <w:r>
              <w:rPr>
                <w:rFonts w:ascii="Arial" w:hAnsi="Arial" w:cs="Arial"/>
                <w:sz w:val="22"/>
                <w:szCs w:val="22"/>
              </w:rPr>
              <w:t>Důležitý kvalitativní ukazatel kondice veřejných financí, který ukazuje poměr příjmů a výdajů bez vlivu aktuální fáze hospodářského cyklu.</w:t>
            </w:r>
          </w:p>
        </w:tc>
      </w:tr>
      <w:tr w:rsidR="00666033" w:rsidRPr="00CA79AD" w14:paraId="159EDAB3" w14:textId="77777777" w:rsidTr="00666033">
        <w:tc>
          <w:tcPr>
            <w:tcW w:w="2802" w:type="dxa"/>
          </w:tcPr>
          <w:p w14:paraId="0913C4AA"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Časová řada: </w:t>
            </w:r>
          </w:p>
        </w:tc>
        <w:tc>
          <w:tcPr>
            <w:tcW w:w="6486" w:type="dxa"/>
          </w:tcPr>
          <w:p w14:paraId="566C58FE" w14:textId="77777777" w:rsidR="00666033" w:rsidRPr="00CA79AD" w:rsidRDefault="00666033" w:rsidP="008A111E">
            <w:pPr>
              <w:spacing w:line="276" w:lineRule="auto"/>
              <w:jc w:val="both"/>
              <w:rPr>
                <w:rFonts w:ascii="Arial" w:hAnsi="Arial" w:cs="Arial"/>
                <w:sz w:val="22"/>
                <w:szCs w:val="22"/>
              </w:rPr>
            </w:pPr>
            <w:r>
              <w:rPr>
                <w:rFonts w:ascii="Arial" w:hAnsi="Arial" w:cs="Arial"/>
                <w:sz w:val="22"/>
                <w:szCs w:val="22"/>
              </w:rPr>
              <w:t xml:space="preserve">Od </w:t>
            </w:r>
            <w:r w:rsidR="00CE5672">
              <w:rPr>
                <w:rFonts w:ascii="Arial" w:hAnsi="Arial" w:cs="Arial"/>
                <w:sz w:val="22"/>
                <w:szCs w:val="22"/>
              </w:rPr>
              <w:t xml:space="preserve">roku </w:t>
            </w:r>
            <w:r>
              <w:rPr>
                <w:rFonts w:ascii="Arial" w:hAnsi="Arial" w:cs="Arial"/>
                <w:sz w:val="22"/>
                <w:szCs w:val="22"/>
              </w:rPr>
              <w:t>1990</w:t>
            </w:r>
          </w:p>
        </w:tc>
      </w:tr>
      <w:tr w:rsidR="00666033" w:rsidRPr="00CA79AD" w14:paraId="56524A17" w14:textId="77777777" w:rsidTr="00666033">
        <w:tc>
          <w:tcPr>
            <w:tcW w:w="2802" w:type="dxa"/>
          </w:tcPr>
          <w:p w14:paraId="0A38B104"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Frekvence výstupu: </w:t>
            </w:r>
          </w:p>
        </w:tc>
        <w:tc>
          <w:tcPr>
            <w:tcW w:w="6486" w:type="dxa"/>
          </w:tcPr>
          <w:p w14:paraId="3BEB8B78" w14:textId="77777777" w:rsidR="00666033" w:rsidRPr="00CA79AD" w:rsidRDefault="000C72E9" w:rsidP="008A111E">
            <w:pPr>
              <w:spacing w:line="276" w:lineRule="auto"/>
              <w:jc w:val="both"/>
              <w:rPr>
                <w:rFonts w:ascii="Arial" w:hAnsi="Arial" w:cs="Arial"/>
                <w:sz w:val="22"/>
                <w:szCs w:val="22"/>
              </w:rPr>
            </w:pPr>
            <w:r>
              <w:rPr>
                <w:rFonts w:ascii="Arial" w:hAnsi="Arial" w:cs="Arial"/>
                <w:sz w:val="22"/>
                <w:szCs w:val="22"/>
              </w:rPr>
              <w:t>Ročně</w:t>
            </w:r>
          </w:p>
        </w:tc>
      </w:tr>
      <w:tr w:rsidR="00666033" w:rsidRPr="00CA79AD" w14:paraId="5C195DC9" w14:textId="77777777" w:rsidTr="00666033">
        <w:trPr>
          <w:trHeight w:val="70"/>
        </w:trPr>
        <w:tc>
          <w:tcPr>
            <w:tcW w:w="2802" w:type="dxa"/>
          </w:tcPr>
          <w:p w14:paraId="2DF149D8"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 xml:space="preserve">Členění indikátoru: </w:t>
            </w:r>
          </w:p>
        </w:tc>
        <w:tc>
          <w:tcPr>
            <w:tcW w:w="6486" w:type="dxa"/>
          </w:tcPr>
          <w:p w14:paraId="1CAAB61E" w14:textId="77777777" w:rsidR="00666033" w:rsidRPr="00CA79AD" w:rsidRDefault="00666033" w:rsidP="008A111E">
            <w:pPr>
              <w:spacing w:line="276" w:lineRule="auto"/>
              <w:jc w:val="both"/>
              <w:rPr>
                <w:rFonts w:ascii="Arial" w:hAnsi="Arial" w:cs="Arial"/>
                <w:sz w:val="22"/>
                <w:szCs w:val="22"/>
              </w:rPr>
            </w:pPr>
            <w:r w:rsidRPr="00CA79AD">
              <w:rPr>
                <w:rFonts w:ascii="Arial" w:hAnsi="Arial" w:cs="Arial"/>
                <w:sz w:val="22"/>
                <w:szCs w:val="22"/>
              </w:rPr>
              <w:t>-</w:t>
            </w:r>
          </w:p>
        </w:tc>
      </w:tr>
      <w:tr w:rsidR="00666033" w:rsidRPr="00CA79AD" w14:paraId="76F2E1C4" w14:textId="77777777" w:rsidTr="00666033">
        <w:trPr>
          <w:trHeight w:val="70"/>
        </w:trPr>
        <w:tc>
          <w:tcPr>
            <w:tcW w:w="2802" w:type="dxa"/>
          </w:tcPr>
          <w:p w14:paraId="542FCD66" w14:textId="77777777" w:rsidR="00666033" w:rsidRPr="00CA79AD" w:rsidRDefault="00666033" w:rsidP="00C51B65">
            <w:pPr>
              <w:spacing w:line="276" w:lineRule="auto"/>
              <w:rPr>
                <w:rFonts w:ascii="Arial" w:hAnsi="Arial" w:cs="Arial"/>
                <w:sz w:val="22"/>
                <w:szCs w:val="22"/>
              </w:rPr>
            </w:pPr>
            <w:r w:rsidRPr="00CA79AD">
              <w:rPr>
                <w:rFonts w:ascii="Arial" w:hAnsi="Arial" w:cs="Arial"/>
                <w:sz w:val="22"/>
                <w:szCs w:val="22"/>
              </w:rPr>
              <w:t>Mezinárodní srovnání:</w:t>
            </w:r>
          </w:p>
        </w:tc>
        <w:tc>
          <w:tcPr>
            <w:tcW w:w="6486" w:type="dxa"/>
          </w:tcPr>
          <w:p w14:paraId="48E792AD" w14:textId="77777777" w:rsidR="00666033" w:rsidRPr="00CA79AD" w:rsidRDefault="00666033" w:rsidP="008A111E">
            <w:pPr>
              <w:spacing w:line="276" w:lineRule="auto"/>
              <w:jc w:val="both"/>
              <w:rPr>
                <w:rFonts w:ascii="Arial" w:hAnsi="Arial" w:cs="Arial"/>
                <w:sz w:val="22"/>
                <w:szCs w:val="22"/>
              </w:rPr>
            </w:pPr>
            <w:r w:rsidRPr="00CA79AD">
              <w:rPr>
                <w:rFonts w:ascii="Arial" w:hAnsi="Arial" w:cs="Arial"/>
                <w:sz w:val="22"/>
                <w:szCs w:val="22"/>
              </w:rPr>
              <w:t>Členské státy EU</w:t>
            </w:r>
          </w:p>
        </w:tc>
      </w:tr>
    </w:tbl>
    <w:p w14:paraId="5ECC241F" w14:textId="4CF3F3C9" w:rsidR="00666033" w:rsidRDefault="00CE5672" w:rsidP="008A111E">
      <w:pPr>
        <w:pStyle w:val="r2030podcle"/>
        <w:numPr>
          <w:ilvl w:val="1"/>
          <w:numId w:val="17"/>
        </w:numPr>
        <w:ind w:left="567" w:hanging="425"/>
      </w:pPr>
      <w:r>
        <w:t>Zvyšuje se efektivita</w:t>
      </w:r>
      <w:r w:rsidR="00666033" w:rsidRPr="003247D0">
        <w:t xml:space="preserve"> vynakládání veřejných prostředků ve vybraných veřejných politikách (zdravotnictví, vzdělávání</w:t>
      </w:r>
      <w:r>
        <w:t xml:space="preserve"> a další</w:t>
      </w:r>
      <w:r w:rsidR="00666033" w:rsidRPr="003247D0">
        <w:t>)</w:t>
      </w:r>
      <w:r w:rsidR="008A111E">
        <w:t>.</w:t>
      </w:r>
    </w:p>
    <w:tbl>
      <w:tblPr>
        <w:tblStyle w:val="Mkatabulky"/>
        <w:tblW w:w="0" w:type="auto"/>
        <w:shd w:val="pct15" w:color="auto" w:fill="auto"/>
        <w:tblLook w:val="04A0" w:firstRow="1" w:lastRow="0" w:firstColumn="1" w:lastColumn="0" w:noHBand="0" w:noVBand="1"/>
      </w:tblPr>
      <w:tblGrid>
        <w:gridCol w:w="2802"/>
        <w:gridCol w:w="6486"/>
      </w:tblGrid>
      <w:tr w:rsidR="00477E8D" w:rsidRPr="00477E8D" w14:paraId="2054224D" w14:textId="77777777" w:rsidTr="00477E8D">
        <w:tc>
          <w:tcPr>
            <w:tcW w:w="2802" w:type="dxa"/>
            <w:shd w:val="pct15" w:color="auto" w:fill="auto"/>
          </w:tcPr>
          <w:p w14:paraId="5892A648" w14:textId="77777777" w:rsidR="00666033" w:rsidRPr="00477E8D" w:rsidRDefault="00666033" w:rsidP="00C51B65">
            <w:pPr>
              <w:spacing w:line="276" w:lineRule="auto"/>
              <w:rPr>
                <w:rFonts w:ascii="Arial" w:hAnsi="Arial" w:cs="Arial"/>
                <w:sz w:val="22"/>
                <w:szCs w:val="22"/>
              </w:rPr>
            </w:pPr>
            <w:r w:rsidRPr="00477E8D">
              <w:rPr>
                <w:rFonts w:ascii="Arial" w:hAnsi="Arial" w:cs="Arial"/>
                <w:sz w:val="22"/>
                <w:szCs w:val="22"/>
              </w:rPr>
              <w:t xml:space="preserve">Název a označení indikátoru: </w:t>
            </w:r>
          </w:p>
        </w:tc>
        <w:tc>
          <w:tcPr>
            <w:tcW w:w="6486" w:type="dxa"/>
            <w:shd w:val="pct15" w:color="auto" w:fill="auto"/>
          </w:tcPr>
          <w:p w14:paraId="0D01FD03" w14:textId="088BC7BA" w:rsidR="00666033" w:rsidRPr="00477E8D" w:rsidRDefault="00666033" w:rsidP="00912258">
            <w:pPr>
              <w:spacing w:line="276" w:lineRule="auto"/>
              <w:rPr>
                <w:rFonts w:ascii="Arial" w:eastAsia="Arial" w:hAnsi="Arial" w:cs="Arial"/>
                <w:b/>
                <w:sz w:val="22"/>
                <w:szCs w:val="22"/>
              </w:rPr>
            </w:pPr>
            <w:r w:rsidRPr="00477E8D">
              <w:rPr>
                <w:rFonts w:ascii="Arial" w:eastAsia="Arial" w:hAnsi="Arial" w:cs="Arial"/>
                <w:b/>
                <w:sz w:val="22"/>
                <w:szCs w:val="22"/>
              </w:rPr>
              <w:t xml:space="preserve">11.2.1 </w:t>
            </w:r>
            <w:r w:rsidR="002F454B">
              <w:rPr>
                <w:rFonts w:ascii="Arial" w:eastAsia="Arial" w:hAnsi="Arial" w:cs="Arial"/>
                <w:b/>
                <w:sz w:val="22"/>
                <w:szCs w:val="22"/>
              </w:rPr>
              <w:t>Výstupová efektivita veřejných výdajů</w:t>
            </w:r>
          </w:p>
        </w:tc>
      </w:tr>
      <w:tr w:rsidR="00477E8D" w:rsidRPr="00477E8D" w14:paraId="7D04241F" w14:textId="77777777" w:rsidTr="00477E8D">
        <w:tc>
          <w:tcPr>
            <w:tcW w:w="2802" w:type="dxa"/>
            <w:shd w:val="pct15" w:color="auto" w:fill="auto"/>
          </w:tcPr>
          <w:p w14:paraId="56B49F04" w14:textId="77777777" w:rsidR="00666033" w:rsidRPr="00477E8D" w:rsidRDefault="00666033" w:rsidP="00C51B65">
            <w:pPr>
              <w:spacing w:line="276" w:lineRule="auto"/>
              <w:rPr>
                <w:rFonts w:ascii="Arial" w:hAnsi="Arial" w:cs="Arial"/>
                <w:sz w:val="22"/>
                <w:szCs w:val="22"/>
              </w:rPr>
            </w:pPr>
            <w:r w:rsidRPr="00477E8D">
              <w:rPr>
                <w:rFonts w:ascii="Arial" w:hAnsi="Arial" w:cs="Arial"/>
                <w:sz w:val="22"/>
                <w:szCs w:val="22"/>
              </w:rPr>
              <w:t xml:space="preserve">Stručná definice: </w:t>
            </w:r>
          </w:p>
        </w:tc>
        <w:tc>
          <w:tcPr>
            <w:tcW w:w="6486" w:type="dxa"/>
            <w:shd w:val="pct15" w:color="auto" w:fill="auto"/>
          </w:tcPr>
          <w:p w14:paraId="6A453B63" w14:textId="77777777" w:rsidR="00666033" w:rsidRPr="00477E8D" w:rsidRDefault="00666033" w:rsidP="008A111E">
            <w:pPr>
              <w:spacing w:line="276" w:lineRule="auto"/>
              <w:jc w:val="both"/>
              <w:rPr>
                <w:rFonts w:ascii="Arial" w:hAnsi="Arial" w:cs="Arial"/>
                <w:sz w:val="22"/>
                <w:szCs w:val="22"/>
              </w:rPr>
            </w:pPr>
            <w:r w:rsidRPr="00477E8D">
              <w:rPr>
                <w:rFonts w:ascii="Arial" w:eastAsia="Arial" w:hAnsi="Arial" w:cs="Arial"/>
                <w:sz w:val="22"/>
                <w:szCs w:val="22"/>
              </w:rPr>
              <w:t>Porovnání vybraného výstupového indikátoru vybrané veřejné politiky (nap</w:t>
            </w:r>
            <w:r w:rsidR="00CE5672">
              <w:rPr>
                <w:rFonts w:ascii="Arial" w:eastAsia="Arial" w:hAnsi="Arial" w:cs="Arial"/>
                <w:sz w:val="22"/>
                <w:szCs w:val="22"/>
              </w:rPr>
              <w:t xml:space="preserve">ř. délka dožití ve zdraví </w:t>
            </w:r>
            <w:r w:rsidRPr="00477E8D">
              <w:rPr>
                <w:rFonts w:ascii="Arial" w:eastAsia="Arial" w:hAnsi="Arial" w:cs="Arial"/>
                <w:sz w:val="22"/>
                <w:szCs w:val="22"/>
              </w:rPr>
              <w:t>nebo průměrná hodnota PISA v roce, kdy se šetření provádí) s objemem veřejných výdajů v příslušné kapitole státního rozpočtu metodou analýzy efektivity</w:t>
            </w:r>
          </w:p>
        </w:tc>
      </w:tr>
      <w:tr w:rsidR="00477E8D" w:rsidRPr="00477E8D" w14:paraId="7549E3E3" w14:textId="77777777" w:rsidTr="00477E8D">
        <w:tc>
          <w:tcPr>
            <w:tcW w:w="2802" w:type="dxa"/>
            <w:shd w:val="pct15" w:color="auto" w:fill="auto"/>
          </w:tcPr>
          <w:p w14:paraId="22EAAD54" w14:textId="77777777" w:rsidR="00666033" w:rsidRPr="00477E8D" w:rsidRDefault="00666033" w:rsidP="00C51B65">
            <w:pPr>
              <w:spacing w:line="276" w:lineRule="auto"/>
              <w:rPr>
                <w:rFonts w:ascii="Arial" w:hAnsi="Arial" w:cs="Arial"/>
                <w:sz w:val="22"/>
                <w:szCs w:val="22"/>
              </w:rPr>
            </w:pPr>
            <w:r w:rsidRPr="00477E8D">
              <w:rPr>
                <w:rFonts w:ascii="Arial" w:hAnsi="Arial" w:cs="Arial"/>
                <w:sz w:val="22"/>
                <w:szCs w:val="22"/>
              </w:rPr>
              <w:t>Jednotka:</w:t>
            </w:r>
          </w:p>
        </w:tc>
        <w:tc>
          <w:tcPr>
            <w:tcW w:w="6486" w:type="dxa"/>
            <w:shd w:val="pct15" w:color="auto" w:fill="auto"/>
          </w:tcPr>
          <w:p w14:paraId="200830EE" w14:textId="77777777" w:rsidR="00666033" w:rsidRPr="00477E8D" w:rsidRDefault="00666033" w:rsidP="008A111E">
            <w:pPr>
              <w:spacing w:line="276" w:lineRule="auto"/>
              <w:jc w:val="both"/>
              <w:rPr>
                <w:rFonts w:ascii="Arial" w:hAnsi="Arial" w:cs="Arial"/>
                <w:sz w:val="22"/>
                <w:szCs w:val="22"/>
              </w:rPr>
            </w:pPr>
          </w:p>
        </w:tc>
      </w:tr>
      <w:tr w:rsidR="00477E8D" w:rsidRPr="00477E8D" w14:paraId="0CAC6C93" w14:textId="77777777" w:rsidTr="00477E8D">
        <w:tc>
          <w:tcPr>
            <w:tcW w:w="2802" w:type="dxa"/>
            <w:shd w:val="pct15" w:color="auto" w:fill="auto"/>
          </w:tcPr>
          <w:p w14:paraId="2EB87BF8" w14:textId="77777777" w:rsidR="00666033" w:rsidRPr="00477E8D" w:rsidRDefault="00666033" w:rsidP="00C51B65">
            <w:pPr>
              <w:spacing w:line="276" w:lineRule="auto"/>
              <w:rPr>
                <w:rFonts w:ascii="Arial" w:hAnsi="Arial" w:cs="Arial"/>
                <w:sz w:val="22"/>
                <w:szCs w:val="22"/>
              </w:rPr>
            </w:pPr>
            <w:r w:rsidRPr="00477E8D">
              <w:rPr>
                <w:rFonts w:ascii="Arial" w:hAnsi="Arial" w:cs="Arial"/>
                <w:sz w:val="22"/>
                <w:szCs w:val="22"/>
              </w:rPr>
              <w:t xml:space="preserve">Gestor: </w:t>
            </w:r>
          </w:p>
        </w:tc>
        <w:tc>
          <w:tcPr>
            <w:tcW w:w="6486" w:type="dxa"/>
            <w:shd w:val="pct15" w:color="auto" w:fill="auto"/>
          </w:tcPr>
          <w:p w14:paraId="7678A059" w14:textId="77777777" w:rsidR="00666033" w:rsidRPr="00477E8D" w:rsidRDefault="00666033" w:rsidP="008A111E">
            <w:pPr>
              <w:spacing w:line="276" w:lineRule="auto"/>
              <w:jc w:val="both"/>
              <w:rPr>
                <w:rFonts w:ascii="Arial" w:hAnsi="Arial" w:cs="Arial"/>
                <w:sz w:val="22"/>
                <w:szCs w:val="22"/>
              </w:rPr>
            </w:pPr>
            <w:r w:rsidRPr="00477E8D">
              <w:rPr>
                <w:rFonts w:ascii="Arial" w:hAnsi="Arial" w:cs="Arial"/>
                <w:sz w:val="22"/>
                <w:szCs w:val="22"/>
              </w:rPr>
              <w:t>Úřad vlády</w:t>
            </w:r>
          </w:p>
        </w:tc>
      </w:tr>
      <w:tr w:rsidR="00477E8D" w:rsidRPr="00477E8D" w14:paraId="16F8BD18" w14:textId="77777777" w:rsidTr="00477E8D">
        <w:tc>
          <w:tcPr>
            <w:tcW w:w="2802" w:type="dxa"/>
            <w:shd w:val="pct15" w:color="auto" w:fill="auto"/>
          </w:tcPr>
          <w:p w14:paraId="4DCDE8CB" w14:textId="77777777" w:rsidR="00666033" w:rsidRPr="00477E8D" w:rsidRDefault="00666033" w:rsidP="00C51B65">
            <w:pPr>
              <w:spacing w:line="276" w:lineRule="auto"/>
              <w:rPr>
                <w:rFonts w:ascii="Arial" w:hAnsi="Arial" w:cs="Arial"/>
                <w:sz w:val="22"/>
                <w:szCs w:val="22"/>
              </w:rPr>
            </w:pPr>
            <w:r w:rsidRPr="00477E8D">
              <w:rPr>
                <w:rFonts w:ascii="Arial" w:hAnsi="Arial" w:cs="Arial"/>
                <w:sz w:val="22"/>
                <w:szCs w:val="22"/>
              </w:rPr>
              <w:t xml:space="preserve">Význam indikátoru: </w:t>
            </w:r>
          </w:p>
        </w:tc>
        <w:tc>
          <w:tcPr>
            <w:tcW w:w="6486" w:type="dxa"/>
            <w:shd w:val="pct15" w:color="auto" w:fill="auto"/>
          </w:tcPr>
          <w:p w14:paraId="6F687FB9" w14:textId="77777777" w:rsidR="00666033" w:rsidRPr="00477E8D" w:rsidRDefault="00666033" w:rsidP="00C51B65">
            <w:pPr>
              <w:spacing w:line="276" w:lineRule="auto"/>
              <w:rPr>
                <w:rFonts w:ascii="Arial" w:hAnsi="Arial" w:cs="Arial"/>
                <w:sz w:val="22"/>
                <w:szCs w:val="22"/>
              </w:rPr>
            </w:pPr>
          </w:p>
        </w:tc>
      </w:tr>
      <w:tr w:rsidR="00477E8D" w:rsidRPr="00477E8D" w14:paraId="577206C9" w14:textId="77777777" w:rsidTr="00477E8D">
        <w:tc>
          <w:tcPr>
            <w:tcW w:w="2802" w:type="dxa"/>
            <w:shd w:val="pct15" w:color="auto" w:fill="auto"/>
          </w:tcPr>
          <w:p w14:paraId="5F7AEFF3" w14:textId="77777777" w:rsidR="00666033" w:rsidRPr="00477E8D" w:rsidRDefault="00666033" w:rsidP="00C51B65">
            <w:pPr>
              <w:spacing w:line="276" w:lineRule="auto"/>
              <w:rPr>
                <w:rFonts w:ascii="Arial" w:hAnsi="Arial" w:cs="Arial"/>
                <w:sz w:val="22"/>
                <w:szCs w:val="22"/>
              </w:rPr>
            </w:pPr>
            <w:r w:rsidRPr="00477E8D">
              <w:rPr>
                <w:rFonts w:ascii="Arial" w:hAnsi="Arial" w:cs="Arial"/>
                <w:sz w:val="22"/>
                <w:szCs w:val="22"/>
              </w:rPr>
              <w:t xml:space="preserve">Časová řada: </w:t>
            </w:r>
          </w:p>
        </w:tc>
        <w:tc>
          <w:tcPr>
            <w:tcW w:w="6486" w:type="dxa"/>
            <w:shd w:val="pct15" w:color="auto" w:fill="auto"/>
          </w:tcPr>
          <w:p w14:paraId="0A5419E4" w14:textId="77777777" w:rsidR="00666033" w:rsidRPr="00477E8D" w:rsidRDefault="00666033" w:rsidP="00C51B65">
            <w:pPr>
              <w:spacing w:line="276" w:lineRule="auto"/>
              <w:rPr>
                <w:rFonts w:ascii="Arial" w:hAnsi="Arial" w:cs="Arial"/>
                <w:sz w:val="22"/>
                <w:szCs w:val="22"/>
              </w:rPr>
            </w:pPr>
          </w:p>
        </w:tc>
      </w:tr>
      <w:tr w:rsidR="00477E8D" w:rsidRPr="00477E8D" w14:paraId="1C4760D8" w14:textId="77777777" w:rsidTr="00477E8D">
        <w:tc>
          <w:tcPr>
            <w:tcW w:w="2802" w:type="dxa"/>
            <w:shd w:val="pct15" w:color="auto" w:fill="auto"/>
          </w:tcPr>
          <w:p w14:paraId="4C7B2762" w14:textId="77777777" w:rsidR="00666033" w:rsidRPr="00477E8D" w:rsidRDefault="00666033" w:rsidP="00C51B65">
            <w:pPr>
              <w:spacing w:line="276" w:lineRule="auto"/>
              <w:rPr>
                <w:rFonts w:ascii="Arial" w:hAnsi="Arial" w:cs="Arial"/>
                <w:sz w:val="22"/>
                <w:szCs w:val="22"/>
              </w:rPr>
            </w:pPr>
            <w:r w:rsidRPr="00477E8D">
              <w:rPr>
                <w:rFonts w:ascii="Arial" w:hAnsi="Arial" w:cs="Arial"/>
                <w:sz w:val="22"/>
                <w:szCs w:val="22"/>
              </w:rPr>
              <w:t xml:space="preserve">Frekvence výstupu: </w:t>
            </w:r>
          </w:p>
        </w:tc>
        <w:tc>
          <w:tcPr>
            <w:tcW w:w="6486" w:type="dxa"/>
            <w:shd w:val="pct15" w:color="auto" w:fill="auto"/>
          </w:tcPr>
          <w:p w14:paraId="2BA2B6B1" w14:textId="77777777" w:rsidR="00666033" w:rsidRPr="00477E8D" w:rsidRDefault="00666033" w:rsidP="00C51B65">
            <w:pPr>
              <w:spacing w:line="276" w:lineRule="auto"/>
              <w:rPr>
                <w:rFonts w:ascii="Arial" w:hAnsi="Arial" w:cs="Arial"/>
                <w:sz w:val="22"/>
                <w:szCs w:val="22"/>
              </w:rPr>
            </w:pPr>
          </w:p>
        </w:tc>
      </w:tr>
      <w:tr w:rsidR="00477E8D" w:rsidRPr="00477E8D" w14:paraId="5C3C532C" w14:textId="77777777" w:rsidTr="00477E8D">
        <w:trPr>
          <w:trHeight w:val="70"/>
        </w:trPr>
        <w:tc>
          <w:tcPr>
            <w:tcW w:w="2802" w:type="dxa"/>
            <w:shd w:val="pct15" w:color="auto" w:fill="auto"/>
          </w:tcPr>
          <w:p w14:paraId="795B0F50" w14:textId="77777777" w:rsidR="00666033" w:rsidRPr="00477E8D" w:rsidRDefault="00666033" w:rsidP="00C51B65">
            <w:pPr>
              <w:spacing w:line="276" w:lineRule="auto"/>
              <w:rPr>
                <w:rFonts w:ascii="Arial" w:hAnsi="Arial" w:cs="Arial"/>
                <w:sz w:val="22"/>
                <w:szCs w:val="22"/>
              </w:rPr>
            </w:pPr>
            <w:r w:rsidRPr="00477E8D">
              <w:rPr>
                <w:rFonts w:ascii="Arial" w:hAnsi="Arial" w:cs="Arial"/>
                <w:sz w:val="22"/>
                <w:szCs w:val="22"/>
              </w:rPr>
              <w:t xml:space="preserve">Členění indikátoru: </w:t>
            </w:r>
          </w:p>
        </w:tc>
        <w:tc>
          <w:tcPr>
            <w:tcW w:w="6486" w:type="dxa"/>
            <w:shd w:val="pct15" w:color="auto" w:fill="auto"/>
          </w:tcPr>
          <w:p w14:paraId="35676FE4" w14:textId="77777777" w:rsidR="00666033" w:rsidRPr="00477E8D" w:rsidRDefault="00666033" w:rsidP="00C51B65">
            <w:pPr>
              <w:spacing w:line="276" w:lineRule="auto"/>
              <w:rPr>
                <w:rFonts w:ascii="Arial" w:hAnsi="Arial" w:cs="Arial"/>
                <w:sz w:val="22"/>
                <w:szCs w:val="22"/>
              </w:rPr>
            </w:pPr>
          </w:p>
        </w:tc>
      </w:tr>
      <w:tr w:rsidR="00477E8D" w:rsidRPr="00477E8D" w14:paraId="47E6BDC6" w14:textId="77777777" w:rsidTr="00477E8D">
        <w:trPr>
          <w:trHeight w:val="70"/>
        </w:trPr>
        <w:tc>
          <w:tcPr>
            <w:tcW w:w="2802" w:type="dxa"/>
            <w:shd w:val="pct15" w:color="auto" w:fill="auto"/>
          </w:tcPr>
          <w:p w14:paraId="114F948E" w14:textId="77777777" w:rsidR="00666033" w:rsidRPr="00477E8D" w:rsidRDefault="00666033" w:rsidP="00C51B65">
            <w:pPr>
              <w:spacing w:line="276" w:lineRule="auto"/>
              <w:rPr>
                <w:rFonts w:ascii="Arial" w:hAnsi="Arial" w:cs="Arial"/>
                <w:sz w:val="22"/>
                <w:szCs w:val="22"/>
              </w:rPr>
            </w:pPr>
            <w:r w:rsidRPr="00477E8D">
              <w:rPr>
                <w:rFonts w:ascii="Arial" w:hAnsi="Arial" w:cs="Arial"/>
                <w:sz w:val="22"/>
                <w:szCs w:val="22"/>
              </w:rPr>
              <w:t>Mezinárodní srovnání:</w:t>
            </w:r>
          </w:p>
        </w:tc>
        <w:tc>
          <w:tcPr>
            <w:tcW w:w="6486" w:type="dxa"/>
            <w:shd w:val="pct15" w:color="auto" w:fill="auto"/>
          </w:tcPr>
          <w:p w14:paraId="3502CFB2" w14:textId="77777777" w:rsidR="00666033" w:rsidRPr="00477E8D" w:rsidRDefault="00666033" w:rsidP="00C51B65">
            <w:pPr>
              <w:spacing w:line="276" w:lineRule="auto"/>
              <w:rPr>
                <w:rFonts w:ascii="Arial" w:hAnsi="Arial" w:cs="Arial"/>
                <w:sz w:val="22"/>
                <w:szCs w:val="22"/>
              </w:rPr>
            </w:pPr>
          </w:p>
        </w:tc>
      </w:tr>
    </w:tbl>
    <w:p w14:paraId="45DC372B" w14:textId="391E0360" w:rsidR="008A111E" w:rsidRDefault="008A111E" w:rsidP="008A111E">
      <w:pPr>
        <w:pStyle w:val="Nadpis1"/>
        <w:numPr>
          <w:ilvl w:val="0"/>
          <w:numId w:val="0"/>
        </w:numPr>
        <w:ind w:left="567" w:hanging="567"/>
      </w:pPr>
      <w:bookmarkStart w:id="3" w:name="_Toc476663537"/>
    </w:p>
    <w:p w14:paraId="4F745E81" w14:textId="77777777" w:rsidR="008A111E" w:rsidRDefault="008A111E">
      <w:pPr>
        <w:spacing w:after="200" w:line="276" w:lineRule="auto"/>
        <w:rPr>
          <w:rFonts w:ascii="Arial" w:eastAsiaTheme="majorEastAsia" w:hAnsi="Arial" w:cs="Arial"/>
          <w:b/>
          <w:bCs/>
          <w:kern w:val="32"/>
          <w:sz w:val="28"/>
          <w:szCs w:val="32"/>
          <w:lang w:eastAsia="en-US"/>
        </w:rPr>
      </w:pPr>
      <w:r>
        <w:br w:type="page"/>
      </w:r>
    </w:p>
    <w:p w14:paraId="7A0B3429" w14:textId="77777777" w:rsidR="00505329" w:rsidRPr="00295222" w:rsidRDefault="00FC7B20" w:rsidP="00653A6E">
      <w:pPr>
        <w:pStyle w:val="Nadpis1"/>
        <w:ind w:hanging="425"/>
      </w:pPr>
      <w:r w:rsidRPr="00295222">
        <w:lastRenderedPageBreak/>
        <w:t>Odolné e</w:t>
      </w:r>
      <w:r w:rsidR="00505329" w:rsidRPr="00295222">
        <w:t>kosystémy</w:t>
      </w:r>
      <w:bookmarkEnd w:id="3"/>
    </w:p>
    <w:p w14:paraId="1ADD03EE" w14:textId="77777777" w:rsidR="006F0F09" w:rsidRPr="00F677C3" w:rsidRDefault="00CE5672" w:rsidP="00653A6E">
      <w:pPr>
        <w:pStyle w:val="r2030cle"/>
        <w:numPr>
          <w:ilvl w:val="0"/>
          <w:numId w:val="17"/>
        </w:numPr>
        <w:ind w:left="567" w:hanging="425"/>
        <w:jc w:val="both"/>
      </w:pPr>
      <w:r>
        <w:t xml:space="preserve">Krajina ČR </w:t>
      </w:r>
      <w:r w:rsidR="006F0F09" w:rsidRPr="00F677C3">
        <w:t xml:space="preserve">je </w:t>
      </w:r>
      <w:r>
        <w:t xml:space="preserve">pojímána jako komplexní ekosystém a ekosystémové služby poskytují vhodný rámec pro rozvoj lidské společnosti. </w:t>
      </w:r>
    </w:p>
    <w:p w14:paraId="2BEC7ED4" w14:textId="77777777" w:rsidR="00CE5672" w:rsidRPr="00CE5672" w:rsidRDefault="00CE5672" w:rsidP="00653A6E">
      <w:pPr>
        <w:pStyle w:val="r2030podcle"/>
        <w:numPr>
          <w:ilvl w:val="1"/>
          <w:numId w:val="17"/>
        </w:numPr>
        <w:ind w:left="567" w:hanging="425"/>
        <w:jc w:val="both"/>
        <w:rPr>
          <w:rFonts w:eastAsiaTheme="majorEastAsia"/>
        </w:rPr>
      </w:pPr>
      <w:r>
        <w:rPr>
          <w:rFonts w:eastAsiaTheme="majorEastAsia"/>
        </w:rPr>
        <w:t>J</w:t>
      </w:r>
      <w:r w:rsidRPr="00CE5672">
        <w:rPr>
          <w:rFonts w:eastAsiaTheme="majorEastAsia"/>
        </w:rPr>
        <w:t>e zpracována politika krajiny a pravidla jejího naplňování, které různé úrovně veřejné správy využívají pro své rozhodování.</w:t>
      </w:r>
    </w:p>
    <w:p w14:paraId="2ACA5BCA" w14:textId="5E373051" w:rsidR="006F0F09" w:rsidRDefault="00CE5672" w:rsidP="00653A6E">
      <w:pPr>
        <w:pStyle w:val="r2030podcle"/>
        <w:numPr>
          <w:ilvl w:val="1"/>
          <w:numId w:val="17"/>
        </w:numPr>
        <w:ind w:left="567" w:hanging="425"/>
        <w:jc w:val="both"/>
      </w:pPr>
      <w:r>
        <w:t xml:space="preserve">Snižuje se </w:t>
      </w:r>
      <w:r w:rsidR="0023415D">
        <w:t xml:space="preserve">podíl </w:t>
      </w:r>
      <w:r>
        <w:t>orné půdy</w:t>
      </w:r>
      <w:r w:rsidR="0023415D">
        <w:t xml:space="preserve"> a roste podíl trvalých travních porostů na zemědělském půdním fondu.</w:t>
      </w:r>
    </w:p>
    <w:tbl>
      <w:tblPr>
        <w:tblStyle w:val="Mkatabulky"/>
        <w:tblW w:w="0" w:type="auto"/>
        <w:tblLook w:val="04A0" w:firstRow="1" w:lastRow="0" w:firstColumn="1" w:lastColumn="0" w:noHBand="0" w:noVBand="1"/>
      </w:tblPr>
      <w:tblGrid>
        <w:gridCol w:w="2802"/>
        <w:gridCol w:w="6486"/>
      </w:tblGrid>
      <w:tr w:rsidR="006F0F09" w:rsidRPr="00CA79AD" w14:paraId="205B6358" w14:textId="77777777" w:rsidTr="00A95AB3">
        <w:trPr>
          <w:trHeight w:val="598"/>
        </w:trPr>
        <w:tc>
          <w:tcPr>
            <w:tcW w:w="2802" w:type="dxa"/>
          </w:tcPr>
          <w:p w14:paraId="303026E1"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Název a označení indikátoru: </w:t>
            </w:r>
          </w:p>
        </w:tc>
        <w:tc>
          <w:tcPr>
            <w:tcW w:w="6486" w:type="dxa"/>
          </w:tcPr>
          <w:p w14:paraId="42505F0E" w14:textId="300BA30D" w:rsidR="006F0F09" w:rsidRPr="00E54EF4" w:rsidRDefault="00F17B98" w:rsidP="00C51B65">
            <w:pPr>
              <w:spacing w:line="276" w:lineRule="auto"/>
              <w:rPr>
                <w:rFonts w:ascii="Arial" w:eastAsia="Arial" w:hAnsi="Arial" w:cs="Arial"/>
                <w:b/>
                <w:sz w:val="22"/>
                <w:szCs w:val="22"/>
              </w:rPr>
            </w:pPr>
            <w:r>
              <w:rPr>
                <w:rFonts w:ascii="Arial" w:eastAsia="Calibri" w:hAnsi="Arial" w:cs="Arial"/>
                <w:b/>
                <w:noProof/>
                <w:sz w:val="22"/>
                <w:szCs w:val="22"/>
              </w:rPr>
              <w:t>12.2.1</w:t>
            </w:r>
            <w:r w:rsidR="006F0F09" w:rsidRPr="00E54EF4">
              <w:rPr>
                <w:rFonts w:ascii="Arial" w:eastAsia="Calibri" w:hAnsi="Arial" w:cs="Arial"/>
                <w:b/>
                <w:noProof/>
                <w:sz w:val="22"/>
                <w:szCs w:val="22"/>
              </w:rPr>
              <w:t xml:space="preserve"> </w:t>
            </w:r>
            <w:r w:rsidR="006F0F09">
              <w:rPr>
                <w:rFonts w:ascii="Arial" w:eastAsia="Calibri" w:hAnsi="Arial" w:cs="Arial"/>
                <w:b/>
                <w:noProof/>
                <w:sz w:val="22"/>
                <w:szCs w:val="22"/>
              </w:rPr>
              <w:t>Podíl o</w:t>
            </w:r>
            <w:r w:rsidR="006F0F09" w:rsidRPr="00E54EF4">
              <w:rPr>
                <w:rFonts w:ascii="Arial" w:eastAsia="Calibri" w:hAnsi="Arial" w:cs="Arial"/>
                <w:b/>
                <w:noProof/>
                <w:sz w:val="22"/>
                <w:szCs w:val="22"/>
              </w:rPr>
              <w:t>rn</w:t>
            </w:r>
            <w:r w:rsidR="006F0F09">
              <w:rPr>
                <w:rFonts w:ascii="Arial" w:eastAsia="Calibri" w:hAnsi="Arial" w:cs="Arial"/>
                <w:b/>
                <w:noProof/>
                <w:sz w:val="22"/>
                <w:szCs w:val="22"/>
              </w:rPr>
              <w:t>é</w:t>
            </w:r>
            <w:r w:rsidR="006F0F09" w:rsidRPr="00E54EF4">
              <w:rPr>
                <w:rFonts w:ascii="Arial" w:eastAsia="Calibri" w:hAnsi="Arial" w:cs="Arial"/>
                <w:b/>
                <w:noProof/>
                <w:sz w:val="22"/>
                <w:szCs w:val="22"/>
              </w:rPr>
              <w:t xml:space="preserve"> půd</w:t>
            </w:r>
            <w:r w:rsidR="006F0F09">
              <w:rPr>
                <w:rFonts w:ascii="Arial" w:eastAsia="Calibri" w:hAnsi="Arial" w:cs="Arial"/>
                <w:b/>
                <w:noProof/>
                <w:sz w:val="22"/>
                <w:szCs w:val="22"/>
              </w:rPr>
              <w:t>y</w:t>
            </w:r>
          </w:p>
        </w:tc>
      </w:tr>
      <w:tr w:rsidR="006F0F09" w:rsidRPr="00CA79AD" w14:paraId="0880FF06" w14:textId="77777777" w:rsidTr="008D14FE">
        <w:tc>
          <w:tcPr>
            <w:tcW w:w="2802" w:type="dxa"/>
          </w:tcPr>
          <w:p w14:paraId="6CFEF6D7"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Stručná definice: </w:t>
            </w:r>
          </w:p>
        </w:tc>
        <w:tc>
          <w:tcPr>
            <w:tcW w:w="6486" w:type="dxa"/>
          </w:tcPr>
          <w:p w14:paraId="0C508813" w14:textId="319D0E72" w:rsidR="006F0F09" w:rsidRPr="00CA79AD" w:rsidRDefault="006F0F09" w:rsidP="00653A6E">
            <w:pPr>
              <w:spacing w:line="276" w:lineRule="auto"/>
              <w:jc w:val="both"/>
              <w:rPr>
                <w:rFonts w:ascii="Arial" w:hAnsi="Arial" w:cs="Arial"/>
                <w:sz w:val="22"/>
                <w:szCs w:val="22"/>
              </w:rPr>
            </w:pPr>
            <w:r w:rsidRPr="00CA79AD">
              <w:rPr>
                <w:rFonts w:ascii="Arial" w:eastAsia="Calibri" w:hAnsi="Arial" w:cs="Arial"/>
                <w:noProof/>
                <w:sz w:val="22"/>
                <w:szCs w:val="22"/>
              </w:rPr>
              <w:t xml:space="preserve">Podíl plochy orné půdy na celkové ploše </w:t>
            </w:r>
            <w:r w:rsidR="00C63E8B">
              <w:rPr>
                <w:rFonts w:ascii="Arial" w:eastAsia="Calibri" w:hAnsi="Arial" w:cs="Arial"/>
                <w:noProof/>
                <w:sz w:val="22"/>
                <w:szCs w:val="22"/>
              </w:rPr>
              <w:t>zemědělského půdního fondu</w:t>
            </w:r>
            <w:r w:rsidRPr="00CA79AD">
              <w:rPr>
                <w:rFonts w:ascii="Arial" w:eastAsia="Calibri" w:hAnsi="Arial" w:cs="Arial"/>
                <w:noProof/>
                <w:sz w:val="22"/>
                <w:szCs w:val="22"/>
              </w:rPr>
              <w:t xml:space="preserve"> České republiky. Orná půda je pozemek, na němž se pravidelně pěstují obilniny, okopaniny, pícniny, technické plodiny a jiné zemědělské plodiny nebo který je jen dočasně zatravňován.</w:t>
            </w:r>
          </w:p>
        </w:tc>
      </w:tr>
      <w:tr w:rsidR="006F0F09" w:rsidRPr="00CA79AD" w14:paraId="0BE5464A" w14:textId="77777777" w:rsidTr="008D14FE">
        <w:tc>
          <w:tcPr>
            <w:tcW w:w="2802" w:type="dxa"/>
          </w:tcPr>
          <w:p w14:paraId="57C42C8B"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Jednotka:</w:t>
            </w:r>
          </w:p>
        </w:tc>
        <w:tc>
          <w:tcPr>
            <w:tcW w:w="6486" w:type="dxa"/>
          </w:tcPr>
          <w:p w14:paraId="1BEDC683" w14:textId="77777777" w:rsidR="006F0F09" w:rsidRPr="00CA79AD" w:rsidRDefault="00CE5672" w:rsidP="00653A6E">
            <w:pPr>
              <w:spacing w:line="276" w:lineRule="auto"/>
              <w:jc w:val="both"/>
              <w:rPr>
                <w:rFonts w:ascii="Arial" w:hAnsi="Arial" w:cs="Arial"/>
                <w:sz w:val="22"/>
                <w:szCs w:val="22"/>
              </w:rPr>
            </w:pPr>
            <w:r>
              <w:rPr>
                <w:rFonts w:ascii="Arial" w:hAnsi="Arial" w:cs="Arial"/>
                <w:sz w:val="22"/>
                <w:szCs w:val="22"/>
              </w:rPr>
              <w:t xml:space="preserve">Podíl (v </w:t>
            </w:r>
            <w:r w:rsidR="006F0F09" w:rsidRPr="00CA79AD">
              <w:rPr>
                <w:rFonts w:ascii="Arial" w:hAnsi="Arial" w:cs="Arial"/>
                <w:sz w:val="22"/>
                <w:szCs w:val="22"/>
              </w:rPr>
              <w:t>%</w:t>
            </w:r>
            <w:r>
              <w:rPr>
                <w:rFonts w:ascii="Arial" w:hAnsi="Arial" w:cs="Arial"/>
                <w:sz w:val="22"/>
                <w:szCs w:val="22"/>
              </w:rPr>
              <w:t>)</w:t>
            </w:r>
          </w:p>
        </w:tc>
      </w:tr>
      <w:tr w:rsidR="006F0F09" w:rsidRPr="00CA79AD" w14:paraId="4EE14BA7" w14:textId="77777777" w:rsidTr="008D14FE">
        <w:tc>
          <w:tcPr>
            <w:tcW w:w="2802" w:type="dxa"/>
          </w:tcPr>
          <w:p w14:paraId="75C64F49"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Gestor: </w:t>
            </w:r>
          </w:p>
        </w:tc>
        <w:tc>
          <w:tcPr>
            <w:tcW w:w="6486" w:type="dxa"/>
          </w:tcPr>
          <w:p w14:paraId="53DC8B85" w14:textId="77777777" w:rsidR="006F0F09" w:rsidRPr="00CA79AD" w:rsidRDefault="00FA49D6" w:rsidP="00653A6E">
            <w:pPr>
              <w:spacing w:line="276" w:lineRule="auto"/>
              <w:jc w:val="both"/>
              <w:rPr>
                <w:rFonts w:ascii="Arial" w:hAnsi="Arial" w:cs="Arial"/>
                <w:sz w:val="22"/>
                <w:szCs w:val="22"/>
              </w:rPr>
            </w:pPr>
            <w:r>
              <w:rPr>
                <w:rFonts w:ascii="Arial" w:hAnsi="Arial" w:cs="Arial"/>
                <w:sz w:val="22"/>
                <w:szCs w:val="22"/>
              </w:rPr>
              <w:t>Český statistický úřad</w:t>
            </w:r>
          </w:p>
        </w:tc>
      </w:tr>
      <w:tr w:rsidR="006F0F09" w:rsidRPr="00CA79AD" w14:paraId="2C05AB8D" w14:textId="77777777" w:rsidTr="008D14FE">
        <w:tc>
          <w:tcPr>
            <w:tcW w:w="2802" w:type="dxa"/>
          </w:tcPr>
          <w:p w14:paraId="34201372"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Význam indikátoru: </w:t>
            </w:r>
          </w:p>
        </w:tc>
        <w:tc>
          <w:tcPr>
            <w:tcW w:w="6486" w:type="dxa"/>
          </w:tcPr>
          <w:p w14:paraId="4D96C4B8" w14:textId="6F4D001C" w:rsidR="006F0F09" w:rsidRPr="00CA79AD" w:rsidRDefault="006F0F09" w:rsidP="00653A6E">
            <w:pPr>
              <w:spacing w:line="276" w:lineRule="auto"/>
              <w:jc w:val="both"/>
              <w:rPr>
                <w:rFonts w:ascii="Arial" w:hAnsi="Arial" w:cs="Arial"/>
                <w:sz w:val="22"/>
                <w:szCs w:val="22"/>
              </w:rPr>
            </w:pPr>
            <w:r w:rsidRPr="00CA79AD">
              <w:rPr>
                <w:rFonts w:ascii="Arial" w:hAnsi="Arial" w:cs="Arial"/>
                <w:sz w:val="22"/>
                <w:szCs w:val="22"/>
              </w:rPr>
              <w:t>Podíl orné půdy je přímo úměrný intenzitě zemědělství a míře negativních environmentálních dopadů, jako j</w:t>
            </w:r>
            <w:r w:rsidR="005E6234">
              <w:rPr>
                <w:rFonts w:ascii="Arial" w:hAnsi="Arial" w:cs="Arial"/>
                <w:sz w:val="22"/>
                <w:szCs w:val="22"/>
              </w:rPr>
              <w:t>sou</w:t>
            </w:r>
            <w:r w:rsidRPr="00CA79AD">
              <w:rPr>
                <w:rFonts w:ascii="Arial" w:hAnsi="Arial" w:cs="Arial"/>
                <w:sz w:val="22"/>
                <w:szCs w:val="22"/>
              </w:rPr>
              <w:t xml:space="preserve"> eroze půdy a znečišťování vod splachy hnojiv a pesticidů.</w:t>
            </w:r>
          </w:p>
        </w:tc>
      </w:tr>
      <w:tr w:rsidR="006F0F09" w:rsidRPr="00CA79AD" w14:paraId="1A488492" w14:textId="77777777" w:rsidTr="008D14FE">
        <w:tc>
          <w:tcPr>
            <w:tcW w:w="2802" w:type="dxa"/>
          </w:tcPr>
          <w:p w14:paraId="7092F87E"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Časová řada: </w:t>
            </w:r>
          </w:p>
        </w:tc>
        <w:tc>
          <w:tcPr>
            <w:tcW w:w="6486" w:type="dxa"/>
          </w:tcPr>
          <w:p w14:paraId="5153E36C" w14:textId="77777777" w:rsidR="006F0F09" w:rsidRPr="00CA79AD" w:rsidRDefault="006F0F09" w:rsidP="00653A6E">
            <w:pPr>
              <w:spacing w:line="276" w:lineRule="auto"/>
              <w:jc w:val="both"/>
              <w:rPr>
                <w:rFonts w:ascii="Arial" w:hAnsi="Arial" w:cs="Arial"/>
                <w:sz w:val="22"/>
                <w:szCs w:val="22"/>
              </w:rPr>
            </w:pPr>
            <w:r w:rsidRPr="00CA79AD">
              <w:rPr>
                <w:rFonts w:ascii="Arial" w:eastAsia="Calibri" w:hAnsi="Arial" w:cs="Arial"/>
                <w:noProof/>
                <w:sz w:val="22"/>
                <w:szCs w:val="22"/>
              </w:rPr>
              <w:t>Od roku 1920</w:t>
            </w:r>
          </w:p>
        </w:tc>
      </w:tr>
      <w:tr w:rsidR="006F0F09" w:rsidRPr="00CA79AD" w14:paraId="37326037" w14:textId="77777777" w:rsidTr="008D14FE">
        <w:tc>
          <w:tcPr>
            <w:tcW w:w="2802" w:type="dxa"/>
          </w:tcPr>
          <w:p w14:paraId="6B12A2D0"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Frekvence výstupu: </w:t>
            </w:r>
          </w:p>
        </w:tc>
        <w:tc>
          <w:tcPr>
            <w:tcW w:w="6486" w:type="dxa"/>
          </w:tcPr>
          <w:p w14:paraId="44FCF43B" w14:textId="77777777" w:rsidR="006F0F09" w:rsidRPr="00CA79AD" w:rsidRDefault="00FB51F3" w:rsidP="00653A6E">
            <w:pPr>
              <w:spacing w:line="276" w:lineRule="auto"/>
              <w:jc w:val="both"/>
              <w:rPr>
                <w:rFonts w:ascii="Arial" w:hAnsi="Arial" w:cs="Arial"/>
                <w:sz w:val="22"/>
                <w:szCs w:val="22"/>
              </w:rPr>
            </w:pPr>
            <w:r>
              <w:rPr>
                <w:rFonts w:ascii="Arial" w:eastAsia="Calibri" w:hAnsi="Arial" w:cs="Arial"/>
                <w:noProof/>
                <w:sz w:val="22"/>
                <w:szCs w:val="22"/>
              </w:rPr>
              <w:t>Ročně</w:t>
            </w:r>
          </w:p>
        </w:tc>
      </w:tr>
      <w:tr w:rsidR="006F0F09" w:rsidRPr="00CA79AD" w14:paraId="2EFF5393" w14:textId="77777777" w:rsidTr="008D14FE">
        <w:trPr>
          <w:trHeight w:val="70"/>
        </w:trPr>
        <w:tc>
          <w:tcPr>
            <w:tcW w:w="2802" w:type="dxa"/>
          </w:tcPr>
          <w:p w14:paraId="22A1DD39"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Členění indikátoru: </w:t>
            </w:r>
          </w:p>
        </w:tc>
        <w:tc>
          <w:tcPr>
            <w:tcW w:w="6486" w:type="dxa"/>
          </w:tcPr>
          <w:p w14:paraId="36B092DF" w14:textId="25A70565" w:rsidR="006F0F09" w:rsidRPr="00CA79AD" w:rsidRDefault="001231FE" w:rsidP="00653A6E">
            <w:pPr>
              <w:spacing w:line="276" w:lineRule="auto"/>
              <w:jc w:val="both"/>
              <w:rPr>
                <w:rFonts w:ascii="Arial" w:hAnsi="Arial" w:cs="Arial"/>
                <w:sz w:val="22"/>
                <w:szCs w:val="22"/>
              </w:rPr>
            </w:pPr>
            <w:r>
              <w:rPr>
                <w:rFonts w:ascii="Arial" w:hAnsi="Arial" w:cs="Arial"/>
                <w:sz w:val="22"/>
                <w:szCs w:val="22"/>
              </w:rPr>
              <w:t>Celostátně, dle krajů</w:t>
            </w:r>
          </w:p>
        </w:tc>
      </w:tr>
      <w:tr w:rsidR="006F0F09" w:rsidRPr="00CA79AD" w14:paraId="3C39D2A2" w14:textId="77777777" w:rsidTr="008D14FE">
        <w:trPr>
          <w:trHeight w:val="70"/>
        </w:trPr>
        <w:tc>
          <w:tcPr>
            <w:tcW w:w="2802" w:type="dxa"/>
          </w:tcPr>
          <w:p w14:paraId="1435EAB9"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Mezinárodní srovnání:</w:t>
            </w:r>
          </w:p>
        </w:tc>
        <w:tc>
          <w:tcPr>
            <w:tcW w:w="6486" w:type="dxa"/>
          </w:tcPr>
          <w:p w14:paraId="737A7726" w14:textId="77777777" w:rsidR="006F0F09" w:rsidRPr="00CA79AD" w:rsidRDefault="006F0F09" w:rsidP="00653A6E">
            <w:pPr>
              <w:spacing w:line="276" w:lineRule="auto"/>
              <w:jc w:val="both"/>
              <w:rPr>
                <w:rFonts w:ascii="Arial" w:hAnsi="Arial" w:cs="Arial"/>
                <w:sz w:val="22"/>
                <w:szCs w:val="22"/>
              </w:rPr>
            </w:pPr>
            <w:r w:rsidRPr="00CA79AD">
              <w:rPr>
                <w:rFonts w:ascii="Arial" w:eastAsia="Calibri" w:hAnsi="Arial" w:cs="Arial"/>
                <w:noProof/>
                <w:sz w:val="22"/>
                <w:szCs w:val="22"/>
              </w:rPr>
              <w:t>Eurostat</w:t>
            </w:r>
          </w:p>
        </w:tc>
      </w:tr>
    </w:tbl>
    <w:p w14:paraId="11526500" w14:textId="780A2F99" w:rsidR="006F0F09" w:rsidRPr="00F677C3" w:rsidRDefault="006F0F09" w:rsidP="00653A6E">
      <w:pPr>
        <w:pStyle w:val="r2030podcle"/>
        <w:numPr>
          <w:ilvl w:val="0"/>
          <w:numId w:val="0"/>
        </w:numPr>
        <w:spacing w:before="0" w:after="0"/>
        <w:ind w:left="792"/>
      </w:pPr>
    </w:p>
    <w:tbl>
      <w:tblPr>
        <w:tblStyle w:val="Mkatabulky"/>
        <w:tblW w:w="0" w:type="auto"/>
        <w:tblLook w:val="04A0" w:firstRow="1" w:lastRow="0" w:firstColumn="1" w:lastColumn="0" w:noHBand="0" w:noVBand="1"/>
      </w:tblPr>
      <w:tblGrid>
        <w:gridCol w:w="2802"/>
        <w:gridCol w:w="6486"/>
      </w:tblGrid>
      <w:tr w:rsidR="006F0F09" w:rsidRPr="00CA79AD" w14:paraId="515EC9A5" w14:textId="77777777" w:rsidTr="008D14FE">
        <w:tc>
          <w:tcPr>
            <w:tcW w:w="2802" w:type="dxa"/>
          </w:tcPr>
          <w:p w14:paraId="20F963CE"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Název a označení indikátoru: </w:t>
            </w:r>
          </w:p>
        </w:tc>
        <w:tc>
          <w:tcPr>
            <w:tcW w:w="6486" w:type="dxa"/>
          </w:tcPr>
          <w:p w14:paraId="1A768F29" w14:textId="227F6C1D" w:rsidR="006F0F09" w:rsidRPr="00E54EF4" w:rsidRDefault="00F17B98" w:rsidP="00C51B65">
            <w:pPr>
              <w:spacing w:line="276" w:lineRule="auto"/>
              <w:rPr>
                <w:rFonts w:ascii="Arial" w:eastAsia="Arial" w:hAnsi="Arial" w:cs="Arial"/>
                <w:b/>
                <w:sz w:val="22"/>
                <w:szCs w:val="22"/>
              </w:rPr>
            </w:pPr>
            <w:r>
              <w:rPr>
                <w:rFonts w:ascii="Arial" w:eastAsia="Calibri" w:hAnsi="Arial" w:cs="Arial"/>
                <w:b/>
                <w:noProof/>
                <w:sz w:val="22"/>
                <w:szCs w:val="22"/>
              </w:rPr>
              <w:t>12.</w:t>
            </w:r>
            <w:r w:rsidR="002460FC">
              <w:rPr>
                <w:rFonts w:ascii="Arial" w:eastAsia="Calibri" w:hAnsi="Arial" w:cs="Arial"/>
                <w:b/>
                <w:noProof/>
                <w:sz w:val="22"/>
                <w:szCs w:val="22"/>
              </w:rPr>
              <w:t>2</w:t>
            </w:r>
            <w:r>
              <w:rPr>
                <w:rFonts w:ascii="Arial" w:eastAsia="Calibri" w:hAnsi="Arial" w:cs="Arial"/>
                <w:b/>
                <w:noProof/>
                <w:sz w:val="22"/>
                <w:szCs w:val="22"/>
              </w:rPr>
              <w:t>.</w:t>
            </w:r>
            <w:r w:rsidR="002460FC">
              <w:rPr>
                <w:rFonts w:ascii="Arial" w:eastAsia="Calibri" w:hAnsi="Arial" w:cs="Arial"/>
                <w:b/>
                <w:noProof/>
                <w:sz w:val="22"/>
                <w:szCs w:val="22"/>
              </w:rPr>
              <w:t>2</w:t>
            </w:r>
            <w:r w:rsidR="006F0F09" w:rsidRPr="00E54EF4">
              <w:rPr>
                <w:rFonts w:ascii="Arial" w:eastAsia="Calibri" w:hAnsi="Arial" w:cs="Arial"/>
                <w:b/>
                <w:noProof/>
                <w:sz w:val="22"/>
                <w:szCs w:val="22"/>
              </w:rPr>
              <w:t xml:space="preserve"> </w:t>
            </w:r>
            <w:r w:rsidR="006F0F09">
              <w:rPr>
                <w:rFonts w:ascii="Arial" w:eastAsia="Calibri" w:hAnsi="Arial" w:cs="Arial"/>
                <w:b/>
                <w:noProof/>
                <w:sz w:val="22"/>
                <w:szCs w:val="22"/>
              </w:rPr>
              <w:t xml:space="preserve">Podíl trvalých </w:t>
            </w:r>
            <w:r w:rsidR="006F0F09" w:rsidRPr="00E54EF4">
              <w:rPr>
                <w:rFonts w:ascii="Arial" w:eastAsia="Calibri" w:hAnsi="Arial" w:cs="Arial"/>
                <w:b/>
                <w:noProof/>
                <w:sz w:val="22"/>
                <w:szCs w:val="22"/>
              </w:rPr>
              <w:t>travní</w:t>
            </w:r>
            <w:r w:rsidR="006F0F09">
              <w:rPr>
                <w:rFonts w:ascii="Arial" w:eastAsia="Calibri" w:hAnsi="Arial" w:cs="Arial"/>
                <w:b/>
                <w:noProof/>
                <w:sz w:val="22"/>
                <w:szCs w:val="22"/>
              </w:rPr>
              <w:t>ch</w:t>
            </w:r>
            <w:r w:rsidR="006F0F09" w:rsidRPr="00E54EF4">
              <w:rPr>
                <w:rFonts w:ascii="Arial" w:eastAsia="Calibri" w:hAnsi="Arial" w:cs="Arial"/>
                <w:b/>
                <w:noProof/>
                <w:sz w:val="22"/>
                <w:szCs w:val="22"/>
              </w:rPr>
              <w:t xml:space="preserve"> porost</w:t>
            </w:r>
            <w:r w:rsidR="006F0F09">
              <w:rPr>
                <w:rFonts w:ascii="Arial" w:eastAsia="Calibri" w:hAnsi="Arial" w:cs="Arial"/>
                <w:b/>
                <w:noProof/>
                <w:sz w:val="22"/>
                <w:szCs w:val="22"/>
              </w:rPr>
              <w:t>ů</w:t>
            </w:r>
          </w:p>
        </w:tc>
      </w:tr>
      <w:tr w:rsidR="006F0F09" w:rsidRPr="00CA79AD" w14:paraId="435B37CB" w14:textId="77777777" w:rsidTr="008D14FE">
        <w:tc>
          <w:tcPr>
            <w:tcW w:w="2802" w:type="dxa"/>
          </w:tcPr>
          <w:p w14:paraId="3C6AB029"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Stručná definice: </w:t>
            </w:r>
          </w:p>
        </w:tc>
        <w:tc>
          <w:tcPr>
            <w:tcW w:w="6486" w:type="dxa"/>
          </w:tcPr>
          <w:p w14:paraId="63F4D9FA" w14:textId="0D6353A1" w:rsidR="006F0F09" w:rsidRPr="00CA79AD" w:rsidRDefault="006F0F09" w:rsidP="00653A6E">
            <w:pPr>
              <w:spacing w:line="276" w:lineRule="auto"/>
              <w:jc w:val="both"/>
              <w:rPr>
                <w:rFonts w:ascii="Arial" w:hAnsi="Arial" w:cs="Arial"/>
                <w:sz w:val="22"/>
                <w:szCs w:val="22"/>
              </w:rPr>
            </w:pPr>
            <w:r w:rsidRPr="00CA79AD">
              <w:rPr>
                <w:rFonts w:ascii="Arial" w:eastAsia="Calibri" w:hAnsi="Arial" w:cs="Arial"/>
                <w:noProof/>
                <w:sz w:val="22"/>
                <w:szCs w:val="22"/>
              </w:rPr>
              <w:t xml:space="preserve">Podíl plochy trvalých travních porostů na celkové ploše </w:t>
            </w:r>
            <w:r w:rsidR="00CE7B59">
              <w:rPr>
                <w:rFonts w:ascii="Arial" w:eastAsia="Calibri" w:hAnsi="Arial" w:cs="Arial"/>
                <w:noProof/>
                <w:sz w:val="22"/>
                <w:szCs w:val="22"/>
              </w:rPr>
              <w:t>zemědělského půdního fondu</w:t>
            </w:r>
            <w:r w:rsidRPr="00CA79AD">
              <w:rPr>
                <w:rFonts w:ascii="Arial" w:eastAsia="Calibri" w:hAnsi="Arial" w:cs="Arial"/>
                <w:noProof/>
                <w:sz w:val="22"/>
                <w:szCs w:val="22"/>
              </w:rPr>
              <w:t xml:space="preserve"> České republiky. Trvalý travní porost je pozemek porostlý travinami, sloužící k získání sena nebo ke spásání.</w:t>
            </w:r>
          </w:p>
        </w:tc>
      </w:tr>
      <w:tr w:rsidR="006F0F09" w:rsidRPr="00CA79AD" w14:paraId="70CFD0F8" w14:textId="77777777" w:rsidTr="008D14FE">
        <w:tc>
          <w:tcPr>
            <w:tcW w:w="2802" w:type="dxa"/>
          </w:tcPr>
          <w:p w14:paraId="1D7836C6"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Jednotka:</w:t>
            </w:r>
          </w:p>
        </w:tc>
        <w:tc>
          <w:tcPr>
            <w:tcW w:w="6486" w:type="dxa"/>
          </w:tcPr>
          <w:p w14:paraId="27D9FD1C" w14:textId="77777777" w:rsidR="006F0F09" w:rsidRPr="00CA79AD" w:rsidRDefault="00CE5672" w:rsidP="00653A6E">
            <w:pPr>
              <w:spacing w:line="276" w:lineRule="auto"/>
              <w:jc w:val="both"/>
              <w:rPr>
                <w:rFonts w:ascii="Arial" w:hAnsi="Arial" w:cs="Arial"/>
                <w:sz w:val="22"/>
                <w:szCs w:val="22"/>
              </w:rPr>
            </w:pPr>
            <w:r>
              <w:rPr>
                <w:rFonts w:ascii="Arial" w:hAnsi="Arial" w:cs="Arial"/>
                <w:sz w:val="22"/>
                <w:szCs w:val="22"/>
              </w:rPr>
              <w:t xml:space="preserve">Podíl (v </w:t>
            </w:r>
            <w:r w:rsidR="006F0F09" w:rsidRPr="00CA79AD">
              <w:rPr>
                <w:rFonts w:ascii="Arial" w:hAnsi="Arial" w:cs="Arial"/>
                <w:sz w:val="22"/>
                <w:szCs w:val="22"/>
              </w:rPr>
              <w:t>%</w:t>
            </w:r>
            <w:r>
              <w:rPr>
                <w:rFonts w:ascii="Arial" w:hAnsi="Arial" w:cs="Arial"/>
                <w:sz w:val="22"/>
                <w:szCs w:val="22"/>
              </w:rPr>
              <w:t>)</w:t>
            </w:r>
          </w:p>
        </w:tc>
      </w:tr>
      <w:tr w:rsidR="006F0F09" w:rsidRPr="00CA79AD" w14:paraId="64C08B12" w14:textId="77777777" w:rsidTr="008D14FE">
        <w:tc>
          <w:tcPr>
            <w:tcW w:w="2802" w:type="dxa"/>
          </w:tcPr>
          <w:p w14:paraId="6F90A3F7"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Gestor: </w:t>
            </w:r>
          </w:p>
        </w:tc>
        <w:tc>
          <w:tcPr>
            <w:tcW w:w="6486" w:type="dxa"/>
          </w:tcPr>
          <w:p w14:paraId="1AEF2DE6" w14:textId="77777777" w:rsidR="006F0F09" w:rsidRPr="00CA79AD" w:rsidRDefault="00FA49D6" w:rsidP="00653A6E">
            <w:pPr>
              <w:spacing w:line="276" w:lineRule="auto"/>
              <w:jc w:val="both"/>
              <w:rPr>
                <w:rFonts w:ascii="Arial" w:hAnsi="Arial" w:cs="Arial"/>
                <w:sz w:val="22"/>
                <w:szCs w:val="22"/>
              </w:rPr>
            </w:pPr>
            <w:r>
              <w:rPr>
                <w:rFonts w:ascii="Arial" w:eastAsia="Calibri" w:hAnsi="Arial" w:cs="Arial"/>
                <w:noProof/>
                <w:sz w:val="22"/>
                <w:szCs w:val="22"/>
              </w:rPr>
              <w:t>Český statistický úřad</w:t>
            </w:r>
          </w:p>
        </w:tc>
      </w:tr>
      <w:tr w:rsidR="006F0F09" w:rsidRPr="00CA79AD" w14:paraId="1DB382D2" w14:textId="77777777" w:rsidTr="008D14FE">
        <w:tc>
          <w:tcPr>
            <w:tcW w:w="2802" w:type="dxa"/>
          </w:tcPr>
          <w:p w14:paraId="49A42C6C"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Význam indikátoru: </w:t>
            </w:r>
          </w:p>
        </w:tc>
        <w:tc>
          <w:tcPr>
            <w:tcW w:w="6486" w:type="dxa"/>
          </w:tcPr>
          <w:p w14:paraId="3A4900E1" w14:textId="361C5648" w:rsidR="006F0F09" w:rsidRPr="00CA79AD" w:rsidRDefault="005E6234" w:rsidP="00653A6E">
            <w:pPr>
              <w:spacing w:line="276" w:lineRule="auto"/>
              <w:jc w:val="both"/>
              <w:rPr>
                <w:rFonts w:ascii="Arial" w:hAnsi="Arial" w:cs="Arial"/>
                <w:sz w:val="22"/>
                <w:szCs w:val="22"/>
              </w:rPr>
            </w:pPr>
            <w:r>
              <w:rPr>
                <w:rFonts w:ascii="Arial" w:hAnsi="Arial" w:cs="Arial"/>
                <w:sz w:val="22"/>
                <w:szCs w:val="22"/>
              </w:rPr>
              <w:t>I</w:t>
            </w:r>
            <w:r w:rsidRPr="00CA79AD">
              <w:rPr>
                <w:rFonts w:ascii="Arial" w:hAnsi="Arial" w:cs="Arial"/>
                <w:sz w:val="22"/>
                <w:szCs w:val="22"/>
              </w:rPr>
              <w:t xml:space="preserve">ndikátor </w:t>
            </w:r>
            <w:r>
              <w:rPr>
                <w:rFonts w:ascii="Arial" w:hAnsi="Arial" w:cs="Arial"/>
                <w:sz w:val="22"/>
                <w:szCs w:val="22"/>
              </w:rPr>
              <w:t>„podíl trvalých travních porostů“</w:t>
            </w:r>
            <w:r w:rsidRPr="00CA79AD">
              <w:rPr>
                <w:rFonts w:ascii="Arial" w:hAnsi="Arial" w:cs="Arial"/>
                <w:sz w:val="22"/>
                <w:szCs w:val="22"/>
              </w:rPr>
              <w:t xml:space="preserve"> </w:t>
            </w:r>
            <w:r>
              <w:rPr>
                <w:rFonts w:ascii="Arial" w:hAnsi="Arial" w:cs="Arial"/>
                <w:sz w:val="22"/>
                <w:szCs w:val="22"/>
              </w:rPr>
              <w:t>ukazuje, n</w:t>
            </w:r>
            <w:r w:rsidR="006F0F09" w:rsidRPr="00CA79AD">
              <w:rPr>
                <w:rFonts w:ascii="Arial" w:hAnsi="Arial" w:cs="Arial"/>
                <w:sz w:val="22"/>
                <w:szCs w:val="22"/>
              </w:rPr>
              <w:t xml:space="preserve">a rozdíl od indikátoru </w:t>
            </w:r>
            <w:r>
              <w:rPr>
                <w:rFonts w:ascii="Arial" w:hAnsi="Arial" w:cs="Arial"/>
                <w:sz w:val="22"/>
                <w:szCs w:val="22"/>
              </w:rPr>
              <w:t>„</w:t>
            </w:r>
            <w:r w:rsidR="006F0F09" w:rsidRPr="00CA79AD">
              <w:rPr>
                <w:rFonts w:ascii="Arial" w:hAnsi="Arial" w:cs="Arial"/>
                <w:sz w:val="22"/>
                <w:szCs w:val="22"/>
              </w:rPr>
              <w:t>podíl orné půdy</w:t>
            </w:r>
            <w:r>
              <w:rPr>
                <w:rFonts w:ascii="Arial" w:hAnsi="Arial" w:cs="Arial"/>
                <w:sz w:val="22"/>
                <w:szCs w:val="22"/>
              </w:rPr>
              <w:t>“,</w:t>
            </w:r>
            <w:r w:rsidR="006F0F09" w:rsidRPr="00CA79AD">
              <w:rPr>
                <w:rFonts w:ascii="Arial" w:hAnsi="Arial" w:cs="Arial"/>
                <w:sz w:val="22"/>
                <w:szCs w:val="22"/>
              </w:rPr>
              <w:t xml:space="preserve"> jaká část zemědělské půdy je využívána extenzivnějším způsobem, tj. bez ohrožení erozí a s minimálními vstupy hnojiv a pesticidů.</w:t>
            </w:r>
          </w:p>
        </w:tc>
      </w:tr>
      <w:tr w:rsidR="006F0F09" w:rsidRPr="00CA79AD" w14:paraId="17ACFB8C" w14:textId="77777777" w:rsidTr="008D14FE">
        <w:tc>
          <w:tcPr>
            <w:tcW w:w="2802" w:type="dxa"/>
          </w:tcPr>
          <w:p w14:paraId="0AAE65EB"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Časová řada: </w:t>
            </w:r>
          </w:p>
        </w:tc>
        <w:tc>
          <w:tcPr>
            <w:tcW w:w="6486" w:type="dxa"/>
          </w:tcPr>
          <w:p w14:paraId="5F88A19D" w14:textId="77777777" w:rsidR="006F0F09" w:rsidRPr="00CA79AD" w:rsidRDefault="006F0F09" w:rsidP="00653A6E">
            <w:pPr>
              <w:spacing w:line="276" w:lineRule="auto"/>
              <w:jc w:val="both"/>
              <w:rPr>
                <w:rFonts w:ascii="Arial" w:hAnsi="Arial" w:cs="Arial"/>
                <w:sz w:val="22"/>
                <w:szCs w:val="22"/>
              </w:rPr>
            </w:pPr>
            <w:r w:rsidRPr="00CA79AD">
              <w:rPr>
                <w:rFonts w:ascii="Arial" w:eastAsia="Calibri" w:hAnsi="Arial" w:cs="Arial"/>
                <w:noProof/>
                <w:sz w:val="22"/>
                <w:szCs w:val="22"/>
              </w:rPr>
              <w:t>Od roku 1920</w:t>
            </w:r>
          </w:p>
        </w:tc>
      </w:tr>
      <w:tr w:rsidR="006F0F09" w:rsidRPr="00CA79AD" w14:paraId="5390A145" w14:textId="77777777" w:rsidTr="008D14FE">
        <w:tc>
          <w:tcPr>
            <w:tcW w:w="2802" w:type="dxa"/>
          </w:tcPr>
          <w:p w14:paraId="623AF8D5"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Frekvence výstupu: </w:t>
            </w:r>
          </w:p>
        </w:tc>
        <w:tc>
          <w:tcPr>
            <w:tcW w:w="6486" w:type="dxa"/>
          </w:tcPr>
          <w:p w14:paraId="0B68EE74" w14:textId="77777777" w:rsidR="006F0F09" w:rsidRPr="00CA79AD" w:rsidRDefault="00CE5672" w:rsidP="00653A6E">
            <w:pPr>
              <w:spacing w:line="276" w:lineRule="auto"/>
              <w:jc w:val="both"/>
              <w:rPr>
                <w:rFonts w:ascii="Arial" w:hAnsi="Arial" w:cs="Arial"/>
                <w:sz w:val="22"/>
                <w:szCs w:val="22"/>
              </w:rPr>
            </w:pPr>
            <w:r>
              <w:rPr>
                <w:rFonts w:ascii="Arial" w:eastAsia="Calibri" w:hAnsi="Arial" w:cs="Arial"/>
                <w:noProof/>
                <w:sz w:val="22"/>
                <w:szCs w:val="22"/>
              </w:rPr>
              <w:t>Ročně</w:t>
            </w:r>
          </w:p>
        </w:tc>
      </w:tr>
      <w:tr w:rsidR="006F0F09" w:rsidRPr="00CA79AD" w14:paraId="1973F070" w14:textId="77777777" w:rsidTr="008D14FE">
        <w:trPr>
          <w:trHeight w:val="70"/>
        </w:trPr>
        <w:tc>
          <w:tcPr>
            <w:tcW w:w="2802" w:type="dxa"/>
          </w:tcPr>
          <w:p w14:paraId="6E87B8B1"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Členění indikátoru: </w:t>
            </w:r>
          </w:p>
        </w:tc>
        <w:tc>
          <w:tcPr>
            <w:tcW w:w="6486" w:type="dxa"/>
          </w:tcPr>
          <w:p w14:paraId="67C55C54" w14:textId="73991E74" w:rsidR="006F0F09" w:rsidRPr="00CA79AD" w:rsidRDefault="001231FE" w:rsidP="00653A6E">
            <w:pPr>
              <w:spacing w:line="276" w:lineRule="auto"/>
              <w:jc w:val="both"/>
              <w:rPr>
                <w:rFonts w:ascii="Arial" w:hAnsi="Arial" w:cs="Arial"/>
                <w:sz w:val="22"/>
                <w:szCs w:val="22"/>
              </w:rPr>
            </w:pPr>
            <w:r>
              <w:rPr>
                <w:rFonts w:ascii="Arial" w:hAnsi="Arial" w:cs="Arial"/>
                <w:sz w:val="22"/>
                <w:szCs w:val="22"/>
              </w:rPr>
              <w:t>Celostátně, dle krajů</w:t>
            </w:r>
          </w:p>
        </w:tc>
      </w:tr>
      <w:tr w:rsidR="006F0F09" w:rsidRPr="00CA79AD" w14:paraId="307C97B8" w14:textId="77777777" w:rsidTr="008D14FE">
        <w:trPr>
          <w:trHeight w:val="70"/>
        </w:trPr>
        <w:tc>
          <w:tcPr>
            <w:tcW w:w="2802" w:type="dxa"/>
          </w:tcPr>
          <w:p w14:paraId="0FDBBE13"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Mezinárodní srovnání:</w:t>
            </w:r>
          </w:p>
        </w:tc>
        <w:tc>
          <w:tcPr>
            <w:tcW w:w="6486" w:type="dxa"/>
          </w:tcPr>
          <w:p w14:paraId="7C179A04" w14:textId="77777777" w:rsidR="006F0F09" w:rsidRPr="00CA79AD" w:rsidRDefault="006F0F09" w:rsidP="00653A6E">
            <w:pPr>
              <w:spacing w:line="276" w:lineRule="auto"/>
              <w:jc w:val="both"/>
              <w:rPr>
                <w:rFonts w:ascii="Arial" w:hAnsi="Arial" w:cs="Arial"/>
                <w:sz w:val="22"/>
                <w:szCs w:val="22"/>
              </w:rPr>
            </w:pPr>
            <w:r w:rsidRPr="00CA79AD">
              <w:rPr>
                <w:rFonts w:ascii="Arial" w:eastAsia="Calibri" w:hAnsi="Arial" w:cs="Arial"/>
                <w:noProof/>
                <w:sz w:val="22"/>
                <w:szCs w:val="22"/>
              </w:rPr>
              <w:t>Eurostat</w:t>
            </w:r>
          </w:p>
        </w:tc>
      </w:tr>
    </w:tbl>
    <w:p w14:paraId="36D548E2" w14:textId="68A67EA7" w:rsidR="006F0F09" w:rsidRPr="0072049B" w:rsidRDefault="0072049B" w:rsidP="00653A6E">
      <w:pPr>
        <w:pStyle w:val="r2030podcle"/>
        <w:numPr>
          <w:ilvl w:val="1"/>
          <w:numId w:val="17"/>
        </w:numPr>
        <w:ind w:left="567" w:hanging="425"/>
      </w:pPr>
      <w:r>
        <w:lastRenderedPageBreak/>
        <w:t xml:space="preserve">Významně </w:t>
      </w:r>
      <w:r w:rsidR="00551E3A">
        <w:t>roste podíl</w:t>
      </w:r>
      <w:r>
        <w:t xml:space="preserve"> orné půdy obhospodařované v režimu ekologického zemědělství.</w:t>
      </w:r>
    </w:p>
    <w:tbl>
      <w:tblPr>
        <w:tblStyle w:val="Mkatabulky"/>
        <w:tblW w:w="0" w:type="auto"/>
        <w:tblLook w:val="04A0" w:firstRow="1" w:lastRow="0" w:firstColumn="1" w:lastColumn="0" w:noHBand="0" w:noVBand="1"/>
      </w:tblPr>
      <w:tblGrid>
        <w:gridCol w:w="2802"/>
        <w:gridCol w:w="6486"/>
      </w:tblGrid>
      <w:tr w:rsidR="006F0F09" w:rsidRPr="00CA79AD" w14:paraId="065A5D44" w14:textId="77777777" w:rsidTr="008D14FE">
        <w:tc>
          <w:tcPr>
            <w:tcW w:w="2802" w:type="dxa"/>
          </w:tcPr>
          <w:p w14:paraId="2F59D42E"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Název a označení indikátoru: </w:t>
            </w:r>
          </w:p>
        </w:tc>
        <w:tc>
          <w:tcPr>
            <w:tcW w:w="6486" w:type="dxa"/>
          </w:tcPr>
          <w:p w14:paraId="242DA687" w14:textId="7826D87A" w:rsidR="006F0F09" w:rsidRPr="00E54EF4" w:rsidRDefault="00F17B98" w:rsidP="00C51B65">
            <w:pPr>
              <w:spacing w:line="276" w:lineRule="auto"/>
              <w:rPr>
                <w:rFonts w:ascii="Arial" w:eastAsia="Arial" w:hAnsi="Arial" w:cs="Arial"/>
                <w:b/>
                <w:sz w:val="22"/>
                <w:szCs w:val="22"/>
              </w:rPr>
            </w:pPr>
            <w:r>
              <w:rPr>
                <w:rFonts w:ascii="Arial" w:eastAsia="Calibri" w:hAnsi="Arial" w:cs="Arial"/>
                <w:b/>
                <w:noProof/>
                <w:sz w:val="22"/>
                <w:szCs w:val="22"/>
              </w:rPr>
              <w:t>12.</w:t>
            </w:r>
            <w:r w:rsidR="002460FC">
              <w:rPr>
                <w:rFonts w:ascii="Arial" w:eastAsia="Calibri" w:hAnsi="Arial" w:cs="Arial"/>
                <w:b/>
                <w:noProof/>
                <w:sz w:val="22"/>
                <w:szCs w:val="22"/>
              </w:rPr>
              <w:t>3</w:t>
            </w:r>
            <w:r>
              <w:rPr>
                <w:rFonts w:ascii="Arial" w:eastAsia="Calibri" w:hAnsi="Arial" w:cs="Arial"/>
                <w:b/>
                <w:noProof/>
                <w:sz w:val="22"/>
                <w:szCs w:val="22"/>
              </w:rPr>
              <w:t>.1</w:t>
            </w:r>
            <w:r w:rsidR="006F0F09" w:rsidRPr="00E54EF4">
              <w:rPr>
                <w:rFonts w:ascii="Arial" w:eastAsia="Calibri" w:hAnsi="Arial" w:cs="Arial"/>
                <w:b/>
                <w:noProof/>
                <w:sz w:val="22"/>
                <w:szCs w:val="22"/>
              </w:rPr>
              <w:t xml:space="preserve"> </w:t>
            </w:r>
            <w:r w:rsidR="006F0F09">
              <w:rPr>
                <w:rFonts w:ascii="Arial" w:eastAsia="Calibri" w:hAnsi="Arial" w:cs="Arial"/>
                <w:b/>
                <w:noProof/>
                <w:sz w:val="22"/>
                <w:szCs w:val="22"/>
              </w:rPr>
              <w:t>Podíl orné</w:t>
            </w:r>
            <w:r w:rsidR="006F0F09" w:rsidRPr="00E54EF4">
              <w:rPr>
                <w:rFonts w:ascii="Arial" w:eastAsia="Calibri" w:hAnsi="Arial" w:cs="Arial"/>
                <w:b/>
                <w:noProof/>
                <w:sz w:val="22"/>
                <w:szCs w:val="22"/>
              </w:rPr>
              <w:t xml:space="preserve"> půd</w:t>
            </w:r>
            <w:r w:rsidR="006F0F09">
              <w:rPr>
                <w:rFonts w:ascii="Arial" w:eastAsia="Calibri" w:hAnsi="Arial" w:cs="Arial"/>
                <w:b/>
                <w:noProof/>
                <w:sz w:val="22"/>
                <w:szCs w:val="22"/>
              </w:rPr>
              <w:t>y</w:t>
            </w:r>
            <w:r w:rsidR="006F0F09" w:rsidRPr="00E54EF4">
              <w:rPr>
                <w:rFonts w:ascii="Arial" w:eastAsia="Calibri" w:hAnsi="Arial" w:cs="Arial"/>
                <w:b/>
                <w:noProof/>
                <w:sz w:val="22"/>
                <w:szCs w:val="22"/>
              </w:rPr>
              <w:t xml:space="preserve"> obhospodařovan</w:t>
            </w:r>
            <w:r w:rsidR="006F0F09">
              <w:rPr>
                <w:rFonts w:ascii="Arial" w:eastAsia="Calibri" w:hAnsi="Arial" w:cs="Arial"/>
                <w:b/>
                <w:noProof/>
                <w:sz w:val="22"/>
                <w:szCs w:val="22"/>
              </w:rPr>
              <w:t>é</w:t>
            </w:r>
            <w:r w:rsidR="006F0F09" w:rsidRPr="00E54EF4">
              <w:rPr>
                <w:rFonts w:ascii="Arial" w:eastAsia="Calibri" w:hAnsi="Arial" w:cs="Arial"/>
                <w:b/>
                <w:noProof/>
                <w:sz w:val="22"/>
                <w:szCs w:val="22"/>
              </w:rPr>
              <w:t xml:space="preserve"> v režimu ekologického zemědělství</w:t>
            </w:r>
          </w:p>
        </w:tc>
      </w:tr>
      <w:tr w:rsidR="006F0F09" w:rsidRPr="00CA79AD" w14:paraId="341C3ACF" w14:textId="77777777" w:rsidTr="008D14FE">
        <w:tc>
          <w:tcPr>
            <w:tcW w:w="2802" w:type="dxa"/>
          </w:tcPr>
          <w:p w14:paraId="53B8B379"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Stručná definice: </w:t>
            </w:r>
          </w:p>
        </w:tc>
        <w:tc>
          <w:tcPr>
            <w:tcW w:w="6486" w:type="dxa"/>
          </w:tcPr>
          <w:p w14:paraId="6FCA0484" w14:textId="77777777" w:rsidR="006F0F09" w:rsidRPr="0041235D" w:rsidRDefault="006F0F09" w:rsidP="00653A6E">
            <w:pPr>
              <w:spacing w:line="276" w:lineRule="auto"/>
              <w:jc w:val="both"/>
              <w:rPr>
                <w:rFonts w:ascii="Arial" w:hAnsi="Arial" w:cs="Arial"/>
                <w:sz w:val="22"/>
                <w:szCs w:val="22"/>
              </w:rPr>
            </w:pPr>
            <w:r w:rsidRPr="0041235D">
              <w:rPr>
                <w:rFonts w:ascii="Arial" w:hAnsi="Arial" w:cs="Arial"/>
                <w:sz w:val="22"/>
                <w:szCs w:val="22"/>
              </w:rPr>
              <w:t>Indikátor se vypočítá jako rozloha orné půdy zařazené do ekologického zemědělství a její podíl na celkové výměře orné půdy v ČR.</w:t>
            </w:r>
          </w:p>
        </w:tc>
      </w:tr>
      <w:tr w:rsidR="006F0F09" w:rsidRPr="00CA79AD" w14:paraId="119A6EA0" w14:textId="77777777" w:rsidTr="008D14FE">
        <w:tc>
          <w:tcPr>
            <w:tcW w:w="2802" w:type="dxa"/>
          </w:tcPr>
          <w:p w14:paraId="3A08DE9B"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Jednotka:</w:t>
            </w:r>
          </w:p>
        </w:tc>
        <w:tc>
          <w:tcPr>
            <w:tcW w:w="6486" w:type="dxa"/>
          </w:tcPr>
          <w:p w14:paraId="0150BE1F" w14:textId="77777777" w:rsidR="006F0F09" w:rsidRPr="00CA79AD" w:rsidRDefault="006F0F09" w:rsidP="00653A6E">
            <w:pPr>
              <w:spacing w:line="276" w:lineRule="auto"/>
              <w:jc w:val="both"/>
              <w:rPr>
                <w:rFonts w:ascii="Arial" w:hAnsi="Arial" w:cs="Arial"/>
                <w:sz w:val="22"/>
                <w:szCs w:val="22"/>
              </w:rPr>
            </w:pPr>
            <w:r>
              <w:rPr>
                <w:rFonts w:ascii="Arial" w:hAnsi="Arial" w:cs="Arial"/>
                <w:sz w:val="22"/>
                <w:szCs w:val="22"/>
              </w:rPr>
              <w:t xml:space="preserve">tis. ha, </w:t>
            </w:r>
            <w:r w:rsidR="0072049B">
              <w:rPr>
                <w:rFonts w:ascii="Arial" w:hAnsi="Arial" w:cs="Arial"/>
                <w:sz w:val="22"/>
                <w:szCs w:val="22"/>
              </w:rPr>
              <w:t xml:space="preserve">podíl (v </w:t>
            </w:r>
            <w:r w:rsidRPr="00CA79AD">
              <w:rPr>
                <w:rFonts w:ascii="Arial" w:hAnsi="Arial" w:cs="Arial"/>
                <w:sz w:val="22"/>
                <w:szCs w:val="22"/>
              </w:rPr>
              <w:t>%</w:t>
            </w:r>
            <w:r w:rsidR="0072049B">
              <w:rPr>
                <w:rFonts w:ascii="Arial" w:hAnsi="Arial" w:cs="Arial"/>
                <w:sz w:val="22"/>
                <w:szCs w:val="22"/>
              </w:rPr>
              <w:t>)</w:t>
            </w:r>
          </w:p>
        </w:tc>
      </w:tr>
      <w:tr w:rsidR="006F0F09" w:rsidRPr="00CA79AD" w14:paraId="76E76489" w14:textId="77777777" w:rsidTr="008D14FE">
        <w:tc>
          <w:tcPr>
            <w:tcW w:w="2802" w:type="dxa"/>
          </w:tcPr>
          <w:p w14:paraId="6C92AEEA"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Gestor: </w:t>
            </w:r>
          </w:p>
        </w:tc>
        <w:tc>
          <w:tcPr>
            <w:tcW w:w="6486" w:type="dxa"/>
          </w:tcPr>
          <w:p w14:paraId="524D3497" w14:textId="77777777" w:rsidR="006F0F09" w:rsidRPr="00CA79AD" w:rsidRDefault="006F0F09" w:rsidP="00653A6E">
            <w:pPr>
              <w:spacing w:line="276" w:lineRule="auto"/>
              <w:jc w:val="both"/>
              <w:rPr>
                <w:rFonts w:ascii="Arial" w:hAnsi="Arial" w:cs="Arial"/>
                <w:sz w:val="22"/>
                <w:szCs w:val="22"/>
              </w:rPr>
            </w:pPr>
            <w:r w:rsidRPr="00CA79AD">
              <w:rPr>
                <w:rFonts w:ascii="Arial" w:eastAsia="Calibri" w:hAnsi="Arial" w:cs="Arial"/>
                <w:noProof/>
                <w:sz w:val="22"/>
                <w:szCs w:val="22"/>
              </w:rPr>
              <w:t>Ministerstvo zemědělství</w:t>
            </w:r>
          </w:p>
        </w:tc>
      </w:tr>
      <w:tr w:rsidR="006F0F09" w:rsidRPr="00CA79AD" w14:paraId="50A394E4" w14:textId="77777777" w:rsidTr="008D14FE">
        <w:tc>
          <w:tcPr>
            <w:tcW w:w="2802" w:type="dxa"/>
          </w:tcPr>
          <w:p w14:paraId="2608DA40"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Význam indikátoru: </w:t>
            </w:r>
          </w:p>
        </w:tc>
        <w:tc>
          <w:tcPr>
            <w:tcW w:w="6486" w:type="dxa"/>
          </w:tcPr>
          <w:p w14:paraId="3CA9941B" w14:textId="77777777" w:rsidR="006F0F09" w:rsidRPr="00CA79AD" w:rsidRDefault="006F0F09" w:rsidP="00653A6E">
            <w:pPr>
              <w:spacing w:line="276" w:lineRule="auto"/>
              <w:jc w:val="both"/>
              <w:rPr>
                <w:rFonts w:ascii="Arial" w:hAnsi="Arial" w:cs="Arial"/>
                <w:sz w:val="22"/>
                <w:szCs w:val="22"/>
              </w:rPr>
            </w:pPr>
            <w:r w:rsidRPr="00CA79AD">
              <w:rPr>
                <w:rFonts w:ascii="Arial" w:hAnsi="Arial" w:cs="Arial"/>
                <w:sz w:val="22"/>
                <w:szCs w:val="22"/>
              </w:rPr>
              <w:t>Podíl ekologického zemědělství na obhospodařování orné půdy lze v podmínkách ČR považovat za základní indikátor rozvoje ekologického zemědělství. Ekologické zemědělství je šetrné k životnímu prostředí a zvyšuje biodiverzitu v krajině a tento přínos je významný zejména při obhospodařování orné půdy.</w:t>
            </w:r>
          </w:p>
        </w:tc>
      </w:tr>
      <w:tr w:rsidR="006F0F09" w:rsidRPr="00CA79AD" w14:paraId="502873AD" w14:textId="77777777" w:rsidTr="008D14FE">
        <w:tc>
          <w:tcPr>
            <w:tcW w:w="2802" w:type="dxa"/>
          </w:tcPr>
          <w:p w14:paraId="2E93DACD"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Časová řada: </w:t>
            </w:r>
          </w:p>
        </w:tc>
        <w:tc>
          <w:tcPr>
            <w:tcW w:w="6486" w:type="dxa"/>
          </w:tcPr>
          <w:p w14:paraId="793DBA7E" w14:textId="77777777" w:rsidR="006F0F09" w:rsidRPr="00CA79AD" w:rsidRDefault="0072049B" w:rsidP="00653A6E">
            <w:pPr>
              <w:spacing w:line="276" w:lineRule="auto"/>
              <w:jc w:val="both"/>
              <w:rPr>
                <w:rFonts w:ascii="Arial" w:hAnsi="Arial" w:cs="Arial"/>
                <w:sz w:val="22"/>
                <w:szCs w:val="22"/>
              </w:rPr>
            </w:pPr>
            <w:r>
              <w:rPr>
                <w:rFonts w:ascii="Arial" w:hAnsi="Arial" w:cs="Arial"/>
                <w:sz w:val="22"/>
                <w:szCs w:val="22"/>
              </w:rPr>
              <w:t>-</w:t>
            </w:r>
          </w:p>
        </w:tc>
      </w:tr>
      <w:tr w:rsidR="006F0F09" w:rsidRPr="00CA79AD" w14:paraId="31B5F890" w14:textId="77777777" w:rsidTr="008D14FE">
        <w:tc>
          <w:tcPr>
            <w:tcW w:w="2802" w:type="dxa"/>
          </w:tcPr>
          <w:p w14:paraId="3AEA9016"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Frekvence výstupu: </w:t>
            </w:r>
          </w:p>
        </w:tc>
        <w:tc>
          <w:tcPr>
            <w:tcW w:w="6486" w:type="dxa"/>
          </w:tcPr>
          <w:p w14:paraId="53A66678" w14:textId="77777777" w:rsidR="006F0F09" w:rsidRPr="00CA79AD" w:rsidRDefault="00FB51F3" w:rsidP="00653A6E">
            <w:pPr>
              <w:spacing w:line="276" w:lineRule="auto"/>
              <w:jc w:val="both"/>
              <w:rPr>
                <w:rFonts w:ascii="Arial" w:hAnsi="Arial" w:cs="Arial"/>
                <w:sz w:val="22"/>
                <w:szCs w:val="22"/>
              </w:rPr>
            </w:pPr>
            <w:r>
              <w:rPr>
                <w:rFonts w:ascii="Arial" w:hAnsi="Arial" w:cs="Arial"/>
                <w:sz w:val="22"/>
                <w:szCs w:val="22"/>
              </w:rPr>
              <w:t>Ročně</w:t>
            </w:r>
          </w:p>
        </w:tc>
      </w:tr>
      <w:tr w:rsidR="006F0F09" w:rsidRPr="00CA79AD" w14:paraId="32F6BDF3" w14:textId="77777777" w:rsidTr="00653A6E">
        <w:trPr>
          <w:trHeight w:val="78"/>
        </w:trPr>
        <w:tc>
          <w:tcPr>
            <w:tcW w:w="2802" w:type="dxa"/>
          </w:tcPr>
          <w:p w14:paraId="2D0D8687"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Členění indikátoru: </w:t>
            </w:r>
          </w:p>
        </w:tc>
        <w:tc>
          <w:tcPr>
            <w:tcW w:w="6486" w:type="dxa"/>
          </w:tcPr>
          <w:p w14:paraId="7AEEB731" w14:textId="30B0C3D2" w:rsidR="006F0F09" w:rsidRPr="00CA79AD" w:rsidRDefault="001231FE" w:rsidP="00653A6E">
            <w:pPr>
              <w:spacing w:line="276" w:lineRule="auto"/>
              <w:jc w:val="both"/>
              <w:rPr>
                <w:rFonts w:ascii="Arial" w:hAnsi="Arial" w:cs="Arial"/>
                <w:sz w:val="22"/>
                <w:szCs w:val="22"/>
              </w:rPr>
            </w:pPr>
            <w:r>
              <w:rPr>
                <w:rFonts w:ascii="Arial" w:hAnsi="Arial" w:cs="Arial"/>
                <w:sz w:val="22"/>
                <w:szCs w:val="22"/>
              </w:rPr>
              <w:t>Celostátně, dle krajů</w:t>
            </w:r>
          </w:p>
        </w:tc>
      </w:tr>
      <w:tr w:rsidR="006F0F09" w:rsidRPr="00CA79AD" w14:paraId="5D73ED6C" w14:textId="77777777" w:rsidTr="008D14FE">
        <w:trPr>
          <w:trHeight w:val="70"/>
        </w:trPr>
        <w:tc>
          <w:tcPr>
            <w:tcW w:w="2802" w:type="dxa"/>
          </w:tcPr>
          <w:p w14:paraId="3EE1E387"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Mezinárodní srovnání:</w:t>
            </w:r>
          </w:p>
        </w:tc>
        <w:tc>
          <w:tcPr>
            <w:tcW w:w="6486" w:type="dxa"/>
          </w:tcPr>
          <w:p w14:paraId="7AE27A1F" w14:textId="77777777" w:rsidR="006F0F09" w:rsidRPr="00CA79AD" w:rsidRDefault="0072049B" w:rsidP="00653A6E">
            <w:pPr>
              <w:spacing w:line="276" w:lineRule="auto"/>
              <w:jc w:val="both"/>
              <w:rPr>
                <w:rFonts w:ascii="Arial" w:hAnsi="Arial" w:cs="Arial"/>
                <w:sz w:val="22"/>
                <w:szCs w:val="22"/>
              </w:rPr>
            </w:pPr>
            <w:r>
              <w:rPr>
                <w:rFonts w:ascii="Arial" w:hAnsi="Arial" w:cs="Arial"/>
                <w:sz w:val="22"/>
                <w:szCs w:val="22"/>
              </w:rPr>
              <w:t>-</w:t>
            </w:r>
          </w:p>
        </w:tc>
      </w:tr>
    </w:tbl>
    <w:p w14:paraId="3FE2B859" w14:textId="77777777" w:rsidR="00551E3A" w:rsidRDefault="00551E3A" w:rsidP="00653A6E">
      <w:pPr>
        <w:pStyle w:val="r2030podcle"/>
        <w:numPr>
          <w:ilvl w:val="1"/>
          <w:numId w:val="17"/>
        </w:numPr>
        <w:ind w:left="567" w:hanging="425"/>
        <w:rPr>
          <w:rFonts w:eastAsia="Calibri"/>
          <w:lang w:eastAsia="en-US"/>
        </w:rPr>
      </w:pPr>
      <w:r>
        <w:rPr>
          <w:rFonts w:eastAsia="Calibri"/>
          <w:lang w:eastAsia="en-US"/>
        </w:rPr>
        <w:t>Zvyšuje se podíl lesní půdy na celkové rozloze ČR.</w:t>
      </w:r>
    </w:p>
    <w:tbl>
      <w:tblPr>
        <w:tblStyle w:val="Mkatabulky"/>
        <w:tblW w:w="0" w:type="auto"/>
        <w:tblLook w:val="04A0" w:firstRow="1" w:lastRow="0" w:firstColumn="1" w:lastColumn="0" w:noHBand="0" w:noVBand="1"/>
      </w:tblPr>
      <w:tblGrid>
        <w:gridCol w:w="2802"/>
        <w:gridCol w:w="6486"/>
      </w:tblGrid>
      <w:tr w:rsidR="00551E3A" w:rsidRPr="00CA79AD" w14:paraId="50F55C2B" w14:textId="77777777" w:rsidTr="00003B31">
        <w:tc>
          <w:tcPr>
            <w:tcW w:w="2802" w:type="dxa"/>
          </w:tcPr>
          <w:p w14:paraId="77C7022C" w14:textId="77777777" w:rsidR="00551E3A" w:rsidRPr="00CA79AD" w:rsidRDefault="00551E3A" w:rsidP="00003B31">
            <w:pPr>
              <w:spacing w:line="276" w:lineRule="auto"/>
              <w:rPr>
                <w:rFonts w:ascii="Arial" w:hAnsi="Arial" w:cs="Arial"/>
                <w:sz w:val="22"/>
                <w:szCs w:val="22"/>
              </w:rPr>
            </w:pPr>
            <w:r w:rsidRPr="00CA79AD">
              <w:rPr>
                <w:rFonts w:ascii="Arial" w:hAnsi="Arial" w:cs="Arial"/>
                <w:sz w:val="22"/>
                <w:szCs w:val="22"/>
              </w:rPr>
              <w:t xml:space="preserve">Název a označení indikátoru: </w:t>
            </w:r>
          </w:p>
        </w:tc>
        <w:tc>
          <w:tcPr>
            <w:tcW w:w="6486" w:type="dxa"/>
          </w:tcPr>
          <w:p w14:paraId="28AB5C01" w14:textId="77777777" w:rsidR="00551E3A" w:rsidRPr="00E54EF4" w:rsidRDefault="00551E3A" w:rsidP="00003B31">
            <w:pPr>
              <w:spacing w:line="276" w:lineRule="auto"/>
              <w:rPr>
                <w:rFonts w:ascii="Arial" w:eastAsia="Arial" w:hAnsi="Arial" w:cs="Arial"/>
                <w:b/>
                <w:sz w:val="22"/>
                <w:szCs w:val="22"/>
              </w:rPr>
            </w:pPr>
            <w:r>
              <w:rPr>
                <w:rFonts w:ascii="Arial" w:eastAsia="Calibri" w:hAnsi="Arial" w:cs="Arial"/>
                <w:b/>
                <w:noProof/>
                <w:sz w:val="22"/>
                <w:szCs w:val="22"/>
              </w:rPr>
              <w:t>12.4.1</w:t>
            </w:r>
            <w:r w:rsidRPr="00E54EF4">
              <w:rPr>
                <w:rFonts w:ascii="Arial" w:eastAsia="Calibri" w:hAnsi="Arial" w:cs="Arial"/>
                <w:b/>
                <w:noProof/>
                <w:sz w:val="22"/>
                <w:szCs w:val="22"/>
              </w:rPr>
              <w:t xml:space="preserve"> </w:t>
            </w:r>
            <w:r>
              <w:rPr>
                <w:rFonts w:ascii="Arial" w:eastAsia="Calibri" w:hAnsi="Arial" w:cs="Arial"/>
                <w:b/>
                <w:noProof/>
                <w:sz w:val="22"/>
                <w:szCs w:val="22"/>
              </w:rPr>
              <w:t>Podíl lesní půdy na celkové rozloze ČR</w:t>
            </w:r>
          </w:p>
        </w:tc>
      </w:tr>
      <w:tr w:rsidR="00551E3A" w:rsidRPr="00CA79AD" w14:paraId="0491ED4D" w14:textId="77777777" w:rsidTr="00003B31">
        <w:tc>
          <w:tcPr>
            <w:tcW w:w="2802" w:type="dxa"/>
          </w:tcPr>
          <w:p w14:paraId="6FDDB43C" w14:textId="77777777" w:rsidR="00551E3A" w:rsidRPr="00CA79AD" w:rsidRDefault="00551E3A" w:rsidP="00003B31">
            <w:pPr>
              <w:spacing w:line="276" w:lineRule="auto"/>
              <w:rPr>
                <w:rFonts w:ascii="Arial" w:hAnsi="Arial" w:cs="Arial"/>
                <w:sz w:val="22"/>
                <w:szCs w:val="22"/>
              </w:rPr>
            </w:pPr>
            <w:r w:rsidRPr="00CA79AD">
              <w:rPr>
                <w:rFonts w:ascii="Arial" w:hAnsi="Arial" w:cs="Arial"/>
                <w:sz w:val="22"/>
                <w:szCs w:val="22"/>
              </w:rPr>
              <w:t xml:space="preserve">Stručná definice: </w:t>
            </w:r>
          </w:p>
        </w:tc>
        <w:tc>
          <w:tcPr>
            <w:tcW w:w="6486" w:type="dxa"/>
          </w:tcPr>
          <w:p w14:paraId="2758611A" w14:textId="77777777" w:rsidR="00551E3A" w:rsidRPr="0041235D" w:rsidRDefault="00551E3A" w:rsidP="00653A6E">
            <w:pPr>
              <w:spacing w:line="276" w:lineRule="auto"/>
              <w:jc w:val="both"/>
              <w:rPr>
                <w:rFonts w:ascii="Arial" w:hAnsi="Arial" w:cs="Arial"/>
                <w:sz w:val="22"/>
                <w:szCs w:val="22"/>
              </w:rPr>
            </w:pPr>
            <w:r w:rsidRPr="0041235D">
              <w:rPr>
                <w:rFonts w:ascii="Arial" w:hAnsi="Arial" w:cs="Arial"/>
                <w:sz w:val="22"/>
                <w:szCs w:val="22"/>
              </w:rPr>
              <w:t xml:space="preserve">Indikátor se vypočítá jako rozloha </w:t>
            </w:r>
            <w:r>
              <w:rPr>
                <w:rFonts w:ascii="Arial" w:hAnsi="Arial" w:cs="Arial"/>
                <w:sz w:val="22"/>
                <w:szCs w:val="22"/>
              </w:rPr>
              <w:t>lesní</w:t>
            </w:r>
            <w:r w:rsidRPr="0041235D">
              <w:rPr>
                <w:rFonts w:ascii="Arial" w:hAnsi="Arial" w:cs="Arial"/>
                <w:sz w:val="22"/>
                <w:szCs w:val="22"/>
              </w:rPr>
              <w:t xml:space="preserve"> půdy a její podíl na celkové </w:t>
            </w:r>
            <w:r>
              <w:rPr>
                <w:rFonts w:ascii="Arial" w:hAnsi="Arial" w:cs="Arial"/>
                <w:sz w:val="22"/>
                <w:szCs w:val="22"/>
              </w:rPr>
              <w:t>rozloze</w:t>
            </w:r>
            <w:r w:rsidRPr="0041235D">
              <w:rPr>
                <w:rFonts w:ascii="Arial" w:hAnsi="Arial" w:cs="Arial"/>
                <w:sz w:val="22"/>
                <w:szCs w:val="22"/>
              </w:rPr>
              <w:t> ČR.</w:t>
            </w:r>
          </w:p>
        </w:tc>
      </w:tr>
      <w:tr w:rsidR="00551E3A" w:rsidRPr="00CA79AD" w14:paraId="42AC888C" w14:textId="77777777" w:rsidTr="00003B31">
        <w:tc>
          <w:tcPr>
            <w:tcW w:w="2802" w:type="dxa"/>
          </w:tcPr>
          <w:p w14:paraId="6D49680E" w14:textId="77777777" w:rsidR="00551E3A" w:rsidRPr="00CA79AD" w:rsidRDefault="00551E3A" w:rsidP="00003B31">
            <w:pPr>
              <w:spacing w:line="276" w:lineRule="auto"/>
              <w:rPr>
                <w:rFonts w:ascii="Arial" w:hAnsi="Arial" w:cs="Arial"/>
                <w:sz w:val="22"/>
                <w:szCs w:val="22"/>
              </w:rPr>
            </w:pPr>
            <w:r w:rsidRPr="00CA79AD">
              <w:rPr>
                <w:rFonts w:ascii="Arial" w:hAnsi="Arial" w:cs="Arial"/>
                <w:sz w:val="22"/>
                <w:szCs w:val="22"/>
              </w:rPr>
              <w:t>Jednotka:</w:t>
            </w:r>
          </w:p>
        </w:tc>
        <w:tc>
          <w:tcPr>
            <w:tcW w:w="6486" w:type="dxa"/>
          </w:tcPr>
          <w:p w14:paraId="3429CD0F" w14:textId="77777777" w:rsidR="00551E3A" w:rsidRPr="00CA79AD" w:rsidRDefault="00551E3A" w:rsidP="00653A6E">
            <w:pPr>
              <w:spacing w:line="276" w:lineRule="auto"/>
              <w:jc w:val="both"/>
              <w:rPr>
                <w:rFonts w:ascii="Arial" w:hAnsi="Arial" w:cs="Arial"/>
                <w:sz w:val="22"/>
                <w:szCs w:val="22"/>
              </w:rPr>
            </w:pPr>
            <w:r>
              <w:rPr>
                <w:rFonts w:ascii="Arial" w:hAnsi="Arial" w:cs="Arial"/>
                <w:sz w:val="22"/>
                <w:szCs w:val="22"/>
              </w:rPr>
              <w:t xml:space="preserve">tis. ha, podíl (v </w:t>
            </w:r>
            <w:r w:rsidRPr="00CA79AD">
              <w:rPr>
                <w:rFonts w:ascii="Arial" w:hAnsi="Arial" w:cs="Arial"/>
                <w:sz w:val="22"/>
                <w:szCs w:val="22"/>
              </w:rPr>
              <w:t>%</w:t>
            </w:r>
            <w:r>
              <w:rPr>
                <w:rFonts w:ascii="Arial" w:hAnsi="Arial" w:cs="Arial"/>
                <w:sz w:val="22"/>
                <w:szCs w:val="22"/>
              </w:rPr>
              <w:t>)</w:t>
            </w:r>
          </w:p>
        </w:tc>
      </w:tr>
      <w:tr w:rsidR="00551E3A" w:rsidRPr="00CA79AD" w14:paraId="54132CC3" w14:textId="77777777" w:rsidTr="00003B31">
        <w:tc>
          <w:tcPr>
            <w:tcW w:w="2802" w:type="dxa"/>
          </w:tcPr>
          <w:p w14:paraId="6FFF435D" w14:textId="77777777" w:rsidR="00551E3A" w:rsidRPr="00CA79AD" w:rsidRDefault="00551E3A" w:rsidP="00003B31">
            <w:pPr>
              <w:spacing w:line="276" w:lineRule="auto"/>
              <w:rPr>
                <w:rFonts w:ascii="Arial" w:hAnsi="Arial" w:cs="Arial"/>
                <w:sz w:val="22"/>
                <w:szCs w:val="22"/>
              </w:rPr>
            </w:pPr>
            <w:r w:rsidRPr="00CA79AD">
              <w:rPr>
                <w:rFonts w:ascii="Arial" w:hAnsi="Arial" w:cs="Arial"/>
                <w:sz w:val="22"/>
                <w:szCs w:val="22"/>
              </w:rPr>
              <w:t xml:space="preserve">Gestor: </w:t>
            </w:r>
          </w:p>
        </w:tc>
        <w:tc>
          <w:tcPr>
            <w:tcW w:w="6486" w:type="dxa"/>
          </w:tcPr>
          <w:p w14:paraId="2EC84531" w14:textId="77777777" w:rsidR="00551E3A" w:rsidRPr="00CA79AD" w:rsidRDefault="00551E3A" w:rsidP="00653A6E">
            <w:pPr>
              <w:spacing w:line="276" w:lineRule="auto"/>
              <w:jc w:val="both"/>
              <w:rPr>
                <w:rFonts w:ascii="Arial" w:hAnsi="Arial" w:cs="Arial"/>
                <w:sz w:val="22"/>
                <w:szCs w:val="22"/>
              </w:rPr>
            </w:pPr>
            <w:r>
              <w:rPr>
                <w:rFonts w:ascii="Arial" w:eastAsia="Calibri" w:hAnsi="Arial" w:cs="Arial"/>
                <w:noProof/>
                <w:sz w:val="22"/>
                <w:szCs w:val="22"/>
              </w:rPr>
              <w:t>Český statistický úřad</w:t>
            </w:r>
          </w:p>
        </w:tc>
      </w:tr>
      <w:tr w:rsidR="00551E3A" w:rsidRPr="00CA79AD" w14:paraId="60BE2DAB" w14:textId="77777777" w:rsidTr="00003B31">
        <w:tc>
          <w:tcPr>
            <w:tcW w:w="2802" w:type="dxa"/>
          </w:tcPr>
          <w:p w14:paraId="7EA90502" w14:textId="77777777" w:rsidR="00551E3A" w:rsidRPr="00CA79AD" w:rsidRDefault="00551E3A" w:rsidP="00003B31">
            <w:pPr>
              <w:spacing w:line="276" w:lineRule="auto"/>
              <w:rPr>
                <w:rFonts w:ascii="Arial" w:hAnsi="Arial" w:cs="Arial"/>
                <w:sz w:val="22"/>
                <w:szCs w:val="22"/>
              </w:rPr>
            </w:pPr>
            <w:r w:rsidRPr="00CA79AD">
              <w:rPr>
                <w:rFonts w:ascii="Arial" w:hAnsi="Arial" w:cs="Arial"/>
                <w:sz w:val="22"/>
                <w:szCs w:val="22"/>
              </w:rPr>
              <w:t xml:space="preserve">Význam indikátoru: </w:t>
            </w:r>
          </w:p>
        </w:tc>
        <w:tc>
          <w:tcPr>
            <w:tcW w:w="6486" w:type="dxa"/>
          </w:tcPr>
          <w:p w14:paraId="35322B91" w14:textId="77777777" w:rsidR="00551E3A" w:rsidRPr="00CA79AD" w:rsidRDefault="00551E3A" w:rsidP="00653A6E">
            <w:pPr>
              <w:spacing w:line="276" w:lineRule="auto"/>
              <w:jc w:val="both"/>
              <w:rPr>
                <w:rFonts w:ascii="Arial" w:hAnsi="Arial" w:cs="Arial"/>
                <w:sz w:val="22"/>
                <w:szCs w:val="22"/>
              </w:rPr>
            </w:pPr>
            <w:r w:rsidRPr="00CB22FF">
              <w:rPr>
                <w:rFonts w:ascii="Arial" w:hAnsi="Arial" w:cs="Arial"/>
                <w:sz w:val="22"/>
                <w:szCs w:val="22"/>
              </w:rPr>
              <w:t>Lesy v porovnání s</w:t>
            </w:r>
            <w:r>
              <w:rPr>
                <w:rFonts w:ascii="Arial" w:hAnsi="Arial" w:cs="Arial"/>
                <w:sz w:val="22"/>
                <w:szCs w:val="22"/>
              </w:rPr>
              <w:t xml:space="preserve">e zemědělskými </w:t>
            </w:r>
            <w:r w:rsidRPr="00CB22FF">
              <w:rPr>
                <w:rFonts w:ascii="Arial" w:hAnsi="Arial" w:cs="Arial"/>
                <w:sz w:val="22"/>
                <w:szCs w:val="22"/>
              </w:rPr>
              <w:t xml:space="preserve">druhy pozemků </w:t>
            </w:r>
            <w:r>
              <w:rPr>
                <w:rFonts w:ascii="Arial" w:hAnsi="Arial" w:cs="Arial"/>
                <w:sz w:val="22"/>
                <w:szCs w:val="22"/>
              </w:rPr>
              <w:t xml:space="preserve">v průměru </w:t>
            </w:r>
            <w:r w:rsidRPr="00CB22FF">
              <w:rPr>
                <w:rFonts w:ascii="Arial" w:hAnsi="Arial" w:cs="Arial"/>
                <w:sz w:val="22"/>
                <w:szCs w:val="22"/>
              </w:rPr>
              <w:t>představují stabilnější ekosystémy</w:t>
            </w:r>
            <w:r>
              <w:rPr>
                <w:rFonts w:ascii="Arial" w:hAnsi="Arial" w:cs="Arial"/>
                <w:sz w:val="22"/>
                <w:szCs w:val="22"/>
              </w:rPr>
              <w:t xml:space="preserve">. Mají </w:t>
            </w:r>
            <w:r w:rsidRPr="00CB22FF">
              <w:rPr>
                <w:rFonts w:ascii="Arial" w:hAnsi="Arial" w:cs="Arial"/>
                <w:sz w:val="22"/>
                <w:szCs w:val="22"/>
              </w:rPr>
              <w:t xml:space="preserve">příznivý vliv na vodní režim krajiny </w:t>
            </w:r>
            <w:r>
              <w:rPr>
                <w:rFonts w:ascii="Arial" w:hAnsi="Arial" w:cs="Arial"/>
                <w:sz w:val="22"/>
                <w:szCs w:val="22"/>
              </w:rPr>
              <w:t>a poskytují celou řadu dalších ekosystémových služeb. Jejich podíl na rozloze státu proto vypovídá o celkové ekologické stabilitě jeho území</w:t>
            </w:r>
            <w:r w:rsidRPr="00CB22FF">
              <w:rPr>
                <w:rFonts w:ascii="Arial" w:hAnsi="Arial" w:cs="Arial"/>
                <w:sz w:val="22"/>
                <w:szCs w:val="22"/>
              </w:rPr>
              <w:t>.</w:t>
            </w:r>
          </w:p>
        </w:tc>
      </w:tr>
      <w:tr w:rsidR="00551E3A" w:rsidRPr="00CA79AD" w14:paraId="76AEED6F" w14:textId="77777777" w:rsidTr="00003B31">
        <w:tc>
          <w:tcPr>
            <w:tcW w:w="2802" w:type="dxa"/>
          </w:tcPr>
          <w:p w14:paraId="7AEAEAB6" w14:textId="77777777" w:rsidR="00551E3A" w:rsidRPr="00CA79AD" w:rsidRDefault="00551E3A" w:rsidP="00003B31">
            <w:pPr>
              <w:spacing w:line="276" w:lineRule="auto"/>
              <w:rPr>
                <w:rFonts w:ascii="Arial" w:hAnsi="Arial" w:cs="Arial"/>
                <w:sz w:val="22"/>
                <w:szCs w:val="22"/>
              </w:rPr>
            </w:pPr>
            <w:r w:rsidRPr="00CA79AD">
              <w:rPr>
                <w:rFonts w:ascii="Arial" w:hAnsi="Arial" w:cs="Arial"/>
                <w:sz w:val="22"/>
                <w:szCs w:val="22"/>
              </w:rPr>
              <w:t xml:space="preserve">Časová řada: </w:t>
            </w:r>
          </w:p>
        </w:tc>
        <w:tc>
          <w:tcPr>
            <w:tcW w:w="6486" w:type="dxa"/>
          </w:tcPr>
          <w:p w14:paraId="213B300C" w14:textId="77777777" w:rsidR="00551E3A" w:rsidRPr="00CA79AD" w:rsidRDefault="00551E3A" w:rsidP="00653A6E">
            <w:pPr>
              <w:spacing w:line="276" w:lineRule="auto"/>
              <w:jc w:val="both"/>
              <w:rPr>
                <w:rFonts w:ascii="Arial" w:hAnsi="Arial" w:cs="Arial"/>
                <w:sz w:val="22"/>
                <w:szCs w:val="22"/>
              </w:rPr>
            </w:pPr>
            <w:r>
              <w:rPr>
                <w:rFonts w:ascii="Arial" w:hAnsi="Arial" w:cs="Arial"/>
                <w:sz w:val="22"/>
                <w:szCs w:val="22"/>
              </w:rPr>
              <w:t>-</w:t>
            </w:r>
          </w:p>
        </w:tc>
      </w:tr>
      <w:tr w:rsidR="00551E3A" w:rsidRPr="00CA79AD" w14:paraId="1ECF144B" w14:textId="77777777" w:rsidTr="00003B31">
        <w:tc>
          <w:tcPr>
            <w:tcW w:w="2802" w:type="dxa"/>
          </w:tcPr>
          <w:p w14:paraId="2FD7BA8E" w14:textId="77777777" w:rsidR="00551E3A" w:rsidRPr="00CA79AD" w:rsidRDefault="00551E3A" w:rsidP="00003B31">
            <w:pPr>
              <w:spacing w:line="276" w:lineRule="auto"/>
              <w:rPr>
                <w:rFonts w:ascii="Arial" w:hAnsi="Arial" w:cs="Arial"/>
                <w:sz w:val="22"/>
                <w:szCs w:val="22"/>
              </w:rPr>
            </w:pPr>
            <w:r w:rsidRPr="00CA79AD">
              <w:rPr>
                <w:rFonts w:ascii="Arial" w:hAnsi="Arial" w:cs="Arial"/>
                <w:sz w:val="22"/>
                <w:szCs w:val="22"/>
              </w:rPr>
              <w:t xml:space="preserve">Frekvence výstupu: </w:t>
            </w:r>
          </w:p>
        </w:tc>
        <w:tc>
          <w:tcPr>
            <w:tcW w:w="6486" w:type="dxa"/>
          </w:tcPr>
          <w:p w14:paraId="021C9D66" w14:textId="77777777" w:rsidR="00551E3A" w:rsidRPr="00CA79AD" w:rsidRDefault="00551E3A" w:rsidP="00653A6E">
            <w:pPr>
              <w:spacing w:line="276" w:lineRule="auto"/>
              <w:jc w:val="both"/>
              <w:rPr>
                <w:rFonts w:ascii="Arial" w:hAnsi="Arial" w:cs="Arial"/>
                <w:sz w:val="22"/>
                <w:szCs w:val="22"/>
              </w:rPr>
            </w:pPr>
            <w:r>
              <w:rPr>
                <w:rFonts w:ascii="Arial" w:hAnsi="Arial" w:cs="Arial"/>
                <w:sz w:val="22"/>
                <w:szCs w:val="22"/>
              </w:rPr>
              <w:t>Ročně</w:t>
            </w:r>
          </w:p>
        </w:tc>
      </w:tr>
      <w:tr w:rsidR="00551E3A" w:rsidRPr="00CA79AD" w14:paraId="28CEC780" w14:textId="77777777" w:rsidTr="00003B31">
        <w:trPr>
          <w:trHeight w:val="70"/>
        </w:trPr>
        <w:tc>
          <w:tcPr>
            <w:tcW w:w="2802" w:type="dxa"/>
          </w:tcPr>
          <w:p w14:paraId="094A4A9B" w14:textId="77777777" w:rsidR="00551E3A" w:rsidRPr="00CA79AD" w:rsidRDefault="00551E3A" w:rsidP="00003B31">
            <w:pPr>
              <w:spacing w:line="276" w:lineRule="auto"/>
              <w:rPr>
                <w:rFonts w:ascii="Arial" w:hAnsi="Arial" w:cs="Arial"/>
                <w:sz w:val="22"/>
                <w:szCs w:val="22"/>
              </w:rPr>
            </w:pPr>
            <w:r w:rsidRPr="00CA79AD">
              <w:rPr>
                <w:rFonts w:ascii="Arial" w:hAnsi="Arial" w:cs="Arial"/>
                <w:sz w:val="22"/>
                <w:szCs w:val="22"/>
              </w:rPr>
              <w:t xml:space="preserve">Členění indikátoru: </w:t>
            </w:r>
          </w:p>
        </w:tc>
        <w:tc>
          <w:tcPr>
            <w:tcW w:w="6486" w:type="dxa"/>
          </w:tcPr>
          <w:p w14:paraId="021CE01F" w14:textId="41FE77DD" w:rsidR="00551E3A" w:rsidRPr="00CA79AD" w:rsidRDefault="001231FE" w:rsidP="00653A6E">
            <w:pPr>
              <w:spacing w:line="276" w:lineRule="auto"/>
              <w:jc w:val="both"/>
              <w:rPr>
                <w:rFonts w:ascii="Arial" w:hAnsi="Arial" w:cs="Arial"/>
                <w:sz w:val="22"/>
                <w:szCs w:val="22"/>
              </w:rPr>
            </w:pPr>
            <w:r>
              <w:rPr>
                <w:rFonts w:ascii="Arial" w:hAnsi="Arial" w:cs="Arial"/>
                <w:sz w:val="22"/>
                <w:szCs w:val="22"/>
              </w:rPr>
              <w:t>Celostátně, dle krajů</w:t>
            </w:r>
          </w:p>
        </w:tc>
      </w:tr>
      <w:tr w:rsidR="00551E3A" w:rsidRPr="00CA79AD" w14:paraId="4F7DAF88" w14:textId="77777777" w:rsidTr="00003B31">
        <w:trPr>
          <w:trHeight w:val="70"/>
        </w:trPr>
        <w:tc>
          <w:tcPr>
            <w:tcW w:w="2802" w:type="dxa"/>
          </w:tcPr>
          <w:p w14:paraId="1FC842DC" w14:textId="77777777" w:rsidR="00551E3A" w:rsidRPr="00CA79AD" w:rsidRDefault="00551E3A" w:rsidP="00003B31">
            <w:pPr>
              <w:spacing w:line="276" w:lineRule="auto"/>
              <w:rPr>
                <w:rFonts w:ascii="Arial" w:hAnsi="Arial" w:cs="Arial"/>
                <w:sz w:val="22"/>
                <w:szCs w:val="22"/>
              </w:rPr>
            </w:pPr>
            <w:r w:rsidRPr="00CA79AD">
              <w:rPr>
                <w:rFonts w:ascii="Arial" w:hAnsi="Arial" w:cs="Arial"/>
                <w:sz w:val="22"/>
                <w:szCs w:val="22"/>
              </w:rPr>
              <w:t>Mezinárodní srovnání:</w:t>
            </w:r>
          </w:p>
        </w:tc>
        <w:tc>
          <w:tcPr>
            <w:tcW w:w="6486" w:type="dxa"/>
          </w:tcPr>
          <w:p w14:paraId="60B9B5BB" w14:textId="77777777" w:rsidR="00551E3A" w:rsidRPr="00CA79AD" w:rsidRDefault="00551E3A" w:rsidP="00653A6E">
            <w:pPr>
              <w:spacing w:line="276" w:lineRule="auto"/>
              <w:jc w:val="both"/>
              <w:rPr>
                <w:rFonts w:ascii="Arial" w:hAnsi="Arial" w:cs="Arial"/>
                <w:sz w:val="22"/>
                <w:szCs w:val="22"/>
              </w:rPr>
            </w:pPr>
            <w:r>
              <w:rPr>
                <w:rFonts w:ascii="Arial" w:hAnsi="Arial" w:cs="Arial"/>
                <w:sz w:val="22"/>
                <w:szCs w:val="22"/>
              </w:rPr>
              <w:t>-</w:t>
            </w:r>
          </w:p>
        </w:tc>
      </w:tr>
    </w:tbl>
    <w:p w14:paraId="4368334F" w14:textId="77777777" w:rsidR="0062345D" w:rsidRPr="0062345D" w:rsidRDefault="0062345D" w:rsidP="00653A6E">
      <w:pPr>
        <w:pStyle w:val="r2030podcle"/>
        <w:numPr>
          <w:ilvl w:val="1"/>
          <w:numId w:val="17"/>
        </w:numPr>
        <w:ind w:left="567" w:hanging="425"/>
        <w:rPr>
          <w:rFonts w:eastAsia="Calibri"/>
          <w:lang w:eastAsia="en-US"/>
        </w:rPr>
      </w:pPr>
      <w:r w:rsidRPr="0062345D">
        <w:rPr>
          <w:rFonts w:eastAsia="Calibri"/>
          <w:lang w:eastAsia="en-US"/>
        </w:rPr>
        <w:t>Vzroste prostupnost kritických míst na dálkových migračních koridorech.</w:t>
      </w:r>
    </w:p>
    <w:tbl>
      <w:tblPr>
        <w:tblStyle w:val="Mkatabulky"/>
        <w:tblW w:w="0" w:type="auto"/>
        <w:tblLook w:val="04A0" w:firstRow="1" w:lastRow="0" w:firstColumn="1" w:lastColumn="0" w:noHBand="0" w:noVBand="1"/>
      </w:tblPr>
      <w:tblGrid>
        <w:gridCol w:w="2802"/>
        <w:gridCol w:w="6486"/>
      </w:tblGrid>
      <w:tr w:rsidR="0062345D" w:rsidRPr="0041235D" w14:paraId="720DCC9B" w14:textId="77777777" w:rsidTr="0062345D">
        <w:tc>
          <w:tcPr>
            <w:tcW w:w="2802" w:type="dxa"/>
          </w:tcPr>
          <w:p w14:paraId="0F8526D5" w14:textId="77777777" w:rsidR="0062345D" w:rsidRPr="0041235D" w:rsidRDefault="0062345D" w:rsidP="0062345D">
            <w:pPr>
              <w:spacing w:line="276" w:lineRule="auto"/>
              <w:rPr>
                <w:rFonts w:ascii="Arial" w:hAnsi="Arial" w:cs="Arial"/>
                <w:sz w:val="22"/>
                <w:szCs w:val="22"/>
              </w:rPr>
            </w:pPr>
            <w:r w:rsidRPr="0041235D">
              <w:rPr>
                <w:rFonts w:ascii="Arial" w:hAnsi="Arial" w:cs="Arial"/>
                <w:sz w:val="22"/>
                <w:szCs w:val="22"/>
              </w:rPr>
              <w:t xml:space="preserve">Název a označení indikátoru: </w:t>
            </w:r>
          </w:p>
        </w:tc>
        <w:tc>
          <w:tcPr>
            <w:tcW w:w="6486" w:type="dxa"/>
          </w:tcPr>
          <w:p w14:paraId="022F77A6" w14:textId="2D1372CC" w:rsidR="0062345D" w:rsidRPr="0041235D" w:rsidRDefault="0062345D" w:rsidP="002460FC">
            <w:pPr>
              <w:spacing w:line="276" w:lineRule="auto"/>
              <w:rPr>
                <w:rFonts w:ascii="Arial" w:eastAsia="Arial" w:hAnsi="Arial" w:cs="Arial"/>
                <w:b/>
                <w:color w:val="000000"/>
                <w:sz w:val="22"/>
                <w:szCs w:val="22"/>
              </w:rPr>
            </w:pPr>
            <w:r>
              <w:rPr>
                <w:rFonts w:ascii="Arial" w:eastAsia="Arial" w:hAnsi="Arial" w:cs="Arial"/>
                <w:b/>
                <w:sz w:val="22"/>
                <w:szCs w:val="22"/>
              </w:rPr>
              <w:t>12.</w:t>
            </w:r>
            <w:r w:rsidR="00551E3A">
              <w:rPr>
                <w:rFonts w:ascii="Arial" w:eastAsia="Arial" w:hAnsi="Arial" w:cs="Arial"/>
                <w:b/>
                <w:sz w:val="22"/>
                <w:szCs w:val="22"/>
              </w:rPr>
              <w:t>5</w:t>
            </w:r>
            <w:r w:rsidRPr="0041235D">
              <w:rPr>
                <w:rFonts w:ascii="Arial" w:eastAsia="Arial" w:hAnsi="Arial" w:cs="Arial"/>
                <w:b/>
                <w:sz w:val="22"/>
                <w:szCs w:val="22"/>
              </w:rPr>
              <w:t xml:space="preserve">.1 </w:t>
            </w:r>
            <w:r>
              <w:rPr>
                <w:rFonts w:ascii="Arial" w:eastAsia="Arial" w:hAnsi="Arial" w:cs="Arial"/>
                <w:b/>
                <w:sz w:val="22"/>
                <w:szCs w:val="22"/>
              </w:rPr>
              <w:t>Počet k</w:t>
            </w:r>
            <w:r w:rsidRPr="0041235D">
              <w:rPr>
                <w:rFonts w:ascii="Arial" w:eastAsia="Arial" w:hAnsi="Arial" w:cs="Arial"/>
                <w:b/>
                <w:color w:val="000000"/>
                <w:sz w:val="22"/>
                <w:szCs w:val="22"/>
              </w:rPr>
              <w:t>ritick</w:t>
            </w:r>
            <w:r>
              <w:rPr>
                <w:rFonts w:ascii="Arial" w:eastAsia="Arial" w:hAnsi="Arial" w:cs="Arial"/>
                <w:b/>
                <w:color w:val="000000"/>
                <w:sz w:val="22"/>
                <w:szCs w:val="22"/>
              </w:rPr>
              <w:t>ých míst</w:t>
            </w:r>
            <w:r w:rsidRPr="0041235D">
              <w:rPr>
                <w:rFonts w:ascii="Arial" w:eastAsia="Arial" w:hAnsi="Arial" w:cs="Arial"/>
                <w:b/>
                <w:color w:val="000000"/>
                <w:sz w:val="22"/>
                <w:szCs w:val="22"/>
              </w:rPr>
              <w:t xml:space="preserve"> na dálkových migračních koridorech</w:t>
            </w:r>
          </w:p>
        </w:tc>
      </w:tr>
      <w:tr w:rsidR="0062345D" w:rsidRPr="0041235D" w14:paraId="4CA3E7EC" w14:textId="77777777" w:rsidTr="0062345D">
        <w:tc>
          <w:tcPr>
            <w:tcW w:w="2802" w:type="dxa"/>
          </w:tcPr>
          <w:p w14:paraId="166F4415" w14:textId="77777777" w:rsidR="0062345D" w:rsidRPr="0041235D" w:rsidRDefault="0062345D" w:rsidP="0062345D">
            <w:pPr>
              <w:spacing w:line="276" w:lineRule="auto"/>
              <w:rPr>
                <w:rFonts w:ascii="Arial" w:hAnsi="Arial" w:cs="Arial"/>
                <w:sz w:val="22"/>
                <w:szCs w:val="22"/>
              </w:rPr>
            </w:pPr>
            <w:r w:rsidRPr="0041235D">
              <w:rPr>
                <w:rFonts w:ascii="Arial" w:hAnsi="Arial" w:cs="Arial"/>
                <w:sz w:val="22"/>
                <w:szCs w:val="22"/>
              </w:rPr>
              <w:t xml:space="preserve">Stručná definice: </w:t>
            </w:r>
          </w:p>
        </w:tc>
        <w:tc>
          <w:tcPr>
            <w:tcW w:w="6486" w:type="dxa"/>
          </w:tcPr>
          <w:p w14:paraId="4593A814" w14:textId="77777777" w:rsidR="0062345D" w:rsidRPr="0041235D" w:rsidRDefault="0062345D" w:rsidP="00653A6E">
            <w:pPr>
              <w:autoSpaceDE w:val="0"/>
              <w:autoSpaceDN w:val="0"/>
              <w:adjustRightInd w:val="0"/>
              <w:spacing w:line="276" w:lineRule="auto"/>
              <w:jc w:val="both"/>
              <w:rPr>
                <w:rFonts w:ascii="Arial" w:hAnsi="Arial" w:cs="Arial"/>
                <w:sz w:val="22"/>
                <w:szCs w:val="22"/>
              </w:rPr>
            </w:pPr>
            <w:r w:rsidRPr="0041235D">
              <w:rPr>
                <w:rFonts w:ascii="Arial" w:eastAsia="Calibri" w:hAnsi="Arial" w:cs="Arial"/>
                <w:noProof/>
                <w:sz w:val="22"/>
                <w:szCs w:val="22"/>
              </w:rPr>
              <w:t xml:space="preserve">Indikátor se stanoví jako počet vyřešených kritických míst na dálkových migračních koridorech, </w:t>
            </w:r>
            <w:r>
              <w:rPr>
                <w:rFonts w:ascii="Arial" w:eastAsia="Calibri" w:hAnsi="Arial" w:cs="Arial"/>
                <w:noProof/>
                <w:sz w:val="22"/>
                <w:szCs w:val="22"/>
              </w:rPr>
              <w:t>vymezených</w:t>
            </w:r>
            <w:r w:rsidRPr="0041235D">
              <w:rPr>
                <w:rFonts w:ascii="Arial" w:eastAsia="Calibri" w:hAnsi="Arial" w:cs="Arial"/>
                <w:noProof/>
                <w:sz w:val="22"/>
                <w:szCs w:val="22"/>
              </w:rPr>
              <w:t xml:space="preserve"> </w:t>
            </w:r>
            <w:r w:rsidR="0015417B">
              <w:rPr>
                <w:rFonts w:ascii="Arial" w:eastAsia="Calibri" w:hAnsi="Arial" w:cs="Arial"/>
                <w:noProof/>
                <w:sz w:val="22"/>
                <w:szCs w:val="22"/>
              </w:rPr>
              <w:t>jako</w:t>
            </w:r>
            <w:r w:rsidRPr="0041235D">
              <w:rPr>
                <w:rFonts w:ascii="Arial" w:eastAsia="Calibri" w:hAnsi="Arial" w:cs="Arial"/>
                <w:noProof/>
                <w:sz w:val="22"/>
                <w:szCs w:val="22"/>
              </w:rPr>
              <w:t xml:space="preserve"> jeden z výstupů projektu </w:t>
            </w:r>
            <w:r w:rsidRPr="0041235D">
              <w:rPr>
                <w:rStyle w:val="Siln"/>
                <w:rFonts w:ascii="Arial" w:hAnsi="Arial" w:cs="Arial"/>
                <w:b w:val="0"/>
                <w:sz w:val="22"/>
                <w:szCs w:val="22"/>
              </w:rPr>
              <w:t xml:space="preserve">VaV SP/2d4/36/08 „Vyhodnocení migrační </w:t>
            </w:r>
            <w:r w:rsidRPr="0041235D">
              <w:rPr>
                <w:rStyle w:val="Siln"/>
                <w:rFonts w:ascii="Arial" w:hAnsi="Arial" w:cs="Arial"/>
                <w:b w:val="0"/>
                <w:sz w:val="22"/>
                <w:szCs w:val="22"/>
              </w:rPr>
              <w:lastRenderedPageBreak/>
              <w:t>propustnosti krajiny pro velké savce a návrh ochranných a optimalizačních opatření“.</w:t>
            </w:r>
          </w:p>
        </w:tc>
      </w:tr>
      <w:tr w:rsidR="0062345D" w:rsidRPr="0041235D" w14:paraId="569F3B94" w14:textId="77777777" w:rsidTr="0062345D">
        <w:tc>
          <w:tcPr>
            <w:tcW w:w="2802" w:type="dxa"/>
          </w:tcPr>
          <w:p w14:paraId="47052EB6" w14:textId="77777777" w:rsidR="0062345D" w:rsidRPr="0041235D" w:rsidRDefault="0062345D" w:rsidP="0062345D">
            <w:pPr>
              <w:spacing w:line="276" w:lineRule="auto"/>
              <w:rPr>
                <w:rFonts w:ascii="Arial" w:hAnsi="Arial" w:cs="Arial"/>
                <w:sz w:val="22"/>
                <w:szCs w:val="22"/>
              </w:rPr>
            </w:pPr>
            <w:r w:rsidRPr="0041235D">
              <w:rPr>
                <w:rFonts w:ascii="Arial" w:hAnsi="Arial" w:cs="Arial"/>
                <w:sz w:val="22"/>
                <w:szCs w:val="22"/>
              </w:rPr>
              <w:lastRenderedPageBreak/>
              <w:t>Jednotka:</w:t>
            </w:r>
          </w:p>
        </w:tc>
        <w:tc>
          <w:tcPr>
            <w:tcW w:w="6486" w:type="dxa"/>
          </w:tcPr>
          <w:p w14:paraId="2CDDDE20" w14:textId="77777777" w:rsidR="0062345D" w:rsidRPr="0041235D" w:rsidRDefault="0062345D" w:rsidP="00653A6E">
            <w:pPr>
              <w:spacing w:line="276" w:lineRule="auto"/>
              <w:jc w:val="both"/>
              <w:rPr>
                <w:rFonts w:ascii="Arial" w:hAnsi="Arial" w:cs="Arial"/>
                <w:sz w:val="22"/>
                <w:szCs w:val="22"/>
              </w:rPr>
            </w:pPr>
            <w:proofErr w:type="spellStart"/>
            <w:r w:rsidRPr="0041235D">
              <w:rPr>
                <w:rFonts w:ascii="Arial" w:hAnsi="Arial" w:cs="Arial"/>
                <w:sz w:val="22"/>
                <w:szCs w:val="22"/>
                <w:lang w:val="en-US"/>
              </w:rPr>
              <w:t>Počet</w:t>
            </w:r>
            <w:proofErr w:type="spellEnd"/>
          </w:p>
        </w:tc>
      </w:tr>
      <w:tr w:rsidR="0062345D" w:rsidRPr="0041235D" w14:paraId="062141F1" w14:textId="77777777" w:rsidTr="0062345D">
        <w:tc>
          <w:tcPr>
            <w:tcW w:w="2802" w:type="dxa"/>
          </w:tcPr>
          <w:p w14:paraId="35BD8152" w14:textId="77777777" w:rsidR="0062345D" w:rsidRPr="0041235D" w:rsidRDefault="0062345D" w:rsidP="0062345D">
            <w:pPr>
              <w:spacing w:line="276" w:lineRule="auto"/>
              <w:rPr>
                <w:rFonts w:ascii="Arial" w:hAnsi="Arial" w:cs="Arial"/>
                <w:sz w:val="22"/>
                <w:szCs w:val="22"/>
              </w:rPr>
            </w:pPr>
            <w:r w:rsidRPr="0041235D">
              <w:rPr>
                <w:rFonts w:ascii="Arial" w:hAnsi="Arial" w:cs="Arial"/>
                <w:sz w:val="22"/>
                <w:szCs w:val="22"/>
              </w:rPr>
              <w:t xml:space="preserve">Gestor: </w:t>
            </w:r>
          </w:p>
        </w:tc>
        <w:tc>
          <w:tcPr>
            <w:tcW w:w="6486" w:type="dxa"/>
          </w:tcPr>
          <w:p w14:paraId="4216F77D" w14:textId="77777777" w:rsidR="0062345D" w:rsidRPr="0041235D" w:rsidRDefault="0062345D" w:rsidP="00653A6E">
            <w:pPr>
              <w:spacing w:line="276" w:lineRule="auto"/>
              <w:jc w:val="both"/>
              <w:rPr>
                <w:rFonts w:ascii="Arial" w:hAnsi="Arial" w:cs="Arial"/>
                <w:sz w:val="22"/>
                <w:szCs w:val="22"/>
              </w:rPr>
            </w:pPr>
            <w:r>
              <w:rPr>
                <w:rFonts w:ascii="Arial" w:eastAsia="Calibri" w:hAnsi="Arial" w:cs="Arial"/>
                <w:noProof/>
                <w:sz w:val="22"/>
                <w:szCs w:val="22"/>
              </w:rPr>
              <w:t>Ministerstvo životního prostředí</w:t>
            </w:r>
          </w:p>
        </w:tc>
      </w:tr>
      <w:tr w:rsidR="0062345D" w:rsidRPr="0041235D" w14:paraId="3ECFE378" w14:textId="77777777" w:rsidTr="0062345D">
        <w:tc>
          <w:tcPr>
            <w:tcW w:w="2802" w:type="dxa"/>
          </w:tcPr>
          <w:p w14:paraId="44EB71A0" w14:textId="77777777" w:rsidR="0062345D" w:rsidRPr="0041235D" w:rsidRDefault="0062345D" w:rsidP="0062345D">
            <w:pPr>
              <w:spacing w:line="276" w:lineRule="auto"/>
              <w:rPr>
                <w:rFonts w:ascii="Arial" w:hAnsi="Arial" w:cs="Arial"/>
                <w:sz w:val="22"/>
                <w:szCs w:val="22"/>
              </w:rPr>
            </w:pPr>
            <w:r w:rsidRPr="0041235D">
              <w:rPr>
                <w:rFonts w:ascii="Arial" w:hAnsi="Arial" w:cs="Arial"/>
                <w:sz w:val="22"/>
                <w:szCs w:val="22"/>
              </w:rPr>
              <w:t xml:space="preserve">Význam indikátoru: </w:t>
            </w:r>
          </w:p>
        </w:tc>
        <w:tc>
          <w:tcPr>
            <w:tcW w:w="6486" w:type="dxa"/>
          </w:tcPr>
          <w:p w14:paraId="1772CE03" w14:textId="77777777" w:rsidR="0062345D" w:rsidRPr="0041235D" w:rsidRDefault="0062345D" w:rsidP="00653A6E">
            <w:pPr>
              <w:spacing w:line="276" w:lineRule="auto"/>
              <w:jc w:val="both"/>
              <w:rPr>
                <w:rFonts w:ascii="Arial" w:hAnsi="Arial" w:cs="Arial"/>
                <w:sz w:val="22"/>
                <w:szCs w:val="22"/>
              </w:rPr>
            </w:pPr>
            <w:r w:rsidRPr="0041235D">
              <w:rPr>
                <w:rFonts w:ascii="Arial" w:hAnsi="Arial" w:cs="Arial"/>
                <w:sz w:val="22"/>
                <w:szCs w:val="22"/>
              </w:rPr>
              <w:t>Dálkové migrační koridory jsou základní jednotkou pro zachování průchodnosti krajiny pro velké savce. Jsou to liniové krajinné struktury délky desítek kilometrů a šířky v průměru 500 m</w:t>
            </w:r>
            <w:r>
              <w:rPr>
                <w:rFonts w:ascii="Arial" w:hAnsi="Arial" w:cs="Arial"/>
                <w:sz w:val="22"/>
                <w:szCs w:val="22"/>
              </w:rPr>
              <w:t>etrů</w:t>
            </w:r>
            <w:r w:rsidRPr="0041235D">
              <w:rPr>
                <w:rFonts w:ascii="Arial" w:hAnsi="Arial" w:cs="Arial"/>
                <w:sz w:val="22"/>
                <w:szCs w:val="22"/>
              </w:rPr>
              <w:t xml:space="preserve">, které propojují oblasti významné pro výskyt velkých savců. Zajišťují alespoň </w:t>
            </w:r>
            <w:r w:rsidRPr="0041235D">
              <w:rPr>
                <w:rStyle w:val="Siln"/>
                <w:rFonts w:ascii="Arial" w:hAnsi="Arial" w:cs="Arial"/>
                <w:b w:val="0"/>
                <w:sz w:val="22"/>
                <w:szCs w:val="22"/>
              </w:rPr>
              <w:t>minimální</w:t>
            </w:r>
            <w:r w:rsidRPr="0041235D">
              <w:rPr>
                <w:rFonts w:ascii="Arial" w:hAnsi="Arial" w:cs="Arial"/>
                <w:sz w:val="22"/>
                <w:szCs w:val="22"/>
              </w:rPr>
              <w:t xml:space="preserve"> konektivitu krajiny i pro ostatní druhy, které jsou vázány na lesní prostředí.</w:t>
            </w:r>
          </w:p>
          <w:p w14:paraId="2A55F620" w14:textId="77777777" w:rsidR="0062345D" w:rsidRPr="0041235D" w:rsidRDefault="0062345D" w:rsidP="00653A6E">
            <w:pPr>
              <w:spacing w:line="276" w:lineRule="auto"/>
              <w:jc w:val="both"/>
              <w:rPr>
                <w:rFonts w:ascii="Arial" w:hAnsi="Arial" w:cs="Arial"/>
                <w:sz w:val="22"/>
                <w:szCs w:val="22"/>
              </w:rPr>
            </w:pPr>
            <w:r w:rsidRPr="0041235D">
              <w:rPr>
                <w:rFonts w:ascii="Arial" w:hAnsi="Arial" w:cs="Arial"/>
                <w:sz w:val="22"/>
                <w:szCs w:val="22"/>
              </w:rPr>
              <w:t>Na území ČR bylo v rámci migračních koridorů vyznačeno 29 kritických míst, která jsou v současné době neprůchodná nebo průchodná jen s velkými problémy. Většinou se jedná o křížení koridorů s dálnicemi, v ostatních případech je koridor veden dlouhým úsekem bezlesí či silně zastavěným územím.</w:t>
            </w:r>
          </w:p>
        </w:tc>
      </w:tr>
      <w:tr w:rsidR="0062345D" w:rsidRPr="0041235D" w14:paraId="01BD7E59" w14:textId="77777777" w:rsidTr="0062345D">
        <w:tc>
          <w:tcPr>
            <w:tcW w:w="2802" w:type="dxa"/>
          </w:tcPr>
          <w:p w14:paraId="48565520" w14:textId="77777777" w:rsidR="0062345D" w:rsidRPr="0041235D" w:rsidRDefault="0062345D" w:rsidP="0062345D">
            <w:pPr>
              <w:spacing w:line="276" w:lineRule="auto"/>
              <w:rPr>
                <w:rFonts w:ascii="Arial" w:hAnsi="Arial" w:cs="Arial"/>
                <w:sz w:val="22"/>
                <w:szCs w:val="22"/>
              </w:rPr>
            </w:pPr>
            <w:r w:rsidRPr="0041235D">
              <w:rPr>
                <w:rFonts w:ascii="Arial" w:hAnsi="Arial" w:cs="Arial"/>
                <w:sz w:val="22"/>
                <w:szCs w:val="22"/>
              </w:rPr>
              <w:t xml:space="preserve">Časová řada: </w:t>
            </w:r>
          </w:p>
        </w:tc>
        <w:tc>
          <w:tcPr>
            <w:tcW w:w="6486" w:type="dxa"/>
          </w:tcPr>
          <w:p w14:paraId="330C80FF" w14:textId="77777777" w:rsidR="0062345D" w:rsidRPr="0041235D" w:rsidRDefault="00FB51F3" w:rsidP="00653A6E">
            <w:pPr>
              <w:spacing w:line="276" w:lineRule="auto"/>
              <w:jc w:val="both"/>
              <w:rPr>
                <w:rFonts w:ascii="Arial" w:hAnsi="Arial" w:cs="Arial"/>
                <w:sz w:val="22"/>
                <w:szCs w:val="22"/>
              </w:rPr>
            </w:pPr>
            <w:r>
              <w:rPr>
                <w:rFonts w:ascii="Arial" w:hAnsi="Arial" w:cs="Arial"/>
                <w:sz w:val="22"/>
                <w:szCs w:val="22"/>
              </w:rPr>
              <w:t>-</w:t>
            </w:r>
          </w:p>
        </w:tc>
      </w:tr>
      <w:tr w:rsidR="0062345D" w:rsidRPr="0041235D" w14:paraId="262AA3EB" w14:textId="77777777" w:rsidTr="0062345D">
        <w:tc>
          <w:tcPr>
            <w:tcW w:w="2802" w:type="dxa"/>
          </w:tcPr>
          <w:p w14:paraId="5DA4C94A" w14:textId="77777777" w:rsidR="0062345D" w:rsidRPr="0041235D" w:rsidRDefault="0062345D" w:rsidP="0062345D">
            <w:pPr>
              <w:spacing w:line="276" w:lineRule="auto"/>
              <w:rPr>
                <w:rFonts w:ascii="Arial" w:hAnsi="Arial" w:cs="Arial"/>
                <w:sz w:val="22"/>
                <w:szCs w:val="22"/>
              </w:rPr>
            </w:pPr>
            <w:r w:rsidRPr="0041235D">
              <w:rPr>
                <w:rFonts w:ascii="Arial" w:hAnsi="Arial" w:cs="Arial"/>
                <w:sz w:val="22"/>
                <w:szCs w:val="22"/>
              </w:rPr>
              <w:t xml:space="preserve">Frekvence výstupu: </w:t>
            </w:r>
          </w:p>
        </w:tc>
        <w:tc>
          <w:tcPr>
            <w:tcW w:w="6486" w:type="dxa"/>
          </w:tcPr>
          <w:p w14:paraId="15CAF521" w14:textId="77777777" w:rsidR="0062345D" w:rsidRPr="0041235D" w:rsidRDefault="0062345D" w:rsidP="00653A6E">
            <w:pPr>
              <w:spacing w:line="276" w:lineRule="auto"/>
              <w:jc w:val="both"/>
              <w:rPr>
                <w:rFonts w:ascii="Arial" w:hAnsi="Arial" w:cs="Arial"/>
                <w:sz w:val="22"/>
                <w:szCs w:val="22"/>
              </w:rPr>
            </w:pPr>
            <w:r w:rsidRPr="0041235D">
              <w:rPr>
                <w:rFonts w:ascii="Arial" w:hAnsi="Arial" w:cs="Arial"/>
                <w:sz w:val="22"/>
                <w:szCs w:val="22"/>
              </w:rPr>
              <w:t>Jednou za 5 let</w:t>
            </w:r>
          </w:p>
        </w:tc>
      </w:tr>
      <w:tr w:rsidR="0062345D" w:rsidRPr="0041235D" w14:paraId="3F01CD08" w14:textId="77777777" w:rsidTr="00FB51F3">
        <w:trPr>
          <w:trHeight w:val="288"/>
        </w:trPr>
        <w:tc>
          <w:tcPr>
            <w:tcW w:w="2802" w:type="dxa"/>
          </w:tcPr>
          <w:p w14:paraId="4CDF394D" w14:textId="77777777" w:rsidR="0062345D" w:rsidRPr="0041235D" w:rsidRDefault="0062345D" w:rsidP="0062345D">
            <w:pPr>
              <w:spacing w:line="276" w:lineRule="auto"/>
              <w:rPr>
                <w:rFonts w:ascii="Arial" w:hAnsi="Arial" w:cs="Arial"/>
                <w:sz w:val="22"/>
                <w:szCs w:val="22"/>
              </w:rPr>
            </w:pPr>
            <w:r w:rsidRPr="0041235D">
              <w:rPr>
                <w:rFonts w:ascii="Arial" w:hAnsi="Arial" w:cs="Arial"/>
                <w:sz w:val="22"/>
                <w:szCs w:val="22"/>
              </w:rPr>
              <w:t xml:space="preserve">Členění indikátoru: </w:t>
            </w:r>
          </w:p>
        </w:tc>
        <w:tc>
          <w:tcPr>
            <w:tcW w:w="6486" w:type="dxa"/>
          </w:tcPr>
          <w:p w14:paraId="2AA60B07" w14:textId="77777777" w:rsidR="0062345D" w:rsidRPr="0041235D" w:rsidRDefault="00FB51F3" w:rsidP="0062345D">
            <w:pPr>
              <w:spacing w:line="276" w:lineRule="auto"/>
              <w:rPr>
                <w:rFonts w:ascii="Arial" w:hAnsi="Arial" w:cs="Arial"/>
                <w:sz w:val="22"/>
                <w:szCs w:val="22"/>
              </w:rPr>
            </w:pPr>
            <w:r>
              <w:rPr>
                <w:rFonts w:ascii="Arial" w:hAnsi="Arial" w:cs="Arial"/>
                <w:sz w:val="22"/>
                <w:szCs w:val="22"/>
              </w:rPr>
              <w:t>-</w:t>
            </w:r>
          </w:p>
        </w:tc>
      </w:tr>
      <w:tr w:rsidR="0062345D" w:rsidRPr="0041235D" w14:paraId="044F749E" w14:textId="77777777" w:rsidTr="0062345D">
        <w:trPr>
          <w:trHeight w:val="70"/>
        </w:trPr>
        <w:tc>
          <w:tcPr>
            <w:tcW w:w="2802" w:type="dxa"/>
          </w:tcPr>
          <w:p w14:paraId="43237C4E" w14:textId="77777777" w:rsidR="0062345D" w:rsidRPr="0041235D" w:rsidRDefault="0062345D" w:rsidP="0062345D">
            <w:pPr>
              <w:spacing w:line="276" w:lineRule="auto"/>
              <w:rPr>
                <w:rFonts w:ascii="Arial" w:hAnsi="Arial" w:cs="Arial"/>
                <w:sz w:val="22"/>
                <w:szCs w:val="22"/>
              </w:rPr>
            </w:pPr>
            <w:r w:rsidRPr="0041235D">
              <w:rPr>
                <w:rFonts w:ascii="Arial" w:hAnsi="Arial" w:cs="Arial"/>
                <w:sz w:val="22"/>
                <w:szCs w:val="22"/>
              </w:rPr>
              <w:t>Mezinárodní srovnání:</w:t>
            </w:r>
          </w:p>
        </w:tc>
        <w:tc>
          <w:tcPr>
            <w:tcW w:w="6486" w:type="dxa"/>
          </w:tcPr>
          <w:p w14:paraId="4364925B" w14:textId="77777777" w:rsidR="0062345D" w:rsidRPr="0041235D" w:rsidRDefault="00FB51F3" w:rsidP="0062345D">
            <w:pPr>
              <w:spacing w:line="276" w:lineRule="auto"/>
              <w:rPr>
                <w:rFonts w:ascii="Arial" w:hAnsi="Arial" w:cs="Arial"/>
                <w:sz w:val="22"/>
                <w:szCs w:val="22"/>
              </w:rPr>
            </w:pPr>
            <w:r>
              <w:rPr>
                <w:rFonts w:ascii="Arial" w:hAnsi="Arial" w:cs="Arial"/>
                <w:sz w:val="22"/>
                <w:szCs w:val="22"/>
              </w:rPr>
              <w:t>-</w:t>
            </w:r>
          </w:p>
        </w:tc>
      </w:tr>
    </w:tbl>
    <w:p w14:paraId="5C1ED794" w14:textId="77777777" w:rsidR="0082100E" w:rsidRPr="003247D0" w:rsidRDefault="0082100E" w:rsidP="00653A6E">
      <w:pPr>
        <w:pStyle w:val="r2030podcle"/>
        <w:numPr>
          <w:ilvl w:val="1"/>
          <w:numId w:val="17"/>
        </w:numPr>
        <w:ind w:left="567" w:hanging="425"/>
      </w:pPr>
      <w:r>
        <w:t xml:space="preserve">Hodnocení ekosystémových služeb je začleněno do rozhodovacích procesů. </w:t>
      </w:r>
    </w:p>
    <w:tbl>
      <w:tblPr>
        <w:tblStyle w:val="Mkatabulky"/>
        <w:tblW w:w="0" w:type="auto"/>
        <w:shd w:val="pct15" w:color="auto" w:fill="auto"/>
        <w:tblLook w:val="04A0" w:firstRow="1" w:lastRow="0" w:firstColumn="1" w:lastColumn="0" w:noHBand="0" w:noVBand="1"/>
      </w:tblPr>
      <w:tblGrid>
        <w:gridCol w:w="2802"/>
        <w:gridCol w:w="6486"/>
      </w:tblGrid>
      <w:tr w:rsidR="0082100E" w:rsidRPr="00477E8D" w14:paraId="4C434382" w14:textId="77777777" w:rsidTr="0023415D">
        <w:tc>
          <w:tcPr>
            <w:tcW w:w="2802" w:type="dxa"/>
            <w:shd w:val="pct15" w:color="auto" w:fill="auto"/>
          </w:tcPr>
          <w:p w14:paraId="26411FE9" w14:textId="77777777" w:rsidR="0082100E" w:rsidRPr="00477E8D" w:rsidRDefault="0082100E" w:rsidP="0023415D">
            <w:pPr>
              <w:spacing w:line="276" w:lineRule="auto"/>
              <w:rPr>
                <w:rFonts w:ascii="Arial" w:hAnsi="Arial" w:cs="Arial"/>
                <w:sz w:val="22"/>
                <w:szCs w:val="22"/>
              </w:rPr>
            </w:pPr>
            <w:r w:rsidRPr="00477E8D">
              <w:rPr>
                <w:rFonts w:ascii="Arial" w:hAnsi="Arial" w:cs="Arial"/>
                <w:sz w:val="22"/>
                <w:szCs w:val="22"/>
              </w:rPr>
              <w:t>Název a označení indikátoru:</w:t>
            </w:r>
          </w:p>
        </w:tc>
        <w:tc>
          <w:tcPr>
            <w:tcW w:w="6486" w:type="dxa"/>
            <w:shd w:val="pct15" w:color="auto" w:fill="auto"/>
          </w:tcPr>
          <w:p w14:paraId="2B71EAA3" w14:textId="3719F60A" w:rsidR="0082100E" w:rsidRPr="00477E8D" w:rsidRDefault="0082100E" w:rsidP="0023415D">
            <w:pPr>
              <w:spacing w:line="276" w:lineRule="auto"/>
              <w:rPr>
                <w:rFonts w:ascii="Arial" w:eastAsia="Arial" w:hAnsi="Arial" w:cs="Arial"/>
                <w:b/>
                <w:sz w:val="22"/>
                <w:szCs w:val="22"/>
              </w:rPr>
            </w:pPr>
            <w:r>
              <w:rPr>
                <w:rFonts w:ascii="Arial" w:hAnsi="Arial" w:cs="Arial"/>
                <w:b/>
                <w:sz w:val="22"/>
                <w:szCs w:val="22"/>
              </w:rPr>
              <w:t>12.</w:t>
            </w:r>
            <w:r w:rsidR="00551E3A">
              <w:rPr>
                <w:rFonts w:ascii="Arial" w:hAnsi="Arial" w:cs="Arial"/>
                <w:b/>
                <w:sz w:val="22"/>
                <w:szCs w:val="22"/>
              </w:rPr>
              <w:t>6</w:t>
            </w:r>
            <w:r w:rsidRPr="00477E8D">
              <w:rPr>
                <w:rFonts w:ascii="Arial" w:hAnsi="Arial" w:cs="Arial"/>
                <w:b/>
                <w:sz w:val="22"/>
                <w:szCs w:val="22"/>
              </w:rPr>
              <w:t>.1 Existuje formalizovaný systém hodnocení ekosystémových služeb</w:t>
            </w:r>
          </w:p>
        </w:tc>
      </w:tr>
      <w:tr w:rsidR="0082100E" w:rsidRPr="00477E8D" w14:paraId="4F0B69DE" w14:textId="77777777" w:rsidTr="0023415D">
        <w:tc>
          <w:tcPr>
            <w:tcW w:w="2802" w:type="dxa"/>
            <w:shd w:val="pct15" w:color="auto" w:fill="auto"/>
          </w:tcPr>
          <w:p w14:paraId="4B81B954" w14:textId="77777777" w:rsidR="0082100E" w:rsidRPr="00477E8D" w:rsidRDefault="0082100E" w:rsidP="0023415D">
            <w:pPr>
              <w:spacing w:line="276" w:lineRule="auto"/>
              <w:rPr>
                <w:rFonts w:ascii="Arial" w:hAnsi="Arial" w:cs="Arial"/>
                <w:sz w:val="22"/>
                <w:szCs w:val="22"/>
              </w:rPr>
            </w:pPr>
            <w:r w:rsidRPr="00477E8D">
              <w:rPr>
                <w:rFonts w:ascii="Arial" w:hAnsi="Arial" w:cs="Arial"/>
                <w:sz w:val="22"/>
                <w:szCs w:val="22"/>
              </w:rPr>
              <w:t xml:space="preserve">Stručná definice: </w:t>
            </w:r>
          </w:p>
        </w:tc>
        <w:tc>
          <w:tcPr>
            <w:tcW w:w="6486" w:type="dxa"/>
            <w:shd w:val="pct15" w:color="auto" w:fill="auto"/>
          </w:tcPr>
          <w:p w14:paraId="4AAFA2F5" w14:textId="77777777" w:rsidR="0082100E" w:rsidRPr="00477E8D" w:rsidRDefault="0082100E" w:rsidP="00653A6E">
            <w:pPr>
              <w:spacing w:line="276" w:lineRule="auto"/>
              <w:jc w:val="both"/>
              <w:rPr>
                <w:rFonts w:ascii="Arial" w:hAnsi="Arial" w:cs="Arial"/>
                <w:sz w:val="22"/>
                <w:szCs w:val="22"/>
              </w:rPr>
            </w:pPr>
            <w:r w:rsidRPr="00477E8D">
              <w:rPr>
                <w:rFonts w:ascii="Arial" w:hAnsi="Arial" w:cs="Arial"/>
                <w:sz w:val="22"/>
                <w:szCs w:val="22"/>
              </w:rPr>
              <w:t>Tento cíl představuje požadavek na zohledňování hodnoty ekosystémových služeb (ES) v rozhodování veřejné správy. Jeho naplnění bude indikovat existence metodiky hodnocení ES a její praktické využívání.</w:t>
            </w:r>
          </w:p>
        </w:tc>
      </w:tr>
      <w:tr w:rsidR="0082100E" w:rsidRPr="00477E8D" w14:paraId="5206FF2F" w14:textId="77777777" w:rsidTr="0023415D">
        <w:tc>
          <w:tcPr>
            <w:tcW w:w="2802" w:type="dxa"/>
            <w:shd w:val="pct15" w:color="auto" w:fill="auto"/>
          </w:tcPr>
          <w:p w14:paraId="03E953D3" w14:textId="77777777" w:rsidR="0082100E" w:rsidRPr="00477E8D" w:rsidRDefault="0082100E" w:rsidP="0023415D">
            <w:pPr>
              <w:spacing w:line="276" w:lineRule="auto"/>
              <w:rPr>
                <w:rFonts w:ascii="Arial" w:hAnsi="Arial" w:cs="Arial"/>
                <w:sz w:val="22"/>
                <w:szCs w:val="22"/>
              </w:rPr>
            </w:pPr>
            <w:r w:rsidRPr="00477E8D">
              <w:rPr>
                <w:rFonts w:ascii="Arial" w:hAnsi="Arial" w:cs="Arial"/>
                <w:sz w:val="22"/>
                <w:szCs w:val="22"/>
              </w:rPr>
              <w:t>Jednotka:</w:t>
            </w:r>
          </w:p>
        </w:tc>
        <w:tc>
          <w:tcPr>
            <w:tcW w:w="6486" w:type="dxa"/>
            <w:shd w:val="pct15" w:color="auto" w:fill="auto"/>
          </w:tcPr>
          <w:p w14:paraId="294187E4" w14:textId="77777777" w:rsidR="0082100E" w:rsidRPr="00477E8D" w:rsidRDefault="0082100E" w:rsidP="00653A6E">
            <w:pPr>
              <w:spacing w:line="276" w:lineRule="auto"/>
              <w:jc w:val="both"/>
              <w:rPr>
                <w:rFonts w:ascii="Arial" w:hAnsi="Arial" w:cs="Arial"/>
                <w:sz w:val="22"/>
                <w:szCs w:val="22"/>
              </w:rPr>
            </w:pPr>
          </w:p>
        </w:tc>
      </w:tr>
      <w:tr w:rsidR="0082100E" w:rsidRPr="00477E8D" w14:paraId="0CEA3569" w14:textId="77777777" w:rsidTr="0023415D">
        <w:tc>
          <w:tcPr>
            <w:tcW w:w="2802" w:type="dxa"/>
            <w:shd w:val="pct15" w:color="auto" w:fill="auto"/>
          </w:tcPr>
          <w:p w14:paraId="7178813E" w14:textId="77777777" w:rsidR="0082100E" w:rsidRPr="00477E8D" w:rsidRDefault="0082100E" w:rsidP="0023415D">
            <w:pPr>
              <w:spacing w:line="276" w:lineRule="auto"/>
              <w:rPr>
                <w:rFonts w:ascii="Arial" w:hAnsi="Arial" w:cs="Arial"/>
                <w:sz w:val="22"/>
                <w:szCs w:val="22"/>
              </w:rPr>
            </w:pPr>
            <w:r w:rsidRPr="00477E8D">
              <w:rPr>
                <w:rFonts w:ascii="Arial" w:hAnsi="Arial" w:cs="Arial"/>
                <w:sz w:val="22"/>
                <w:szCs w:val="22"/>
              </w:rPr>
              <w:t xml:space="preserve">Gestor: </w:t>
            </w:r>
          </w:p>
        </w:tc>
        <w:tc>
          <w:tcPr>
            <w:tcW w:w="6486" w:type="dxa"/>
            <w:shd w:val="pct15" w:color="auto" w:fill="auto"/>
          </w:tcPr>
          <w:p w14:paraId="37031931" w14:textId="77777777" w:rsidR="0082100E" w:rsidRPr="00477E8D" w:rsidRDefault="0082100E" w:rsidP="00653A6E">
            <w:pPr>
              <w:spacing w:line="276" w:lineRule="auto"/>
              <w:jc w:val="both"/>
              <w:rPr>
                <w:rFonts w:ascii="Arial" w:hAnsi="Arial" w:cs="Arial"/>
                <w:sz w:val="22"/>
                <w:szCs w:val="22"/>
              </w:rPr>
            </w:pPr>
          </w:p>
        </w:tc>
      </w:tr>
      <w:tr w:rsidR="0082100E" w:rsidRPr="00477E8D" w14:paraId="108CAE2C" w14:textId="77777777" w:rsidTr="0023415D">
        <w:tc>
          <w:tcPr>
            <w:tcW w:w="2802" w:type="dxa"/>
            <w:shd w:val="pct15" w:color="auto" w:fill="auto"/>
          </w:tcPr>
          <w:p w14:paraId="100FB100" w14:textId="77777777" w:rsidR="0082100E" w:rsidRPr="00477E8D" w:rsidRDefault="0082100E" w:rsidP="0023415D">
            <w:pPr>
              <w:spacing w:line="276" w:lineRule="auto"/>
              <w:rPr>
                <w:rFonts w:ascii="Arial" w:hAnsi="Arial" w:cs="Arial"/>
                <w:sz w:val="22"/>
                <w:szCs w:val="22"/>
              </w:rPr>
            </w:pPr>
            <w:r w:rsidRPr="00477E8D">
              <w:rPr>
                <w:rFonts w:ascii="Arial" w:hAnsi="Arial" w:cs="Arial"/>
                <w:sz w:val="22"/>
                <w:szCs w:val="22"/>
              </w:rPr>
              <w:t xml:space="preserve">Význam indikátoru: </w:t>
            </w:r>
          </w:p>
        </w:tc>
        <w:tc>
          <w:tcPr>
            <w:tcW w:w="6486" w:type="dxa"/>
            <w:shd w:val="pct15" w:color="auto" w:fill="auto"/>
          </w:tcPr>
          <w:p w14:paraId="4505F4C9" w14:textId="77777777" w:rsidR="0082100E" w:rsidRPr="00477E8D" w:rsidRDefault="0082100E" w:rsidP="00653A6E">
            <w:pPr>
              <w:spacing w:line="276" w:lineRule="auto"/>
              <w:jc w:val="both"/>
              <w:rPr>
                <w:rFonts w:ascii="Arial" w:hAnsi="Arial" w:cs="Arial"/>
                <w:sz w:val="22"/>
                <w:szCs w:val="22"/>
              </w:rPr>
            </w:pPr>
          </w:p>
        </w:tc>
      </w:tr>
      <w:tr w:rsidR="0082100E" w:rsidRPr="00477E8D" w14:paraId="16A88ABE" w14:textId="77777777" w:rsidTr="0023415D">
        <w:tc>
          <w:tcPr>
            <w:tcW w:w="2802" w:type="dxa"/>
            <w:shd w:val="pct15" w:color="auto" w:fill="auto"/>
          </w:tcPr>
          <w:p w14:paraId="000277B9" w14:textId="77777777" w:rsidR="0082100E" w:rsidRPr="00477E8D" w:rsidRDefault="0082100E" w:rsidP="0023415D">
            <w:pPr>
              <w:spacing w:line="276" w:lineRule="auto"/>
              <w:rPr>
                <w:rFonts w:ascii="Arial" w:hAnsi="Arial" w:cs="Arial"/>
                <w:sz w:val="22"/>
                <w:szCs w:val="22"/>
              </w:rPr>
            </w:pPr>
            <w:r w:rsidRPr="00477E8D">
              <w:rPr>
                <w:rFonts w:ascii="Arial" w:hAnsi="Arial" w:cs="Arial"/>
                <w:sz w:val="22"/>
                <w:szCs w:val="22"/>
              </w:rPr>
              <w:t xml:space="preserve">Časová řada: </w:t>
            </w:r>
          </w:p>
        </w:tc>
        <w:tc>
          <w:tcPr>
            <w:tcW w:w="6486" w:type="dxa"/>
            <w:shd w:val="pct15" w:color="auto" w:fill="auto"/>
          </w:tcPr>
          <w:p w14:paraId="79B7AE59" w14:textId="77777777" w:rsidR="0082100E" w:rsidRPr="00477E8D" w:rsidRDefault="0082100E" w:rsidP="0023415D">
            <w:pPr>
              <w:spacing w:line="276" w:lineRule="auto"/>
              <w:rPr>
                <w:rFonts w:ascii="Arial" w:hAnsi="Arial" w:cs="Arial"/>
                <w:sz w:val="22"/>
                <w:szCs w:val="22"/>
              </w:rPr>
            </w:pPr>
          </w:p>
        </w:tc>
      </w:tr>
      <w:tr w:rsidR="0082100E" w:rsidRPr="00477E8D" w14:paraId="17E9032F" w14:textId="77777777" w:rsidTr="0023415D">
        <w:tc>
          <w:tcPr>
            <w:tcW w:w="2802" w:type="dxa"/>
            <w:shd w:val="pct15" w:color="auto" w:fill="auto"/>
          </w:tcPr>
          <w:p w14:paraId="5ADF4668" w14:textId="77777777" w:rsidR="0082100E" w:rsidRPr="00477E8D" w:rsidRDefault="0082100E" w:rsidP="0023415D">
            <w:pPr>
              <w:spacing w:line="276" w:lineRule="auto"/>
              <w:rPr>
                <w:rFonts w:ascii="Arial" w:hAnsi="Arial" w:cs="Arial"/>
                <w:sz w:val="22"/>
                <w:szCs w:val="22"/>
              </w:rPr>
            </w:pPr>
            <w:r w:rsidRPr="00477E8D">
              <w:rPr>
                <w:rFonts w:ascii="Arial" w:hAnsi="Arial" w:cs="Arial"/>
                <w:sz w:val="22"/>
                <w:szCs w:val="22"/>
              </w:rPr>
              <w:t xml:space="preserve">Frekvence výstupu: </w:t>
            </w:r>
          </w:p>
        </w:tc>
        <w:tc>
          <w:tcPr>
            <w:tcW w:w="6486" w:type="dxa"/>
            <w:shd w:val="pct15" w:color="auto" w:fill="auto"/>
          </w:tcPr>
          <w:p w14:paraId="429CE424" w14:textId="77777777" w:rsidR="0082100E" w:rsidRPr="00477E8D" w:rsidRDefault="0082100E" w:rsidP="0023415D">
            <w:pPr>
              <w:spacing w:line="276" w:lineRule="auto"/>
              <w:rPr>
                <w:rFonts w:ascii="Arial" w:hAnsi="Arial" w:cs="Arial"/>
                <w:sz w:val="22"/>
                <w:szCs w:val="22"/>
              </w:rPr>
            </w:pPr>
          </w:p>
        </w:tc>
      </w:tr>
      <w:tr w:rsidR="0082100E" w:rsidRPr="00477E8D" w14:paraId="4B99679C" w14:textId="77777777" w:rsidTr="0023415D">
        <w:trPr>
          <w:trHeight w:val="70"/>
        </w:trPr>
        <w:tc>
          <w:tcPr>
            <w:tcW w:w="2802" w:type="dxa"/>
            <w:shd w:val="pct15" w:color="auto" w:fill="auto"/>
          </w:tcPr>
          <w:p w14:paraId="612BEE33" w14:textId="77777777" w:rsidR="0082100E" w:rsidRPr="00477E8D" w:rsidRDefault="0082100E" w:rsidP="0023415D">
            <w:pPr>
              <w:spacing w:line="276" w:lineRule="auto"/>
              <w:rPr>
                <w:rFonts w:ascii="Arial" w:hAnsi="Arial" w:cs="Arial"/>
                <w:sz w:val="22"/>
                <w:szCs w:val="22"/>
              </w:rPr>
            </w:pPr>
            <w:r w:rsidRPr="00477E8D">
              <w:rPr>
                <w:rFonts w:ascii="Arial" w:hAnsi="Arial" w:cs="Arial"/>
                <w:sz w:val="22"/>
                <w:szCs w:val="22"/>
              </w:rPr>
              <w:t xml:space="preserve">Členění indikátoru: </w:t>
            </w:r>
          </w:p>
        </w:tc>
        <w:tc>
          <w:tcPr>
            <w:tcW w:w="6486" w:type="dxa"/>
            <w:shd w:val="pct15" w:color="auto" w:fill="auto"/>
          </w:tcPr>
          <w:p w14:paraId="6D5E0958" w14:textId="77777777" w:rsidR="0082100E" w:rsidRPr="00477E8D" w:rsidRDefault="0082100E" w:rsidP="0023415D">
            <w:pPr>
              <w:spacing w:line="276" w:lineRule="auto"/>
              <w:rPr>
                <w:rFonts w:ascii="Arial" w:hAnsi="Arial" w:cs="Arial"/>
                <w:sz w:val="22"/>
                <w:szCs w:val="22"/>
              </w:rPr>
            </w:pPr>
          </w:p>
        </w:tc>
      </w:tr>
      <w:tr w:rsidR="0082100E" w:rsidRPr="00477E8D" w14:paraId="5E93048A" w14:textId="77777777" w:rsidTr="0023415D">
        <w:trPr>
          <w:trHeight w:val="70"/>
        </w:trPr>
        <w:tc>
          <w:tcPr>
            <w:tcW w:w="2802" w:type="dxa"/>
            <w:shd w:val="pct15" w:color="auto" w:fill="auto"/>
          </w:tcPr>
          <w:p w14:paraId="5728A237" w14:textId="77777777" w:rsidR="0082100E" w:rsidRPr="00477E8D" w:rsidRDefault="0082100E" w:rsidP="0023415D">
            <w:pPr>
              <w:spacing w:line="276" w:lineRule="auto"/>
              <w:rPr>
                <w:rFonts w:ascii="Arial" w:hAnsi="Arial" w:cs="Arial"/>
                <w:sz w:val="22"/>
                <w:szCs w:val="22"/>
              </w:rPr>
            </w:pPr>
            <w:r w:rsidRPr="00477E8D">
              <w:rPr>
                <w:rFonts w:ascii="Arial" w:hAnsi="Arial" w:cs="Arial"/>
                <w:sz w:val="22"/>
                <w:szCs w:val="22"/>
              </w:rPr>
              <w:t>Mezinárodní srovnání:</w:t>
            </w:r>
          </w:p>
        </w:tc>
        <w:tc>
          <w:tcPr>
            <w:tcW w:w="6486" w:type="dxa"/>
            <w:shd w:val="pct15" w:color="auto" w:fill="auto"/>
          </w:tcPr>
          <w:p w14:paraId="4CE3E9F4" w14:textId="77777777" w:rsidR="0082100E" w:rsidRPr="00477E8D" w:rsidRDefault="0082100E" w:rsidP="0023415D">
            <w:pPr>
              <w:spacing w:line="276" w:lineRule="auto"/>
              <w:rPr>
                <w:rFonts w:ascii="Arial" w:hAnsi="Arial" w:cs="Arial"/>
                <w:sz w:val="22"/>
                <w:szCs w:val="22"/>
              </w:rPr>
            </w:pPr>
          </w:p>
        </w:tc>
      </w:tr>
    </w:tbl>
    <w:p w14:paraId="773996C7" w14:textId="61377B0B" w:rsidR="006F0F09" w:rsidRDefault="00D3478F" w:rsidP="00653A6E">
      <w:pPr>
        <w:pStyle w:val="r2030cle"/>
        <w:numPr>
          <w:ilvl w:val="0"/>
          <w:numId w:val="17"/>
        </w:numPr>
        <w:ind w:left="567" w:hanging="425"/>
      </w:pPr>
      <w:r>
        <w:t>Česká krajina je pestrá a</w:t>
      </w:r>
      <w:r w:rsidRPr="00F677C3">
        <w:t xml:space="preserve"> </w:t>
      </w:r>
      <w:r>
        <w:t>dochází k obnově biologické rozmanitosti.</w:t>
      </w:r>
    </w:p>
    <w:p w14:paraId="775A5823" w14:textId="61277589" w:rsidR="006F0F09" w:rsidRPr="0072049B" w:rsidRDefault="006F0F09" w:rsidP="00653A6E">
      <w:pPr>
        <w:pStyle w:val="r2030podcle"/>
        <w:numPr>
          <w:ilvl w:val="1"/>
          <w:numId w:val="17"/>
        </w:numPr>
        <w:ind w:left="567" w:hanging="425"/>
      </w:pPr>
      <w:r w:rsidRPr="0072049B">
        <w:t>Rozmanitost a stabilita biotopů i populací jednotlivých původních druhů živoči</w:t>
      </w:r>
      <w:r w:rsidR="0072049B">
        <w:t>chů se zvyšuje.</w:t>
      </w:r>
    </w:p>
    <w:tbl>
      <w:tblPr>
        <w:tblStyle w:val="Mkatabulky"/>
        <w:tblW w:w="0" w:type="auto"/>
        <w:tblLook w:val="04A0" w:firstRow="1" w:lastRow="0" w:firstColumn="1" w:lastColumn="0" w:noHBand="0" w:noVBand="1"/>
      </w:tblPr>
      <w:tblGrid>
        <w:gridCol w:w="2802"/>
        <w:gridCol w:w="6486"/>
      </w:tblGrid>
      <w:tr w:rsidR="006F0F09" w:rsidRPr="00CA79AD" w14:paraId="45324486" w14:textId="77777777" w:rsidTr="008D14FE">
        <w:tc>
          <w:tcPr>
            <w:tcW w:w="2802" w:type="dxa"/>
          </w:tcPr>
          <w:p w14:paraId="5FF41CB1"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Název a označení indikátoru: </w:t>
            </w:r>
          </w:p>
        </w:tc>
        <w:tc>
          <w:tcPr>
            <w:tcW w:w="6486" w:type="dxa"/>
          </w:tcPr>
          <w:p w14:paraId="32FD9462" w14:textId="77777777" w:rsidR="006F0F09" w:rsidRPr="00F53BA5" w:rsidRDefault="006F0F09" w:rsidP="00C51B65">
            <w:pPr>
              <w:spacing w:line="276" w:lineRule="auto"/>
              <w:rPr>
                <w:rFonts w:ascii="Arial" w:eastAsia="Arial" w:hAnsi="Arial" w:cs="Arial"/>
                <w:b/>
                <w:sz w:val="22"/>
                <w:szCs w:val="22"/>
              </w:rPr>
            </w:pPr>
            <w:r w:rsidRPr="00F53BA5">
              <w:rPr>
                <w:rFonts w:ascii="Arial" w:eastAsia="Calibri" w:hAnsi="Arial" w:cs="Arial"/>
                <w:b/>
                <w:noProof/>
                <w:sz w:val="22"/>
                <w:szCs w:val="22"/>
              </w:rPr>
              <w:t>13.1.1 Stav evropsky významných typů přírodních stanovišť</w:t>
            </w:r>
          </w:p>
        </w:tc>
      </w:tr>
      <w:tr w:rsidR="006F0F09" w:rsidRPr="00CA79AD" w14:paraId="1452BEAE" w14:textId="77777777" w:rsidTr="008D14FE">
        <w:tc>
          <w:tcPr>
            <w:tcW w:w="2802" w:type="dxa"/>
          </w:tcPr>
          <w:p w14:paraId="347BA91D"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Stručná definice: </w:t>
            </w:r>
          </w:p>
        </w:tc>
        <w:tc>
          <w:tcPr>
            <w:tcW w:w="6486" w:type="dxa"/>
          </w:tcPr>
          <w:p w14:paraId="07138E9D" w14:textId="77777777" w:rsidR="006F0F09" w:rsidRPr="00CA79AD" w:rsidRDefault="006F0F09" w:rsidP="00653A6E">
            <w:pPr>
              <w:spacing w:line="276" w:lineRule="auto"/>
              <w:jc w:val="both"/>
              <w:rPr>
                <w:rFonts w:ascii="Arial" w:hAnsi="Arial" w:cs="Arial"/>
                <w:sz w:val="22"/>
                <w:szCs w:val="22"/>
              </w:rPr>
            </w:pPr>
            <w:r w:rsidRPr="00CA79AD">
              <w:rPr>
                <w:rFonts w:ascii="Arial" w:hAnsi="Arial" w:cs="Arial"/>
                <w:sz w:val="22"/>
                <w:szCs w:val="22"/>
              </w:rPr>
              <w:t xml:space="preserve">Indikátor je výsledkem hodnocení stavu </w:t>
            </w:r>
            <w:r w:rsidRPr="00CA79AD">
              <w:rPr>
                <w:rFonts w:ascii="Arial" w:eastAsia="Calibri" w:hAnsi="Arial" w:cs="Arial"/>
                <w:noProof/>
                <w:sz w:val="22"/>
                <w:szCs w:val="22"/>
              </w:rPr>
              <w:t xml:space="preserve">evropsky významných typů přírodních stanovišť na škále příznivý stav – nedostatečný </w:t>
            </w:r>
            <w:r w:rsidRPr="00CA79AD">
              <w:rPr>
                <w:rFonts w:ascii="Arial" w:eastAsia="Calibri" w:hAnsi="Arial" w:cs="Arial"/>
                <w:noProof/>
                <w:sz w:val="22"/>
                <w:szCs w:val="22"/>
              </w:rPr>
              <w:lastRenderedPageBreak/>
              <w:t>stav – nepříznivý stav – neznámý stav.</w:t>
            </w:r>
            <w:r w:rsidR="0072049B">
              <w:rPr>
                <w:rFonts w:ascii="Arial" w:eastAsia="Calibri" w:hAnsi="Arial" w:cs="Arial"/>
                <w:noProof/>
                <w:sz w:val="22"/>
                <w:szCs w:val="22"/>
              </w:rPr>
              <w:t xml:space="preserve"> Vyjadřuje podíl </w:t>
            </w:r>
            <w:r w:rsidR="0072049B" w:rsidRPr="00CA79AD">
              <w:rPr>
                <w:rFonts w:ascii="Arial" w:eastAsia="Calibri" w:hAnsi="Arial" w:cs="Arial"/>
                <w:noProof/>
                <w:sz w:val="22"/>
                <w:szCs w:val="22"/>
              </w:rPr>
              <w:t>typů přírodních stanovišť nacházejích se v každém ze čtyř výše uvedených stavů</w:t>
            </w:r>
            <w:r w:rsidR="0072049B">
              <w:rPr>
                <w:rFonts w:ascii="Arial" w:eastAsia="Calibri" w:hAnsi="Arial" w:cs="Arial"/>
                <w:noProof/>
                <w:sz w:val="22"/>
                <w:szCs w:val="22"/>
              </w:rPr>
              <w:t>.</w:t>
            </w:r>
          </w:p>
        </w:tc>
      </w:tr>
      <w:tr w:rsidR="006F0F09" w:rsidRPr="00CA79AD" w14:paraId="5DB815E6" w14:textId="77777777" w:rsidTr="008D14FE">
        <w:tc>
          <w:tcPr>
            <w:tcW w:w="2802" w:type="dxa"/>
          </w:tcPr>
          <w:p w14:paraId="4569E20B"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lastRenderedPageBreak/>
              <w:t>Jednotka:</w:t>
            </w:r>
          </w:p>
        </w:tc>
        <w:tc>
          <w:tcPr>
            <w:tcW w:w="6486" w:type="dxa"/>
          </w:tcPr>
          <w:p w14:paraId="0A1188C1" w14:textId="77777777" w:rsidR="006F0F09" w:rsidRPr="00CA79AD" w:rsidRDefault="0072049B" w:rsidP="00653A6E">
            <w:pPr>
              <w:spacing w:line="276" w:lineRule="auto"/>
              <w:jc w:val="both"/>
              <w:rPr>
                <w:rFonts w:ascii="Arial" w:hAnsi="Arial" w:cs="Arial"/>
                <w:sz w:val="22"/>
                <w:szCs w:val="22"/>
              </w:rPr>
            </w:pPr>
            <w:r>
              <w:rPr>
                <w:rFonts w:ascii="Arial" w:hAnsi="Arial" w:cs="Arial"/>
                <w:sz w:val="22"/>
                <w:szCs w:val="22"/>
              </w:rPr>
              <w:t xml:space="preserve">Podíl (v </w:t>
            </w:r>
            <w:r w:rsidR="006F0F09" w:rsidRPr="00CA79AD">
              <w:rPr>
                <w:rFonts w:ascii="Arial" w:hAnsi="Arial" w:cs="Arial"/>
                <w:sz w:val="22"/>
                <w:szCs w:val="22"/>
              </w:rPr>
              <w:t>%</w:t>
            </w:r>
            <w:r>
              <w:rPr>
                <w:rFonts w:ascii="Arial" w:hAnsi="Arial" w:cs="Arial"/>
                <w:sz w:val="22"/>
                <w:szCs w:val="22"/>
              </w:rPr>
              <w:t>)</w:t>
            </w:r>
            <w:r w:rsidR="006F0F09" w:rsidRPr="00CA79AD">
              <w:rPr>
                <w:rFonts w:ascii="Arial" w:hAnsi="Arial" w:cs="Arial"/>
                <w:sz w:val="22"/>
                <w:szCs w:val="22"/>
              </w:rPr>
              <w:t xml:space="preserve"> </w:t>
            </w:r>
          </w:p>
        </w:tc>
      </w:tr>
      <w:tr w:rsidR="006F0F09" w:rsidRPr="00CA79AD" w14:paraId="3C183047" w14:textId="77777777" w:rsidTr="008D14FE">
        <w:tc>
          <w:tcPr>
            <w:tcW w:w="2802" w:type="dxa"/>
          </w:tcPr>
          <w:p w14:paraId="7A2D04D3"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Gestor: </w:t>
            </w:r>
          </w:p>
        </w:tc>
        <w:tc>
          <w:tcPr>
            <w:tcW w:w="6486" w:type="dxa"/>
          </w:tcPr>
          <w:p w14:paraId="2C1EFE8D" w14:textId="77777777" w:rsidR="006F0F09" w:rsidRPr="00CA79AD" w:rsidRDefault="00E56635" w:rsidP="00653A6E">
            <w:pPr>
              <w:spacing w:line="276" w:lineRule="auto"/>
              <w:jc w:val="both"/>
              <w:rPr>
                <w:rFonts w:ascii="Arial" w:hAnsi="Arial" w:cs="Arial"/>
                <w:sz w:val="22"/>
                <w:szCs w:val="22"/>
              </w:rPr>
            </w:pPr>
            <w:r>
              <w:rPr>
                <w:rFonts w:ascii="Arial" w:eastAsia="Calibri" w:hAnsi="Arial" w:cs="Arial"/>
                <w:noProof/>
                <w:sz w:val="22"/>
                <w:szCs w:val="22"/>
              </w:rPr>
              <w:t>Ministerstvo životního prostředí</w:t>
            </w:r>
          </w:p>
        </w:tc>
      </w:tr>
      <w:tr w:rsidR="006F0F09" w:rsidRPr="00CA79AD" w14:paraId="72E4D37D" w14:textId="77777777" w:rsidTr="008D14FE">
        <w:tc>
          <w:tcPr>
            <w:tcW w:w="2802" w:type="dxa"/>
          </w:tcPr>
          <w:p w14:paraId="0700F175"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Význam indikátoru: </w:t>
            </w:r>
          </w:p>
        </w:tc>
        <w:tc>
          <w:tcPr>
            <w:tcW w:w="6486" w:type="dxa"/>
          </w:tcPr>
          <w:p w14:paraId="4A3BCAED" w14:textId="77777777" w:rsidR="006F0F09" w:rsidRPr="00CA79AD" w:rsidRDefault="006F0F09" w:rsidP="00653A6E">
            <w:pPr>
              <w:autoSpaceDE w:val="0"/>
              <w:autoSpaceDN w:val="0"/>
              <w:adjustRightInd w:val="0"/>
              <w:spacing w:line="276" w:lineRule="auto"/>
              <w:jc w:val="both"/>
              <w:rPr>
                <w:rFonts w:ascii="Arial" w:hAnsi="Arial" w:cs="Arial"/>
                <w:sz w:val="22"/>
                <w:szCs w:val="22"/>
              </w:rPr>
            </w:pPr>
            <w:r w:rsidRPr="00CA79AD">
              <w:rPr>
                <w:rFonts w:ascii="Arial" w:eastAsia="OfficinaSanItcTCE-Book" w:hAnsi="Arial" w:cs="Arial"/>
                <w:sz w:val="22"/>
                <w:szCs w:val="22"/>
              </w:rPr>
              <w:t>Stav jednotlivých typů přírodních stanovišť díky rozsahu (celkem 60) sledovaných typů přírodních stanovišť reprezentativně vypovídá o kvalitě přírodního prostředí v ČR.</w:t>
            </w:r>
          </w:p>
        </w:tc>
      </w:tr>
      <w:tr w:rsidR="006F0F09" w:rsidRPr="00CA79AD" w14:paraId="1A392015" w14:textId="77777777" w:rsidTr="008D14FE">
        <w:tc>
          <w:tcPr>
            <w:tcW w:w="2802" w:type="dxa"/>
          </w:tcPr>
          <w:p w14:paraId="4F926A1B"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Časová řada: </w:t>
            </w:r>
          </w:p>
        </w:tc>
        <w:tc>
          <w:tcPr>
            <w:tcW w:w="6486" w:type="dxa"/>
          </w:tcPr>
          <w:p w14:paraId="3EFD65DA" w14:textId="77777777" w:rsidR="006F0F09" w:rsidRPr="00CA79AD" w:rsidRDefault="006F0F09" w:rsidP="00653A6E">
            <w:pPr>
              <w:spacing w:line="276" w:lineRule="auto"/>
              <w:jc w:val="both"/>
              <w:rPr>
                <w:rFonts w:ascii="Arial" w:hAnsi="Arial" w:cs="Arial"/>
                <w:sz w:val="22"/>
                <w:szCs w:val="22"/>
              </w:rPr>
            </w:pPr>
            <w:r w:rsidRPr="00CA79AD">
              <w:rPr>
                <w:rFonts w:ascii="Arial" w:hAnsi="Arial" w:cs="Arial"/>
                <w:sz w:val="22"/>
                <w:szCs w:val="22"/>
              </w:rPr>
              <w:t>2006, 2012</w:t>
            </w:r>
          </w:p>
        </w:tc>
      </w:tr>
      <w:tr w:rsidR="006F0F09" w:rsidRPr="00CA79AD" w14:paraId="3A95865E" w14:textId="77777777" w:rsidTr="008D14FE">
        <w:tc>
          <w:tcPr>
            <w:tcW w:w="2802" w:type="dxa"/>
          </w:tcPr>
          <w:p w14:paraId="1C908ED6"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Frekvence výstupu: </w:t>
            </w:r>
          </w:p>
        </w:tc>
        <w:tc>
          <w:tcPr>
            <w:tcW w:w="6486" w:type="dxa"/>
          </w:tcPr>
          <w:p w14:paraId="70C46CF9" w14:textId="77777777" w:rsidR="006F0F09" w:rsidRPr="00CA79AD" w:rsidRDefault="006F0F09" w:rsidP="00653A6E">
            <w:pPr>
              <w:spacing w:line="276" w:lineRule="auto"/>
              <w:jc w:val="both"/>
              <w:rPr>
                <w:rFonts w:ascii="Arial" w:hAnsi="Arial" w:cs="Arial"/>
                <w:sz w:val="22"/>
                <w:szCs w:val="22"/>
              </w:rPr>
            </w:pPr>
            <w:r w:rsidRPr="00CA79AD">
              <w:rPr>
                <w:rFonts w:ascii="Arial" w:hAnsi="Arial" w:cs="Arial"/>
                <w:sz w:val="22"/>
                <w:szCs w:val="22"/>
              </w:rPr>
              <w:t>Jednou za 6 let</w:t>
            </w:r>
          </w:p>
        </w:tc>
      </w:tr>
      <w:tr w:rsidR="006F0F09" w:rsidRPr="00CA79AD" w14:paraId="05841BC3" w14:textId="77777777" w:rsidTr="008D14FE">
        <w:trPr>
          <w:trHeight w:val="70"/>
        </w:trPr>
        <w:tc>
          <w:tcPr>
            <w:tcW w:w="2802" w:type="dxa"/>
          </w:tcPr>
          <w:p w14:paraId="15508C02"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Členění indikátoru: </w:t>
            </w:r>
          </w:p>
        </w:tc>
        <w:tc>
          <w:tcPr>
            <w:tcW w:w="6486" w:type="dxa"/>
          </w:tcPr>
          <w:p w14:paraId="4E17E39F" w14:textId="13964E20" w:rsidR="006F0F09" w:rsidRPr="00CA79AD" w:rsidRDefault="00146D1C" w:rsidP="00653A6E">
            <w:pPr>
              <w:spacing w:line="276" w:lineRule="auto"/>
              <w:jc w:val="both"/>
              <w:rPr>
                <w:rFonts w:ascii="Arial" w:hAnsi="Arial" w:cs="Arial"/>
                <w:sz w:val="22"/>
                <w:szCs w:val="22"/>
              </w:rPr>
            </w:pPr>
            <w:r>
              <w:rPr>
                <w:rFonts w:ascii="Arial" w:hAnsi="Arial" w:cs="Arial"/>
                <w:sz w:val="22"/>
                <w:szCs w:val="22"/>
              </w:rPr>
              <w:t>Celostátně</w:t>
            </w:r>
            <w:r w:rsidR="006F0F09" w:rsidRPr="00CA79AD">
              <w:rPr>
                <w:rFonts w:ascii="Arial" w:hAnsi="Arial" w:cs="Arial"/>
                <w:sz w:val="22"/>
                <w:szCs w:val="22"/>
              </w:rPr>
              <w:t xml:space="preserve"> a dle jednotlivých stanovišť</w:t>
            </w:r>
          </w:p>
        </w:tc>
      </w:tr>
      <w:tr w:rsidR="006F0F09" w:rsidRPr="00CA79AD" w14:paraId="0C1B4AAF" w14:textId="77777777" w:rsidTr="008D14FE">
        <w:trPr>
          <w:trHeight w:val="70"/>
        </w:trPr>
        <w:tc>
          <w:tcPr>
            <w:tcW w:w="2802" w:type="dxa"/>
          </w:tcPr>
          <w:p w14:paraId="3829C8E1"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Mezinárodní srovnání:</w:t>
            </w:r>
          </w:p>
        </w:tc>
        <w:tc>
          <w:tcPr>
            <w:tcW w:w="6486" w:type="dxa"/>
          </w:tcPr>
          <w:p w14:paraId="360C2CB1" w14:textId="77777777" w:rsidR="006F0F09" w:rsidRPr="00CA79AD" w:rsidRDefault="00181FD7" w:rsidP="00653A6E">
            <w:pPr>
              <w:spacing w:line="276" w:lineRule="auto"/>
              <w:jc w:val="both"/>
              <w:rPr>
                <w:rFonts w:ascii="Arial" w:hAnsi="Arial" w:cs="Arial"/>
                <w:sz w:val="22"/>
                <w:szCs w:val="22"/>
              </w:rPr>
            </w:pPr>
            <w:r>
              <w:rPr>
                <w:rFonts w:ascii="Arial" w:hAnsi="Arial" w:cs="Arial"/>
                <w:sz w:val="22"/>
                <w:szCs w:val="22"/>
              </w:rPr>
              <w:t>Evropská agentura pro životní prostředí</w:t>
            </w:r>
          </w:p>
        </w:tc>
      </w:tr>
    </w:tbl>
    <w:p w14:paraId="0E0CE0E3" w14:textId="77777777" w:rsidR="006F0F09" w:rsidRPr="00CA79AD" w:rsidRDefault="006F0F09" w:rsidP="00C51B65">
      <w:pPr>
        <w:spacing w:line="276" w:lineRule="auto"/>
        <w:ind w:left="1843"/>
        <w:contextualSpacing/>
        <w:rPr>
          <w:rFonts w:ascii="Arial" w:eastAsia="Calibri" w:hAnsi="Arial" w:cs="Arial"/>
          <w:noProof/>
          <w:sz w:val="22"/>
          <w:szCs w:val="22"/>
          <w:lang w:eastAsia="en-US"/>
        </w:rPr>
      </w:pPr>
    </w:p>
    <w:tbl>
      <w:tblPr>
        <w:tblStyle w:val="Mkatabulky"/>
        <w:tblW w:w="0" w:type="auto"/>
        <w:tblLook w:val="04A0" w:firstRow="1" w:lastRow="0" w:firstColumn="1" w:lastColumn="0" w:noHBand="0" w:noVBand="1"/>
      </w:tblPr>
      <w:tblGrid>
        <w:gridCol w:w="2802"/>
        <w:gridCol w:w="6486"/>
      </w:tblGrid>
      <w:tr w:rsidR="006F0F09" w:rsidRPr="0041235D" w14:paraId="72D8FF1C" w14:textId="77777777" w:rsidTr="008D14FE">
        <w:tc>
          <w:tcPr>
            <w:tcW w:w="2802" w:type="dxa"/>
          </w:tcPr>
          <w:p w14:paraId="1F1C189E" w14:textId="77777777" w:rsidR="006F0F09" w:rsidRPr="0041235D" w:rsidRDefault="006F0F09" w:rsidP="00C51B65">
            <w:pPr>
              <w:spacing w:line="276" w:lineRule="auto"/>
              <w:rPr>
                <w:rFonts w:ascii="Arial" w:hAnsi="Arial" w:cs="Arial"/>
                <w:sz w:val="22"/>
                <w:szCs w:val="22"/>
              </w:rPr>
            </w:pPr>
            <w:r w:rsidRPr="0041235D">
              <w:rPr>
                <w:rFonts w:ascii="Arial" w:hAnsi="Arial" w:cs="Arial"/>
                <w:sz w:val="22"/>
                <w:szCs w:val="22"/>
              </w:rPr>
              <w:t xml:space="preserve">Název a označení indikátoru: </w:t>
            </w:r>
          </w:p>
        </w:tc>
        <w:tc>
          <w:tcPr>
            <w:tcW w:w="6486" w:type="dxa"/>
          </w:tcPr>
          <w:p w14:paraId="13E92910" w14:textId="28DBFAE9" w:rsidR="006F0F09" w:rsidRPr="0041235D" w:rsidRDefault="006F0F09" w:rsidP="00C51B65">
            <w:pPr>
              <w:spacing w:line="276" w:lineRule="auto"/>
              <w:rPr>
                <w:rFonts w:ascii="Arial" w:eastAsia="Arial" w:hAnsi="Arial" w:cs="Arial"/>
                <w:b/>
                <w:color w:val="000000"/>
                <w:sz w:val="22"/>
                <w:szCs w:val="22"/>
              </w:rPr>
            </w:pPr>
            <w:r w:rsidRPr="0041235D">
              <w:rPr>
                <w:rFonts w:ascii="Arial" w:eastAsia="Calibri" w:hAnsi="Arial" w:cs="Arial"/>
                <w:b/>
                <w:noProof/>
                <w:sz w:val="22"/>
                <w:szCs w:val="22"/>
              </w:rPr>
              <w:t xml:space="preserve">13.1.2 </w:t>
            </w:r>
            <w:r w:rsidRPr="0041235D">
              <w:rPr>
                <w:rFonts w:ascii="Arial" w:eastAsia="Calibri" w:hAnsi="Arial" w:cs="Arial"/>
                <w:b/>
                <w:sz w:val="22"/>
                <w:szCs w:val="22"/>
              </w:rPr>
              <w:t>Indikátor druhů ptáků</w:t>
            </w:r>
          </w:p>
        </w:tc>
      </w:tr>
      <w:tr w:rsidR="006F0F09" w:rsidRPr="0041235D" w14:paraId="4E5C5525" w14:textId="77777777" w:rsidTr="008D14FE">
        <w:tc>
          <w:tcPr>
            <w:tcW w:w="2802" w:type="dxa"/>
          </w:tcPr>
          <w:p w14:paraId="09BFCD23" w14:textId="77777777" w:rsidR="006F0F09" w:rsidRPr="0041235D" w:rsidRDefault="006F0F09" w:rsidP="00C51B65">
            <w:pPr>
              <w:spacing w:line="276" w:lineRule="auto"/>
              <w:rPr>
                <w:rFonts w:ascii="Arial" w:hAnsi="Arial" w:cs="Arial"/>
                <w:sz w:val="22"/>
                <w:szCs w:val="22"/>
              </w:rPr>
            </w:pPr>
            <w:r w:rsidRPr="0041235D">
              <w:rPr>
                <w:rFonts w:ascii="Arial" w:hAnsi="Arial" w:cs="Arial"/>
                <w:sz w:val="22"/>
                <w:szCs w:val="22"/>
              </w:rPr>
              <w:t xml:space="preserve">Stručná definice: </w:t>
            </w:r>
          </w:p>
        </w:tc>
        <w:tc>
          <w:tcPr>
            <w:tcW w:w="6486" w:type="dxa"/>
          </w:tcPr>
          <w:p w14:paraId="1E2D63DA" w14:textId="140ECDE7" w:rsidR="006F0F09" w:rsidRPr="0041235D" w:rsidRDefault="006F0F09" w:rsidP="00653A6E">
            <w:pPr>
              <w:spacing w:line="276" w:lineRule="auto"/>
              <w:jc w:val="both"/>
              <w:rPr>
                <w:rFonts w:ascii="Arial" w:hAnsi="Arial" w:cs="Arial"/>
                <w:sz w:val="22"/>
                <w:szCs w:val="22"/>
              </w:rPr>
            </w:pPr>
            <w:r w:rsidRPr="0041235D">
              <w:rPr>
                <w:rFonts w:ascii="Arial" w:hAnsi="Arial" w:cs="Arial"/>
                <w:sz w:val="22"/>
                <w:szCs w:val="22"/>
              </w:rPr>
              <w:t xml:space="preserve">Indikátorem je </w:t>
            </w:r>
            <w:r w:rsidRPr="00047FFC">
              <w:rPr>
                <w:rFonts w:ascii="Arial" w:hAnsi="Arial"/>
                <w:sz w:val="22"/>
              </w:rPr>
              <w:t xml:space="preserve">index </w:t>
            </w:r>
            <w:r w:rsidR="00661E38" w:rsidRPr="00F8467D">
              <w:rPr>
                <w:rFonts w:ascii="Arial" w:hAnsi="Arial" w:cs="Arial"/>
                <w:color w:val="000000"/>
                <w:sz w:val="22"/>
                <w:szCs w:val="22"/>
              </w:rPr>
              <w:t xml:space="preserve">změn početnosti </w:t>
            </w:r>
            <w:r w:rsidR="00661E38">
              <w:rPr>
                <w:rFonts w:ascii="Arial" w:hAnsi="Arial" w:cs="Arial"/>
                <w:color w:val="000000"/>
                <w:sz w:val="22"/>
                <w:szCs w:val="22"/>
              </w:rPr>
              <w:t xml:space="preserve">jedinců </w:t>
            </w:r>
            <w:r w:rsidR="00661E38" w:rsidRPr="00F8467D">
              <w:rPr>
                <w:rFonts w:ascii="Arial" w:hAnsi="Arial" w:cs="Arial"/>
                <w:color w:val="000000"/>
                <w:sz w:val="22"/>
                <w:szCs w:val="22"/>
              </w:rPr>
              <w:t>běžných druhů ptáků, ptáků zemědělské krajiny a lesních druhů ptáků.</w:t>
            </w:r>
          </w:p>
        </w:tc>
      </w:tr>
      <w:tr w:rsidR="006F0F09" w:rsidRPr="0041235D" w14:paraId="1697168B" w14:textId="77777777" w:rsidTr="008D14FE">
        <w:tc>
          <w:tcPr>
            <w:tcW w:w="2802" w:type="dxa"/>
          </w:tcPr>
          <w:p w14:paraId="473B5A10" w14:textId="77777777" w:rsidR="006F0F09" w:rsidRPr="0041235D" w:rsidRDefault="006F0F09" w:rsidP="00C51B65">
            <w:pPr>
              <w:spacing w:line="276" w:lineRule="auto"/>
              <w:rPr>
                <w:rFonts w:ascii="Arial" w:hAnsi="Arial" w:cs="Arial"/>
                <w:sz w:val="22"/>
                <w:szCs w:val="22"/>
              </w:rPr>
            </w:pPr>
            <w:r w:rsidRPr="0041235D">
              <w:rPr>
                <w:rFonts w:ascii="Arial" w:hAnsi="Arial" w:cs="Arial"/>
                <w:sz w:val="22"/>
                <w:szCs w:val="22"/>
              </w:rPr>
              <w:t>Jednotka:</w:t>
            </w:r>
          </w:p>
        </w:tc>
        <w:tc>
          <w:tcPr>
            <w:tcW w:w="6486" w:type="dxa"/>
          </w:tcPr>
          <w:p w14:paraId="4AFAE7B0" w14:textId="77777777" w:rsidR="006F0F09" w:rsidRPr="0041235D" w:rsidRDefault="0072049B" w:rsidP="00653A6E">
            <w:pPr>
              <w:spacing w:line="276" w:lineRule="auto"/>
              <w:jc w:val="both"/>
              <w:rPr>
                <w:rFonts w:ascii="Arial" w:hAnsi="Arial" w:cs="Arial"/>
                <w:sz w:val="22"/>
                <w:szCs w:val="22"/>
              </w:rPr>
            </w:pPr>
            <w:r>
              <w:rPr>
                <w:rFonts w:ascii="Arial" w:hAnsi="Arial" w:cs="Arial"/>
                <w:sz w:val="22"/>
                <w:szCs w:val="22"/>
              </w:rPr>
              <w:t xml:space="preserve">Podíl (v </w:t>
            </w:r>
            <w:r w:rsidR="006F0F09" w:rsidRPr="0041235D">
              <w:rPr>
                <w:rFonts w:ascii="Arial" w:hAnsi="Arial" w:cs="Arial"/>
                <w:sz w:val="22"/>
                <w:szCs w:val="22"/>
              </w:rPr>
              <w:t>%</w:t>
            </w:r>
            <w:r>
              <w:rPr>
                <w:rFonts w:ascii="Arial" w:hAnsi="Arial" w:cs="Arial"/>
                <w:sz w:val="22"/>
                <w:szCs w:val="22"/>
              </w:rPr>
              <w:t>)</w:t>
            </w:r>
          </w:p>
        </w:tc>
      </w:tr>
      <w:tr w:rsidR="006F0F09" w:rsidRPr="0041235D" w14:paraId="0D3DE4F7" w14:textId="77777777" w:rsidTr="008D14FE">
        <w:tc>
          <w:tcPr>
            <w:tcW w:w="2802" w:type="dxa"/>
          </w:tcPr>
          <w:p w14:paraId="3D48908A" w14:textId="77777777" w:rsidR="006F0F09" w:rsidRPr="0041235D" w:rsidRDefault="006F0F09" w:rsidP="00C51B65">
            <w:pPr>
              <w:spacing w:line="276" w:lineRule="auto"/>
              <w:rPr>
                <w:rFonts w:ascii="Arial" w:hAnsi="Arial" w:cs="Arial"/>
                <w:sz w:val="22"/>
                <w:szCs w:val="22"/>
              </w:rPr>
            </w:pPr>
            <w:r w:rsidRPr="0041235D">
              <w:rPr>
                <w:rFonts w:ascii="Arial" w:hAnsi="Arial" w:cs="Arial"/>
                <w:sz w:val="22"/>
                <w:szCs w:val="22"/>
              </w:rPr>
              <w:t xml:space="preserve">Gestor: </w:t>
            </w:r>
          </w:p>
        </w:tc>
        <w:tc>
          <w:tcPr>
            <w:tcW w:w="6486" w:type="dxa"/>
          </w:tcPr>
          <w:p w14:paraId="23DDC0E5" w14:textId="130CEDCF" w:rsidR="006F0F09" w:rsidRPr="0041235D" w:rsidRDefault="00661E38" w:rsidP="00653A6E">
            <w:pPr>
              <w:spacing w:line="276" w:lineRule="auto"/>
              <w:jc w:val="both"/>
              <w:rPr>
                <w:rFonts w:ascii="Arial" w:hAnsi="Arial" w:cs="Arial"/>
                <w:sz w:val="22"/>
                <w:szCs w:val="22"/>
              </w:rPr>
            </w:pPr>
            <w:r>
              <w:rPr>
                <w:rFonts w:ascii="Arial" w:eastAsia="Calibri" w:hAnsi="Arial" w:cs="Arial"/>
                <w:noProof/>
                <w:sz w:val="22"/>
                <w:szCs w:val="22"/>
              </w:rPr>
              <w:t xml:space="preserve">Ministerstvo zemědělství, </w:t>
            </w:r>
            <w:r w:rsidR="0041581B">
              <w:rPr>
                <w:rFonts w:ascii="Arial" w:eastAsia="Calibri" w:hAnsi="Arial" w:cs="Arial"/>
                <w:noProof/>
                <w:sz w:val="22"/>
                <w:szCs w:val="22"/>
              </w:rPr>
              <w:t>Ministerstvo životního prostředí</w:t>
            </w:r>
          </w:p>
        </w:tc>
      </w:tr>
      <w:tr w:rsidR="006F0F09" w:rsidRPr="0041235D" w14:paraId="0473B256" w14:textId="77777777" w:rsidTr="008D14FE">
        <w:tc>
          <w:tcPr>
            <w:tcW w:w="2802" w:type="dxa"/>
          </w:tcPr>
          <w:p w14:paraId="1A858E0E" w14:textId="77777777" w:rsidR="006F0F09" w:rsidRPr="0041235D" w:rsidRDefault="006F0F09" w:rsidP="00C51B65">
            <w:pPr>
              <w:spacing w:line="276" w:lineRule="auto"/>
              <w:rPr>
                <w:rFonts w:ascii="Arial" w:hAnsi="Arial" w:cs="Arial"/>
                <w:sz w:val="22"/>
                <w:szCs w:val="22"/>
              </w:rPr>
            </w:pPr>
            <w:r w:rsidRPr="0041235D">
              <w:rPr>
                <w:rFonts w:ascii="Arial" w:hAnsi="Arial" w:cs="Arial"/>
                <w:sz w:val="22"/>
                <w:szCs w:val="22"/>
              </w:rPr>
              <w:t xml:space="preserve">Význam indikátoru: </w:t>
            </w:r>
          </w:p>
        </w:tc>
        <w:tc>
          <w:tcPr>
            <w:tcW w:w="6486" w:type="dxa"/>
          </w:tcPr>
          <w:p w14:paraId="10A77D04" w14:textId="720BDD8C" w:rsidR="006F0F09" w:rsidRPr="0041235D" w:rsidRDefault="00B7098A" w:rsidP="00653A6E">
            <w:pPr>
              <w:spacing w:line="276" w:lineRule="auto"/>
              <w:jc w:val="both"/>
              <w:rPr>
                <w:rFonts w:ascii="Arial" w:hAnsi="Arial" w:cs="Arial"/>
                <w:sz w:val="22"/>
                <w:szCs w:val="22"/>
              </w:rPr>
            </w:pPr>
            <w:r w:rsidRPr="00F8467D">
              <w:rPr>
                <w:rFonts w:ascii="Arial" w:hAnsi="Arial" w:cs="Arial"/>
                <w:color w:val="000000"/>
                <w:sz w:val="22"/>
                <w:szCs w:val="22"/>
              </w:rPr>
              <w:t>Vývoj početnosti a rozšíření vybraných druhů ptáků patří mezi hlavní indikátory stavu a vývoje biodiverzity</w:t>
            </w:r>
            <w:r>
              <w:rPr>
                <w:rFonts w:ascii="Arial" w:hAnsi="Arial" w:cs="Arial"/>
                <w:color w:val="000000"/>
                <w:sz w:val="22"/>
                <w:szCs w:val="22"/>
              </w:rPr>
              <w:t xml:space="preserve">. </w:t>
            </w:r>
            <w:r w:rsidR="006F0F09" w:rsidRPr="0041235D">
              <w:rPr>
                <w:rFonts w:ascii="Arial" w:eastAsia="OfficinaSanItcTCE-Book" w:hAnsi="Arial" w:cs="Arial"/>
                <w:sz w:val="22"/>
                <w:szCs w:val="22"/>
              </w:rPr>
              <w:t>Trendy vývoje ptačích populací odrážejí změny ve využívání krajiny a celkové změny v jejích ekosystémech.</w:t>
            </w:r>
          </w:p>
        </w:tc>
      </w:tr>
      <w:tr w:rsidR="006F0F09" w:rsidRPr="0041235D" w14:paraId="4F6CAF84" w14:textId="77777777" w:rsidTr="008D14FE">
        <w:tc>
          <w:tcPr>
            <w:tcW w:w="2802" w:type="dxa"/>
          </w:tcPr>
          <w:p w14:paraId="658D4357" w14:textId="77777777" w:rsidR="006F0F09" w:rsidRPr="0041235D" w:rsidRDefault="006F0F09" w:rsidP="00C51B65">
            <w:pPr>
              <w:spacing w:line="276" w:lineRule="auto"/>
              <w:rPr>
                <w:rFonts w:ascii="Arial" w:hAnsi="Arial" w:cs="Arial"/>
                <w:sz w:val="22"/>
                <w:szCs w:val="22"/>
              </w:rPr>
            </w:pPr>
            <w:r w:rsidRPr="0041235D">
              <w:rPr>
                <w:rFonts w:ascii="Arial" w:hAnsi="Arial" w:cs="Arial"/>
                <w:sz w:val="22"/>
                <w:szCs w:val="22"/>
              </w:rPr>
              <w:t xml:space="preserve">Časová řada: </w:t>
            </w:r>
          </w:p>
        </w:tc>
        <w:tc>
          <w:tcPr>
            <w:tcW w:w="6486" w:type="dxa"/>
          </w:tcPr>
          <w:p w14:paraId="775D3FFC" w14:textId="77777777" w:rsidR="006F0F09" w:rsidRPr="0041235D" w:rsidRDefault="006F0F09" w:rsidP="00653A6E">
            <w:pPr>
              <w:spacing w:line="276" w:lineRule="auto"/>
              <w:jc w:val="both"/>
              <w:rPr>
                <w:rFonts w:ascii="Arial" w:hAnsi="Arial" w:cs="Arial"/>
                <w:sz w:val="22"/>
                <w:szCs w:val="22"/>
              </w:rPr>
            </w:pPr>
            <w:r w:rsidRPr="0041235D">
              <w:rPr>
                <w:rFonts w:ascii="Arial" w:hAnsi="Arial" w:cs="Arial"/>
                <w:sz w:val="22"/>
                <w:szCs w:val="22"/>
              </w:rPr>
              <w:t>Od roku 1982</w:t>
            </w:r>
          </w:p>
        </w:tc>
      </w:tr>
      <w:tr w:rsidR="006F0F09" w:rsidRPr="0041235D" w14:paraId="37B32513" w14:textId="77777777" w:rsidTr="008D14FE">
        <w:tc>
          <w:tcPr>
            <w:tcW w:w="2802" w:type="dxa"/>
          </w:tcPr>
          <w:p w14:paraId="1796364B" w14:textId="77777777" w:rsidR="006F0F09" w:rsidRPr="0041235D" w:rsidRDefault="006F0F09" w:rsidP="00C51B65">
            <w:pPr>
              <w:spacing w:line="276" w:lineRule="auto"/>
              <w:rPr>
                <w:rFonts w:ascii="Arial" w:hAnsi="Arial" w:cs="Arial"/>
                <w:sz w:val="22"/>
                <w:szCs w:val="22"/>
              </w:rPr>
            </w:pPr>
            <w:r w:rsidRPr="0041235D">
              <w:rPr>
                <w:rFonts w:ascii="Arial" w:hAnsi="Arial" w:cs="Arial"/>
                <w:sz w:val="22"/>
                <w:szCs w:val="22"/>
              </w:rPr>
              <w:t xml:space="preserve">Frekvence výstupu: </w:t>
            </w:r>
          </w:p>
        </w:tc>
        <w:tc>
          <w:tcPr>
            <w:tcW w:w="6486" w:type="dxa"/>
          </w:tcPr>
          <w:p w14:paraId="78AD9ED4" w14:textId="77777777" w:rsidR="006F0F09" w:rsidRPr="0041235D" w:rsidRDefault="0072049B" w:rsidP="00653A6E">
            <w:pPr>
              <w:spacing w:line="276" w:lineRule="auto"/>
              <w:jc w:val="both"/>
              <w:rPr>
                <w:rFonts w:ascii="Arial" w:hAnsi="Arial" w:cs="Arial"/>
                <w:sz w:val="22"/>
                <w:szCs w:val="22"/>
              </w:rPr>
            </w:pPr>
            <w:r>
              <w:rPr>
                <w:rFonts w:ascii="Arial" w:hAnsi="Arial" w:cs="Arial"/>
                <w:sz w:val="22"/>
                <w:szCs w:val="22"/>
              </w:rPr>
              <w:t>Ročně</w:t>
            </w:r>
          </w:p>
        </w:tc>
      </w:tr>
      <w:tr w:rsidR="006F0F09" w:rsidRPr="0041235D" w14:paraId="056D8CF6" w14:textId="77777777" w:rsidTr="008D14FE">
        <w:trPr>
          <w:trHeight w:val="70"/>
        </w:trPr>
        <w:tc>
          <w:tcPr>
            <w:tcW w:w="2802" w:type="dxa"/>
          </w:tcPr>
          <w:p w14:paraId="6EA21FB1" w14:textId="77777777" w:rsidR="006F0F09" w:rsidRPr="0041235D" w:rsidRDefault="006F0F09" w:rsidP="00C51B65">
            <w:pPr>
              <w:spacing w:line="276" w:lineRule="auto"/>
              <w:rPr>
                <w:rFonts w:ascii="Arial" w:hAnsi="Arial" w:cs="Arial"/>
                <w:sz w:val="22"/>
                <w:szCs w:val="22"/>
              </w:rPr>
            </w:pPr>
            <w:r w:rsidRPr="0041235D">
              <w:rPr>
                <w:rFonts w:ascii="Arial" w:hAnsi="Arial" w:cs="Arial"/>
                <w:sz w:val="22"/>
                <w:szCs w:val="22"/>
              </w:rPr>
              <w:t xml:space="preserve">Členění indikátoru: </w:t>
            </w:r>
          </w:p>
        </w:tc>
        <w:tc>
          <w:tcPr>
            <w:tcW w:w="6486" w:type="dxa"/>
          </w:tcPr>
          <w:p w14:paraId="5CA6C8AD" w14:textId="77777777" w:rsidR="006F0F09" w:rsidRPr="0041235D" w:rsidRDefault="0072049B" w:rsidP="00653A6E">
            <w:pPr>
              <w:spacing w:line="276" w:lineRule="auto"/>
              <w:jc w:val="both"/>
              <w:rPr>
                <w:rFonts w:ascii="Arial" w:hAnsi="Arial" w:cs="Arial"/>
                <w:sz w:val="22"/>
                <w:szCs w:val="22"/>
              </w:rPr>
            </w:pPr>
            <w:r>
              <w:rPr>
                <w:rFonts w:ascii="Arial" w:hAnsi="Arial" w:cs="Arial"/>
                <w:sz w:val="22"/>
                <w:szCs w:val="22"/>
              </w:rPr>
              <w:t>-</w:t>
            </w:r>
          </w:p>
        </w:tc>
      </w:tr>
      <w:tr w:rsidR="006F0F09" w:rsidRPr="0041235D" w14:paraId="1F4876F5" w14:textId="77777777" w:rsidTr="008D14FE">
        <w:trPr>
          <w:trHeight w:val="70"/>
        </w:trPr>
        <w:tc>
          <w:tcPr>
            <w:tcW w:w="2802" w:type="dxa"/>
          </w:tcPr>
          <w:p w14:paraId="56C5735C" w14:textId="77777777" w:rsidR="006F0F09" w:rsidRPr="0041235D" w:rsidRDefault="006F0F09" w:rsidP="00C51B65">
            <w:pPr>
              <w:spacing w:line="276" w:lineRule="auto"/>
              <w:rPr>
                <w:rFonts w:ascii="Arial" w:hAnsi="Arial" w:cs="Arial"/>
                <w:sz w:val="22"/>
                <w:szCs w:val="22"/>
              </w:rPr>
            </w:pPr>
            <w:r w:rsidRPr="0041235D">
              <w:rPr>
                <w:rFonts w:ascii="Arial" w:hAnsi="Arial" w:cs="Arial"/>
                <w:sz w:val="22"/>
                <w:szCs w:val="22"/>
              </w:rPr>
              <w:t>Mezinárodní srovnání:</w:t>
            </w:r>
          </w:p>
        </w:tc>
        <w:tc>
          <w:tcPr>
            <w:tcW w:w="6486" w:type="dxa"/>
          </w:tcPr>
          <w:p w14:paraId="6FE780E3" w14:textId="4C3F4705" w:rsidR="006F0F09" w:rsidRPr="0041235D" w:rsidRDefault="00FB51F3" w:rsidP="00653A6E">
            <w:pPr>
              <w:spacing w:line="276" w:lineRule="auto"/>
              <w:jc w:val="both"/>
              <w:rPr>
                <w:rFonts w:ascii="Arial" w:hAnsi="Arial" w:cs="Arial"/>
                <w:sz w:val="22"/>
                <w:szCs w:val="22"/>
              </w:rPr>
            </w:pPr>
            <w:proofErr w:type="spellStart"/>
            <w:r>
              <w:rPr>
                <w:rFonts w:ascii="Arial" w:hAnsi="Arial" w:cs="Arial"/>
                <w:sz w:val="22"/>
                <w:szCs w:val="22"/>
              </w:rPr>
              <w:t>European</w:t>
            </w:r>
            <w:proofErr w:type="spellEnd"/>
            <w:r>
              <w:rPr>
                <w:rFonts w:ascii="Arial" w:hAnsi="Arial" w:cs="Arial"/>
                <w:sz w:val="22"/>
                <w:szCs w:val="22"/>
              </w:rPr>
              <w:t xml:space="preserve"> </w:t>
            </w:r>
            <w:proofErr w:type="spellStart"/>
            <w:r>
              <w:rPr>
                <w:rFonts w:ascii="Arial" w:hAnsi="Arial" w:cs="Arial"/>
                <w:sz w:val="22"/>
                <w:szCs w:val="22"/>
              </w:rPr>
              <w:t>Bird</w:t>
            </w:r>
            <w:proofErr w:type="spellEnd"/>
            <w:r>
              <w:rPr>
                <w:rFonts w:ascii="Arial" w:hAnsi="Arial" w:cs="Arial"/>
                <w:sz w:val="22"/>
                <w:szCs w:val="22"/>
              </w:rPr>
              <w:t xml:space="preserve"> Census </w:t>
            </w:r>
            <w:proofErr w:type="spellStart"/>
            <w:r>
              <w:rPr>
                <w:rFonts w:ascii="Arial" w:hAnsi="Arial" w:cs="Arial"/>
                <w:sz w:val="22"/>
                <w:szCs w:val="22"/>
              </w:rPr>
              <w:t>Council</w:t>
            </w:r>
            <w:proofErr w:type="spellEnd"/>
            <w:r w:rsidR="00B7098A">
              <w:rPr>
                <w:rFonts w:ascii="Arial" w:hAnsi="Arial" w:cs="Arial"/>
                <w:sz w:val="22"/>
                <w:szCs w:val="22"/>
              </w:rPr>
              <w:t xml:space="preserve">, </w:t>
            </w:r>
            <w:proofErr w:type="spellStart"/>
            <w:r w:rsidR="00B7098A">
              <w:rPr>
                <w:rFonts w:ascii="Arial" w:hAnsi="Arial" w:cs="Arial"/>
                <w:sz w:val="22"/>
                <w:szCs w:val="22"/>
              </w:rPr>
              <w:t>Eurostat</w:t>
            </w:r>
            <w:proofErr w:type="spellEnd"/>
          </w:p>
        </w:tc>
      </w:tr>
    </w:tbl>
    <w:p w14:paraId="3A085D76" w14:textId="77777777" w:rsidR="006F0F09" w:rsidRDefault="006F0F09" w:rsidP="00C51B65">
      <w:pPr>
        <w:spacing w:line="276" w:lineRule="auto"/>
        <w:ind w:left="1843"/>
        <w:contextualSpacing/>
        <w:rPr>
          <w:rFonts w:ascii="Arial" w:eastAsia="Calibri" w:hAnsi="Arial" w:cs="Arial"/>
          <w:noProof/>
          <w:sz w:val="22"/>
          <w:szCs w:val="22"/>
          <w:lang w:eastAsia="en-US"/>
        </w:rPr>
      </w:pPr>
    </w:p>
    <w:tbl>
      <w:tblPr>
        <w:tblStyle w:val="Mkatabulky"/>
        <w:tblW w:w="0" w:type="auto"/>
        <w:tblLook w:val="04A0" w:firstRow="1" w:lastRow="0" w:firstColumn="1" w:lastColumn="0" w:noHBand="0" w:noVBand="1"/>
      </w:tblPr>
      <w:tblGrid>
        <w:gridCol w:w="2802"/>
        <w:gridCol w:w="6486"/>
      </w:tblGrid>
      <w:tr w:rsidR="004E5E68" w14:paraId="7DD36E40" w14:textId="77777777" w:rsidTr="00246D73">
        <w:tc>
          <w:tcPr>
            <w:tcW w:w="2802" w:type="dxa"/>
            <w:hideMark/>
          </w:tcPr>
          <w:p w14:paraId="2EFBF4A5" w14:textId="77777777" w:rsidR="004E5E68" w:rsidRDefault="004E5E68" w:rsidP="00246D73">
            <w:pPr>
              <w:spacing w:line="276" w:lineRule="auto"/>
              <w:rPr>
                <w:rFonts w:ascii="Arial" w:hAnsi="Arial" w:cs="Arial"/>
                <w:sz w:val="22"/>
                <w:szCs w:val="22"/>
                <w:lang w:eastAsia="en-US"/>
              </w:rPr>
            </w:pPr>
            <w:r>
              <w:rPr>
                <w:rFonts w:ascii="Arial" w:hAnsi="Arial" w:cs="Arial"/>
                <w:sz w:val="22"/>
                <w:szCs w:val="22"/>
                <w:lang w:eastAsia="en-US"/>
              </w:rPr>
              <w:t xml:space="preserve">Název a označení indikátoru: </w:t>
            </w:r>
          </w:p>
        </w:tc>
        <w:tc>
          <w:tcPr>
            <w:tcW w:w="6486" w:type="dxa"/>
            <w:hideMark/>
          </w:tcPr>
          <w:p w14:paraId="12E5329D" w14:textId="210D9CF5" w:rsidR="004E5E68" w:rsidRDefault="004E5E68" w:rsidP="00246D73">
            <w:pPr>
              <w:spacing w:line="276" w:lineRule="auto"/>
              <w:rPr>
                <w:rFonts w:ascii="Arial" w:eastAsia="Arial" w:hAnsi="Arial" w:cs="Arial"/>
                <w:b/>
                <w:sz w:val="22"/>
                <w:szCs w:val="22"/>
                <w:lang w:eastAsia="en-US"/>
              </w:rPr>
            </w:pPr>
            <w:r>
              <w:rPr>
                <w:rFonts w:ascii="Arial" w:eastAsia="Calibri" w:hAnsi="Arial" w:cs="Arial"/>
                <w:b/>
                <w:noProof/>
                <w:sz w:val="22"/>
                <w:szCs w:val="22"/>
                <w:lang w:eastAsia="en-US"/>
              </w:rPr>
              <w:t>13.1.3 Stav evropsky významných druhů živočichů a rostlin</w:t>
            </w:r>
          </w:p>
        </w:tc>
      </w:tr>
      <w:tr w:rsidR="004E5E68" w14:paraId="1A8E4485" w14:textId="77777777" w:rsidTr="00246D73">
        <w:tc>
          <w:tcPr>
            <w:tcW w:w="2802" w:type="dxa"/>
            <w:hideMark/>
          </w:tcPr>
          <w:p w14:paraId="33397673" w14:textId="77777777" w:rsidR="004E5E68" w:rsidRDefault="004E5E68" w:rsidP="00246D73">
            <w:pPr>
              <w:spacing w:line="276" w:lineRule="auto"/>
              <w:rPr>
                <w:rFonts w:ascii="Arial" w:hAnsi="Arial" w:cs="Arial"/>
                <w:sz w:val="22"/>
                <w:szCs w:val="22"/>
                <w:lang w:eastAsia="en-US"/>
              </w:rPr>
            </w:pPr>
            <w:r>
              <w:rPr>
                <w:rFonts w:ascii="Arial" w:hAnsi="Arial" w:cs="Arial"/>
                <w:sz w:val="22"/>
                <w:szCs w:val="22"/>
                <w:lang w:eastAsia="en-US"/>
              </w:rPr>
              <w:t xml:space="preserve">Stručná definice: </w:t>
            </w:r>
          </w:p>
        </w:tc>
        <w:tc>
          <w:tcPr>
            <w:tcW w:w="6486" w:type="dxa"/>
            <w:hideMark/>
          </w:tcPr>
          <w:p w14:paraId="3E81F484" w14:textId="77777777" w:rsidR="004E5E68" w:rsidRDefault="004E5E68" w:rsidP="00653A6E">
            <w:pPr>
              <w:spacing w:line="276" w:lineRule="auto"/>
              <w:jc w:val="both"/>
              <w:rPr>
                <w:rFonts w:ascii="Arial" w:hAnsi="Arial" w:cs="Arial"/>
                <w:sz w:val="22"/>
                <w:szCs w:val="22"/>
                <w:lang w:eastAsia="en-US"/>
              </w:rPr>
            </w:pPr>
            <w:r>
              <w:rPr>
                <w:rFonts w:ascii="Arial" w:hAnsi="Arial" w:cs="Arial"/>
                <w:sz w:val="22"/>
                <w:szCs w:val="22"/>
                <w:lang w:eastAsia="en-US"/>
              </w:rPr>
              <w:t xml:space="preserve">Indikátor je výsledkem hodnocení stavu </w:t>
            </w:r>
            <w:r>
              <w:rPr>
                <w:rFonts w:ascii="Arial" w:eastAsia="Calibri" w:hAnsi="Arial" w:cs="Arial"/>
                <w:noProof/>
                <w:sz w:val="22"/>
                <w:szCs w:val="22"/>
                <w:lang w:eastAsia="en-US"/>
              </w:rPr>
              <w:t>evropsky významných druhů živočichů a rostlin na škále příznivý stav – nedostatečný stav – nepříznivý stav – neznámý stav. Vyjadřuje podíl druhů nacházejících se v každém ze čtyř výše uvedených stavů.</w:t>
            </w:r>
          </w:p>
        </w:tc>
      </w:tr>
      <w:tr w:rsidR="004E5E68" w14:paraId="53BADD1E" w14:textId="77777777" w:rsidTr="00246D73">
        <w:tc>
          <w:tcPr>
            <w:tcW w:w="2802" w:type="dxa"/>
            <w:hideMark/>
          </w:tcPr>
          <w:p w14:paraId="5EE7709D" w14:textId="77777777" w:rsidR="004E5E68" w:rsidRDefault="004E5E68" w:rsidP="00246D73">
            <w:pPr>
              <w:spacing w:line="276" w:lineRule="auto"/>
              <w:rPr>
                <w:rFonts w:ascii="Arial" w:hAnsi="Arial" w:cs="Arial"/>
                <w:sz w:val="22"/>
                <w:szCs w:val="22"/>
                <w:lang w:eastAsia="en-US"/>
              </w:rPr>
            </w:pPr>
            <w:r>
              <w:rPr>
                <w:rFonts w:ascii="Arial" w:hAnsi="Arial" w:cs="Arial"/>
                <w:sz w:val="22"/>
                <w:szCs w:val="22"/>
                <w:lang w:eastAsia="en-US"/>
              </w:rPr>
              <w:t>Jednotka:</w:t>
            </w:r>
          </w:p>
        </w:tc>
        <w:tc>
          <w:tcPr>
            <w:tcW w:w="6486" w:type="dxa"/>
            <w:hideMark/>
          </w:tcPr>
          <w:p w14:paraId="6FD8301E" w14:textId="77777777" w:rsidR="004E5E68" w:rsidRDefault="004E5E68" w:rsidP="00653A6E">
            <w:pPr>
              <w:spacing w:line="276" w:lineRule="auto"/>
              <w:jc w:val="both"/>
              <w:rPr>
                <w:rFonts w:ascii="Arial" w:hAnsi="Arial" w:cs="Arial"/>
                <w:sz w:val="22"/>
                <w:szCs w:val="22"/>
                <w:lang w:eastAsia="en-US"/>
              </w:rPr>
            </w:pPr>
            <w:r>
              <w:rPr>
                <w:rFonts w:ascii="Arial" w:hAnsi="Arial" w:cs="Arial"/>
                <w:sz w:val="22"/>
                <w:szCs w:val="22"/>
                <w:lang w:eastAsia="en-US"/>
              </w:rPr>
              <w:t xml:space="preserve">Podíl (v %) </w:t>
            </w:r>
          </w:p>
        </w:tc>
      </w:tr>
      <w:tr w:rsidR="004E5E68" w14:paraId="24C97056" w14:textId="77777777" w:rsidTr="00246D73">
        <w:tc>
          <w:tcPr>
            <w:tcW w:w="2802" w:type="dxa"/>
            <w:hideMark/>
          </w:tcPr>
          <w:p w14:paraId="42C1A93B" w14:textId="77777777" w:rsidR="004E5E68" w:rsidRDefault="004E5E68" w:rsidP="00246D73">
            <w:pPr>
              <w:spacing w:line="276" w:lineRule="auto"/>
              <w:rPr>
                <w:rFonts w:ascii="Arial" w:hAnsi="Arial" w:cs="Arial"/>
                <w:sz w:val="22"/>
                <w:szCs w:val="22"/>
                <w:lang w:eastAsia="en-US"/>
              </w:rPr>
            </w:pPr>
            <w:r>
              <w:rPr>
                <w:rFonts w:ascii="Arial" w:hAnsi="Arial" w:cs="Arial"/>
                <w:sz w:val="22"/>
                <w:szCs w:val="22"/>
                <w:lang w:eastAsia="en-US"/>
              </w:rPr>
              <w:t xml:space="preserve">Gestor: </w:t>
            </w:r>
          </w:p>
        </w:tc>
        <w:tc>
          <w:tcPr>
            <w:tcW w:w="6486" w:type="dxa"/>
            <w:hideMark/>
          </w:tcPr>
          <w:p w14:paraId="1A861467" w14:textId="77777777" w:rsidR="004E5E68" w:rsidRDefault="004E5E68" w:rsidP="00653A6E">
            <w:pPr>
              <w:spacing w:line="276" w:lineRule="auto"/>
              <w:jc w:val="both"/>
              <w:rPr>
                <w:rFonts w:ascii="Arial" w:hAnsi="Arial" w:cs="Arial"/>
                <w:sz w:val="22"/>
                <w:szCs w:val="22"/>
                <w:lang w:eastAsia="en-US"/>
              </w:rPr>
            </w:pPr>
            <w:r>
              <w:rPr>
                <w:rFonts w:ascii="Arial" w:eastAsia="Calibri" w:hAnsi="Arial" w:cs="Arial"/>
                <w:noProof/>
                <w:sz w:val="22"/>
                <w:szCs w:val="22"/>
                <w:lang w:eastAsia="en-US"/>
              </w:rPr>
              <w:t>Ministerstvo životního prostředí</w:t>
            </w:r>
          </w:p>
        </w:tc>
      </w:tr>
      <w:tr w:rsidR="004E5E68" w14:paraId="10CD9FA0" w14:textId="77777777" w:rsidTr="00246D73">
        <w:tc>
          <w:tcPr>
            <w:tcW w:w="2802" w:type="dxa"/>
            <w:hideMark/>
          </w:tcPr>
          <w:p w14:paraId="5EE76091" w14:textId="77777777" w:rsidR="004E5E68" w:rsidRDefault="004E5E68" w:rsidP="00246D73">
            <w:pPr>
              <w:spacing w:line="276" w:lineRule="auto"/>
              <w:rPr>
                <w:rFonts w:ascii="Arial" w:hAnsi="Arial" w:cs="Arial"/>
                <w:sz w:val="22"/>
                <w:szCs w:val="22"/>
                <w:lang w:eastAsia="en-US"/>
              </w:rPr>
            </w:pPr>
            <w:r>
              <w:rPr>
                <w:rFonts w:ascii="Arial" w:hAnsi="Arial" w:cs="Arial"/>
                <w:sz w:val="22"/>
                <w:szCs w:val="22"/>
                <w:lang w:eastAsia="en-US"/>
              </w:rPr>
              <w:t xml:space="preserve">Význam indikátoru: </w:t>
            </w:r>
          </w:p>
        </w:tc>
        <w:tc>
          <w:tcPr>
            <w:tcW w:w="6486" w:type="dxa"/>
            <w:hideMark/>
          </w:tcPr>
          <w:p w14:paraId="6D7085E5" w14:textId="77777777" w:rsidR="004E5E68" w:rsidRDefault="004E5E68" w:rsidP="00653A6E">
            <w:pPr>
              <w:autoSpaceDE w:val="0"/>
              <w:autoSpaceDN w:val="0"/>
              <w:adjustRightInd w:val="0"/>
              <w:spacing w:line="276" w:lineRule="auto"/>
              <w:jc w:val="both"/>
              <w:rPr>
                <w:rFonts w:ascii="Arial" w:hAnsi="Arial" w:cs="Arial"/>
                <w:sz w:val="22"/>
                <w:szCs w:val="22"/>
                <w:lang w:eastAsia="en-US"/>
              </w:rPr>
            </w:pPr>
            <w:r>
              <w:rPr>
                <w:rFonts w:ascii="Arial" w:eastAsia="OfficinaSanItcTCE-Book" w:hAnsi="Arial" w:cs="Arial"/>
                <w:sz w:val="22"/>
                <w:szCs w:val="22"/>
                <w:lang w:eastAsia="en-US"/>
              </w:rPr>
              <w:t xml:space="preserve">Přestože evropsky významné druhy rostlin a živočichů tvoří pouze malou část z celkového počtu biologických druhů vyskytujících se na území ČR, jedná se na druhé straně o nejlépe zmapovanou skupinu, umožňující navíc mezinárodní srovnání. </w:t>
            </w:r>
            <w:r>
              <w:rPr>
                <w:rFonts w:ascii="Arial" w:hAnsi="Arial" w:cs="Arial"/>
                <w:sz w:val="22"/>
                <w:szCs w:val="22"/>
              </w:rPr>
              <w:t>Ho</w:t>
            </w:r>
            <w:r w:rsidRPr="00DF6336">
              <w:rPr>
                <w:rFonts w:ascii="Arial" w:hAnsi="Arial" w:cs="Arial"/>
                <w:sz w:val="22"/>
                <w:szCs w:val="22"/>
              </w:rPr>
              <w:t xml:space="preserve">dnota </w:t>
            </w:r>
            <w:r>
              <w:rPr>
                <w:rFonts w:ascii="Arial" w:hAnsi="Arial" w:cs="Arial"/>
                <w:sz w:val="22"/>
                <w:szCs w:val="22"/>
              </w:rPr>
              <w:t xml:space="preserve">indikátoru </w:t>
            </w:r>
            <w:r w:rsidRPr="00DF6336">
              <w:rPr>
                <w:rFonts w:ascii="Arial" w:hAnsi="Arial" w:cs="Arial"/>
                <w:sz w:val="22"/>
                <w:szCs w:val="22"/>
              </w:rPr>
              <w:t>poukazuje na změny populací, rozsah areálu a změny v</w:t>
            </w:r>
            <w:r>
              <w:rPr>
                <w:rFonts w:ascii="Arial" w:hAnsi="Arial" w:cs="Arial"/>
                <w:sz w:val="22"/>
                <w:szCs w:val="22"/>
              </w:rPr>
              <w:t> </w:t>
            </w:r>
            <w:r w:rsidRPr="00DF6336">
              <w:rPr>
                <w:rFonts w:ascii="Arial" w:hAnsi="Arial" w:cs="Arial"/>
                <w:sz w:val="22"/>
                <w:szCs w:val="22"/>
              </w:rPr>
              <w:t>biotopech</w:t>
            </w:r>
            <w:r>
              <w:rPr>
                <w:rFonts w:ascii="Arial" w:hAnsi="Arial" w:cs="Arial"/>
                <w:sz w:val="22"/>
                <w:szCs w:val="22"/>
              </w:rPr>
              <w:t>.</w:t>
            </w:r>
          </w:p>
        </w:tc>
      </w:tr>
      <w:tr w:rsidR="004E5E68" w14:paraId="48D48BDA" w14:textId="77777777" w:rsidTr="00246D73">
        <w:tc>
          <w:tcPr>
            <w:tcW w:w="2802" w:type="dxa"/>
            <w:hideMark/>
          </w:tcPr>
          <w:p w14:paraId="3B71734C" w14:textId="77777777" w:rsidR="004E5E68" w:rsidRDefault="004E5E68" w:rsidP="00246D73">
            <w:pPr>
              <w:spacing w:line="276" w:lineRule="auto"/>
              <w:rPr>
                <w:rFonts w:ascii="Arial" w:hAnsi="Arial" w:cs="Arial"/>
                <w:sz w:val="22"/>
                <w:szCs w:val="22"/>
                <w:lang w:eastAsia="en-US"/>
              </w:rPr>
            </w:pPr>
            <w:r>
              <w:rPr>
                <w:rFonts w:ascii="Arial" w:hAnsi="Arial" w:cs="Arial"/>
                <w:sz w:val="22"/>
                <w:szCs w:val="22"/>
                <w:lang w:eastAsia="en-US"/>
              </w:rPr>
              <w:t xml:space="preserve">Časová řada: </w:t>
            </w:r>
          </w:p>
        </w:tc>
        <w:tc>
          <w:tcPr>
            <w:tcW w:w="6486" w:type="dxa"/>
            <w:hideMark/>
          </w:tcPr>
          <w:p w14:paraId="0A6110F7" w14:textId="77777777" w:rsidR="004E5E68" w:rsidRDefault="004E5E68" w:rsidP="00653A6E">
            <w:pPr>
              <w:spacing w:line="276" w:lineRule="auto"/>
              <w:jc w:val="both"/>
              <w:rPr>
                <w:rFonts w:ascii="Arial" w:hAnsi="Arial" w:cs="Arial"/>
                <w:sz w:val="22"/>
                <w:szCs w:val="22"/>
                <w:lang w:eastAsia="en-US"/>
              </w:rPr>
            </w:pPr>
            <w:r>
              <w:rPr>
                <w:rFonts w:ascii="Arial" w:hAnsi="Arial" w:cs="Arial"/>
                <w:sz w:val="22"/>
                <w:szCs w:val="22"/>
                <w:lang w:eastAsia="en-US"/>
              </w:rPr>
              <w:t>2006, 2012</w:t>
            </w:r>
          </w:p>
        </w:tc>
      </w:tr>
      <w:tr w:rsidR="004E5E68" w14:paraId="051FB436" w14:textId="77777777" w:rsidTr="00246D73">
        <w:tc>
          <w:tcPr>
            <w:tcW w:w="2802" w:type="dxa"/>
            <w:hideMark/>
          </w:tcPr>
          <w:p w14:paraId="1D0605E9" w14:textId="77777777" w:rsidR="004E5E68" w:rsidRDefault="004E5E68" w:rsidP="00246D73">
            <w:pPr>
              <w:spacing w:line="276" w:lineRule="auto"/>
              <w:rPr>
                <w:rFonts w:ascii="Arial" w:hAnsi="Arial" w:cs="Arial"/>
                <w:sz w:val="22"/>
                <w:szCs w:val="22"/>
                <w:lang w:eastAsia="en-US"/>
              </w:rPr>
            </w:pPr>
            <w:r>
              <w:rPr>
                <w:rFonts w:ascii="Arial" w:hAnsi="Arial" w:cs="Arial"/>
                <w:sz w:val="22"/>
                <w:szCs w:val="22"/>
                <w:lang w:eastAsia="en-US"/>
              </w:rPr>
              <w:t xml:space="preserve">Frekvence výstupu: </w:t>
            </w:r>
          </w:p>
        </w:tc>
        <w:tc>
          <w:tcPr>
            <w:tcW w:w="6486" w:type="dxa"/>
            <w:hideMark/>
          </w:tcPr>
          <w:p w14:paraId="0B1D7BB6" w14:textId="77777777" w:rsidR="004E5E68" w:rsidRDefault="004E5E68" w:rsidP="00653A6E">
            <w:pPr>
              <w:spacing w:line="276" w:lineRule="auto"/>
              <w:jc w:val="both"/>
              <w:rPr>
                <w:rFonts w:ascii="Arial" w:hAnsi="Arial" w:cs="Arial"/>
                <w:sz w:val="22"/>
                <w:szCs w:val="22"/>
                <w:lang w:eastAsia="en-US"/>
              </w:rPr>
            </w:pPr>
            <w:r>
              <w:rPr>
                <w:rFonts w:ascii="Arial" w:hAnsi="Arial" w:cs="Arial"/>
                <w:sz w:val="22"/>
                <w:szCs w:val="22"/>
                <w:lang w:eastAsia="en-US"/>
              </w:rPr>
              <w:t>Jednou za 6 let</w:t>
            </w:r>
          </w:p>
        </w:tc>
      </w:tr>
      <w:tr w:rsidR="004E5E68" w14:paraId="3FFED5FF" w14:textId="77777777" w:rsidTr="00246D73">
        <w:trPr>
          <w:trHeight w:val="70"/>
        </w:trPr>
        <w:tc>
          <w:tcPr>
            <w:tcW w:w="2802" w:type="dxa"/>
            <w:hideMark/>
          </w:tcPr>
          <w:p w14:paraId="2C512CD9" w14:textId="77777777" w:rsidR="004E5E68" w:rsidRDefault="004E5E68" w:rsidP="00246D73">
            <w:pPr>
              <w:spacing w:line="276" w:lineRule="auto"/>
              <w:rPr>
                <w:rFonts w:ascii="Arial" w:hAnsi="Arial" w:cs="Arial"/>
                <w:sz w:val="22"/>
                <w:szCs w:val="22"/>
                <w:lang w:eastAsia="en-US"/>
              </w:rPr>
            </w:pPr>
            <w:r>
              <w:rPr>
                <w:rFonts w:ascii="Arial" w:hAnsi="Arial" w:cs="Arial"/>
                <w:sz w:val="22"/>
                <w:szCs w:val="22"/>
                <w:lang w:eastAsia="en-US"/>
              </w:rPr>
              <w:t xml:space="preserve">Členění indikátoru: </w:t>
            </w:r>
          </w:p>
        </w:tc>
        <w:tc>
          <w:tcPr>
            <w:tcW w:w="6486" w:type="dxa"/>
            <w:hideMark/>
          </w:tcPr>
          <w:p w14:paraId="41324145" w14:textId="77777777" w:rsidR="004E5E68" w:rsidRDefault="004E5E68" w:rsidP="00653A6E">
            <w:pPr>
              <w:spacing w:line="276" w:lineRule="auto"/>
              <w:jc w:val="both"/>
              <w:rPr>
                <w:rFonts w:ascii="Arial" w:hAnsi="Arial" w:cs="Arial"/>
                <w:sz w:val="22"/>
                <w:szCs w:val="22"/>
                <w:lang w:eastAsia="en-US"/>
              </w:rPr>
            </w:pPr>
            <w:r>
              <w:rPr>
                <w:rFonts w:ascii="Arial" w:hAnsi="Arial" w:cs="Arial"/>
                <w:sz w:val="22"/>
                <w:szCs w:val="22"/>
              </w:rPr>
              <w:t>Druhy rostlin a živočichů dle taxonomických skupin</w:t>
            </w:r>
          </w:p>
        </w:tc>
      </w:tr>
      <w:tr w:rsidR="004E5E68" w14:paraId="216E5708" w14:textId="77777777" w:rsidTr="00246D73">
        <w:trPr>
          <w:trHeight w:val="70"/>
        </w:trPr>
        <w:tc>
          <w:tcPr>
            <w:tcW w:w="2802" w:type="dxa"/>
            <w:hideMark/>
          </w:tcPr>
          <w:p w14:paraId="2E6480FD" w14:textId="77777777" w:rsidR="004E5E68" w:rsidRDefault="004E5E68" w:rsidP="00246D73">
            <w:pPr>
              <w:spacing w:line="276" w:lineRule="auto"/>
              <w:rPr>
                <w:rFonts w:ascii="Arial" w:hAnsi="Arial" w:cs="Arial"/>
                <w:sz w:val="22"/>
                <w:szCs w:val="22"/>
                <w:lang w:eastAsia="en-US"/>
              </w:rPr>
            </w:pPr>
            <w:r>
              <w:rPr>
                <w:rFonts w:ascii="Arial" w:hAnsi="Arial" w:cs="Arial"/>
                <w:sz w:val="22"/>
                <w:szCs w:val="22"/>
                <w:lang w:eastAsia="en-US"/>
              </w:rPr>
              <w:lastRenderedPageBreak/>
              <w:t>Mezinárodní srovnání:</w:t>
            </w:r>
          </w:p>
        </w:tc>
        <w:tc>
          <w:tcPr>
            <w:tcW w:w="6486" w:type="dxa"/>
            <w:hideMark/>
          </w:tcPr>
          <w:p w14:paraId="60B52C38" w14:textId="77777777" w:rsidR="004E5E68" w:rsidRDefault="004E5E68" w:rsidP="00653A6E">
            <w:pPr>
              <w:spacing w:line="276" w:lineRule="auto"/>
              <w:jc w:val="both"/>
              <w:rPr>
                <w:rFonts w:ascii="Arial" w:hAnsi="Arial" w:cs="Arial"/>
                <w:sz w:val="22"/>
                <w:szCs w:val="22"/>
                <w:lang w:eastAsia="en-US"/>
              </w:rPr>
            </w:pPr>
            <w:r>
              <w:rPr>
                <w:rFonts w:ascii="Arial" w:hAnsi="Arial" w:cs="Arial"/>
                <w:sz w:val="22"/>
                <w:szCs w:val="22"/>
                <w:lang w:eastAsia="en-US"/>
              </w:rPr>
              <w:t>Evropská agentura pro životní prostředí</w:t>
            </w:r>
          </w:p>
        </w:tc>
      </w:tr>
    </w:tbl>
    <w:p w14:paraId="5594227D" w14:textId="77777777" w:rsidR="004E5E68" w:rsidRDefault="004E5E68" w:rsidP="00C51B65">
      <w:pPr>
        <w:spacing w:line="276" w:lineRule="auto"/>
        <w:ind w:left="1843"/>
        <w:contextualSpacing/>
        <w:rPr>
          <w:rFonts w:ascii="Arial" w:eastAsia="Calibri" w:hAnsi="Arial" w:cs="Arial"/>
          <w:noProof/>
          <w:sz w:val="22"/>
          <w:szCs w:val="22"/>
          <w:lang w:eastAsia="en-US"/>
        </w:rPr>
      </w:pPr>
    </w:p>
    <w:tbl>
      <w:tblPr>
        <w:tblStyle w:val="Mkatabulky"/>
        <w:tblpPr w:leftFromText="141" w:rightFromText="141" w:vertAnchor="text" w:horzAnchor="margin" w:tblpY="-83"/>
        <w:tblW w:w="0" w:type="auto"/>
        <w:tblLook w:val="04A0" w:firstRow="1" w:lastRow="0" w:firstColumn="1" w:lastColumn="0" w:noHBand="0" w:noVBand="1"/>
      </w:tblPr>
      <w:tblGrid>
        <w:gridCol w:w="2802"/>
        <w:gridCol w:w="6486"/>
      </w:tblGrid>
      <w:tr w:rsidR="00AA08CC" w:rsidRPr="00CA79AD" w14:paraId="287D76BD" w14:textId="77777777" w:rsidTr="00246D73">
        <w:tc>
          <w:tcPr>
            <w:tcW w:w="2802" w:type="dxa"/>
          </w:tcPr>
          <w:p w14:paraId="0F44C947" w14:textId="77777777" w:rsidR="00AA08CC" w:rsidRPr="00CA79AD" w:rsidRDefault="00AA08CC" w:rsidP="00246D73">
            <w:pPr>
              <w:spacing w:line="276" w:lineRule="auto"/>
              <w:rPr>
                <w:rFonts w:ascii="Arial" w:hAnsi="Arial" w:cs="Arial"/>
                <w:sz w:val="22"/>
                <w:szCs w:val="22"/>
              </w:rPr>
            </w:pPr>
            <w:r w:rsidRPr="00CA79AD">
              <w:rPr>
                <w:rFonts w:ascii="Arial" w:hAnsi="Arial" w:cs="Arial"/>
                <w:sz w:val="22"/>
                <w:szCs w:val="22"/>
              </w:rPr>
              <w:t xml:space="preserve">Název a označení indikátoru: </w:t>
            </w:r>
          </w:p>
        </w:tc>
        <w:tc>
          <w:tcPr>
            <w:tcW w:w="6486" w:type="dxa"/>
          </w:tcPr>
          <w:p w14:paraId="5CEA6DA7" w14:textId="0FD411AA" w:rsidR="00AA08CC" w:rsidRPr="003D121C" w:rsidRDefault="00AA08CC" w:rsidP="00246D73">
            <w:pPr>
              <w:spacing w:line="276" w:lineRule="auto"/>
              <w:rPr>
                <w:rFonts w:ascii="Arial" w:eastAsia="Arial" w:hAnsi="Arial" w:cs="Arial"/>
                <w:b/>
                <w:color w:val="000000"/>
                <w:sz w:val="22"/>
                <w:szCs w:val="22"/>
              </w:rPr>
            </w:pPr>
            <w:r>
              <w:rPr>
                <w:rFonts w:ascii="Arial" w:eastAsia="Arial" w:hAnsi="Arial" w:cs="Arial"/>
                <w:b/>
                <w:color w:val="000000"/>
                <w:sz w:val="22"/>
                <w:szCs w:val="22"/>
              </w:rPr>
              <w:t xml:space="preserve">13.1.4. </w:t>
            </w:r>
            <w:r w:rsidRPr="003D121C">
              <w:rPr>
                <w:rFonts w:ascii="Arial" w:eastAsia="Arial" w:hAnsi="Arial" w:cs="Arial"/>
                <w:b/>
                <w:color w:val="000000"/>
                <w:sz w:val="22"/>
                <w:szCs w:val="22"/>
              </w:rPr>
              <w:t>Index červených seznamů</w:t>
            </w:r>
          </w:p>
        </w:tc>
      </w:tr>
      <w:tr w:rsidR="00AA08CC" w:rsidRPr="00CA79AD" w14:paraId="20553ED2" w14:textId="77777777" w:rsidTr="00246D73">
        <w:tc>
          <w:tcPr>
            <w:tcW w:w="2802" w:type="dxa"/>
          </w:tcPr>
          <w:p w14:paraId="7040E6AE" w14:textId="77777777" w:rsidR="00AA08CC" w:rsidRPr="00CA79AD" w:rsidRDefault="00AA08CC" w:rsidP="00246D73">
            <w:pPr>
              <w:spacing w:line="276" w:lineRule="auto"/>
              <w:rPr>
                <w:rFonts w:ascii="Arial" w:hAnsi="Arial" w:cs="Arial"/>
                <w:sz w:val="22"/>
                <w:szCs w:val="22"/>
              </w:rPr>
            </w:pPr>
            <w:r w:rsidRPr="00CA79AD">
              <w:rPr>
                <w:rFonts w:ascii="Arial" w:hAnsi="Arial" w:cs="Arial"/>
                <w:sz w:val="22"/>
                <w:szCs w:val="22"/>
              </w:rPr>
              <w:t xml:space="preserve">Stručná definice: </w:t>
            </w:r>
          </w:p>
        </w:tc>
        <w:tc>
          <w:tcPr>
            <w:tcW w:w="6486" w:type="dxa"/>
          </w:tcPr>
          <w:p w14:paraId="04DE9FFE" w14:textId="77777777" w:rsidR="00AA08CC" w:rsidRPr="003D121C" w:rsidRDefault="00AA08CC" w:rsidP="00653A6E">
            <w:pPr>
              <w:spacing w:line="276" w:lineRule="auto"/>
              <w:jc w:val="both"/>
              <w:rPr>
                <w:rFonts w:ascii="Arial" w:hAnsi="Arial" w:cs="Arial"/>
                <w:sz w:val="22"/>
                <w:szCs w:val="22"/>
              </w:rPr>
            </w:pPr>
            <w:r w:rsidRPr="003D121C">
              <w:rPr>
                <w:rFonts w:ascii="Arial" w:hAnsi="Arial" w:cs="Arial"/>
                <w:sz w:val="22"/>
                <w:szCs w:val="22"/>
              </w:rPr>
              <w:t xml:space="preserve">Index červených seznamů je vyjádřením trendů ve stavu ohrožení druhů, na základě velikosti jejich populace a areálu, stav je hodnocen pomocí kategorií IUCN používaných v červeném seznamu ohrožených druhů, tj. ohrožený, silně ohrožený a kriticky ohrožený druh. </w:t>
            </w:r>
          </w:p>
          <w:p w14:paraId="6BAC93A2" w14:textId="77777777" w:rsidR="00AA08CC" w:rsidRPr="003D121C" w:rsidRDefault="00AA08CC" w:rsidP="00653A6E">
            <w:pPr>
              <w:spacing w:line="276" w:lineRule="auto"/>
              <w:jc w:val="both"/>
              <w:rPr>
                <w:rFonts w:ascii="Arial" w:hAnsi="Arial" w:cs="Arial"/>
                <w:sz w:val="22"/>
                <w:szCs w:val="22"/>
              </w:rPr>
            </w:pPr>
          </w:p>
          <w:p w14:paraId="56A8AF2D" w14:textId="77777777" w:rsidR="00AA08CC" w:rsidRPr="003D121C" w:rsidRDefault="00AA08CC" w:rsidP="00653A6E">
            <w:pPr>
              <w:spacing w:line="276" w:lineRule="auto"/>
              <w:jc w:val="both"/>
              <w:rPr>
                <w:rFonts w:ascii="Arial" w:hAnsi="Arial" w:cs="Arial"/>
                <w:sz w:val="22"/>
                <w:szCs w:val="22"/>
              </w:rPr>
            </w:pPr>
            <w:r w:rsidRPr="003D121C">
              <w:rPr>
                <w:rFonts w:ascii="Arial" w:hAnsi="Arial" w:cs="Arial"/>
                <w:sz w:val="22"/>
                <w:szCs w:val="22"/>
              </w:rPr>
              <w:t xml:space="preserve">Červené seznamy pro ČR existují pro všechny základní skupiny živočichů, rostlin i hub. Index pro hodnocené období se vypočte násobením počtu druhů v každé kategorii červených seznamů váhou dané kategorie. Ukazatelem je pak rozdíl mezi těmito hodnotami pro jednotlivé skupiny mezi hodnocenými roky. Stav má být hodnocen v pravidelném intervalu. </w:t>
            </w:r>
          </w:p>
        </w:tc>
      </w:tr>
      <w:tr w:rsidR="00AA08CC" w:rsidRPr="00CA79AD" w14:paraId="3A3EA8AA" w14:textId="77777777" w:rsidTr="00246D73">
        <w:tc>
          <w:tcPr>
            <w:tcW w:w="2802" w:type="dxa"/>
          </w:tcPr>
          <w:p w14:paraId="0157C03B" w14:textId="77777777" w:rsidR="00AA08CC" w:rsidRPr="00CA79AD" w:rsidRDefault="00AA08CC" w:rsidP="00246D73">
            <w:pPr>
              <w:spacing w:line="276" w:lineRule="auto"/>
              <w:rPr>
                <w:rFonts w:ascii="Arial" w:hAnsi="Arial" w:cs="Arial"/>
                <w:sz w:val="22"/>
                <w:szCs w:val="22"/>
              </w:rPr>
            </w:pPr>
            <w:r w:rsidRPr="00CA79AD">
              <w:rPr>
                <w:rFonts w:ascii="Arial" w:hAnsi="Arial" w:cs="Arial"/>
                <w:sz w:val="22"/>
                <w:szCs w:val="22"/>
              </w:rPr>
              <w:t>Jednotka:</w:t>
            </w:r>
          </w:p>
        </w:tc>
        <w:tc>
          <w:tcPr>
            <w:tcW w:w="6486" w:type="dxa"/>
          </w:tcPr>
          <w:p w14:paraId="1E7644EB" w14:textId="77777777" w:rsidR="00AA08CC" w:rsidRPr="003D121C" w:rsidRDefault="00AA08CC" w:rsidP="00653A6E">
            <w:pPr>
              <w:spacing w:line="276" w:lineRule="auto"/>
              <w:jc w:val="both"/>
              <w:rPr>
                <w:rFonts w:ascii="Arial" w:hAnsi="Arial" w:cs="Arial"/>
                <w:sz w:val="22"/>
                <w:szCs w:val="22"/>
              </w:rPr>
            </w:pPr>
            <w:r w:rsidRPr="003D121C">
              <w:rPr>
                <w:rFonts w:ascii="Arial" w:hAnsi="Arial" w:cs="Arial"/>
                <w:sz w:val="22"/>
                <w:szCs w:val="22"/>
              </w:rPr>
              <w:t xml:space="preserve">Index dosahuje hodnoty od 0 do 1, kdy 0 znamená, že všechny druhy zkoumané skupiny vyhynou, 1 znamená, že žádné nevyhynou. Ukazatelem je rozdíl mezi těmito hodnotami pro jednotlivé skupiny mezi hodnocenými roky, tj. zlepšení či zhoršení stavu dané skupiny. </w:t>
            </w:r>
          </w:p>
        </w:tc>
      </w:tr>
      <w:tr w:rsidR="00AA08CC" w:rsidRPr="00CA79AD" w14:paraId="4DA1D68D" w14:textId="77777777" w:rsidTr="00246D73">
        <w:tc>
          <w:tcPr>
            <w:tcW w:w="2802" w:type="dxa"/>
          </w:tcPr>
          <w:p w14:paraId="10D95711" w14:textId="77777777" w:rsidR="00AA08CC" w:rsidRPr="00CA79AD" w:rsidRDefault="00AA08CC" w:rsidP="00246D73">
            <w:pPr>
              <w:spacing w:line="276" w:lineRule="auto"/>
              <w:rPr>
                <w:rFonts w:ascii="Arial" w:hAnsi="Arial" w:cs="Arial"/>
                <w:sz w:val="22"/>
                <w:szCs w:val="22"/>
              </w:rPr>
            </w:pPr>
            <w:r w:rsidRPr="00CA79AD">
              <w:rPr>
                <w:rFonts w:ascii="Arial" w:hAnsi="Arial" w:cs="Arial"/>
                <w:sz w:val="22"/>
                <w:szCs w:val="22"/>
              </w:rPr>
              <w:t xml:space="preserve">Gestor: </w:t>
            </w:r>
          </w:p>
        </w:tc>
        <w:tc>
          <w:tcPr>
            <w:tcW w:w="6486" w:type="dxa"/>
          </w:tcPr>
          <w:p w14:paraId="7CEDE61D" w14:textId="77777777" w:rsidR="00AA08CC" w:rsidRPr="003D121C" w:rsidRDefault="00AA08CC" w:rsidP="00653A6E">
            <w:pPr>
              <w:spacing w:line="276" w:lineRule="auto"/>
              <w:jc w:val="both"/>
              <w:rPr>
                <w:rFonts w:ascii="Arial" w:hAnsi="Arial" w:cs="Arial"/>
                <w:sz w:val="22"/>
                <w:szCs w:val="22"/>
              </w:rPr>
            </w:pPr>
            <w:r w:rsidRPr="003D121C">
              <w:rPr>
                <w:rFonts w:ascii="Arial" w:hAnsi="Arial" w:cs="Arial"/>
                <w:sz w:val="22"/>
                <w:szCs w:val="22"/>
              </w:rPr>
              <w:t>Ministerstvo životního prostředí (Agentura ochrany přírody a krajiny ČR)</w:t>
            </w:r>
          </w:p>
        </w:tc>
      </w:tr>
      <w:tr w:rsidR="00AA08CC" w:rsidRPr="00CA79AD" w14:paraId="7F0E527F" w14:textId="77777777" w:rsidTr="00246D73">
        <w:tc>
          <w:tcPr>
            <w:tcW w:w="2802" w:type="dxa"/>
          </w:tcPr>
          <w:p w14:paraId="54B0CE57" w14:textId="77777777" w:rsidR="00AA08CC" w:rsidRPr="00CA79AD" w:rsidRDefault="00AA08CC" w:rsidP="00246D73">
            <w:pPr>
              <w:spacing w:line="276" w:lineRule="auto"/>
              <w:rPr>
                <w:rFonts w:ascii="Arial" w:hAnsi="Arial" w:cs="Arial"/>
                <w:sz w:val="22"/>
                <w:szCs w:val="22"/>
              </w:rPr>
            </w:pPr>
            <w:r w:rsidRPr="00CA79AD">
              <w:rPr>
                <w:rFonts w:ascii="Arial" w:hAnsi="Arial" w:cs="Arial"/>
                <w:sz w:val="22"/>
                <w:szCs w:val="22"/>
              </w:rPr>
              <w:t xml:space="preserve">Význam indikátoru: </w:t>
            </w:r>
          </w:p>
        </w:tc>
        <w:tc>
          <w:tcPr>
            <w:tcW w:w="6486" w:type="dxa"/>
          </w:tcPr>
          <w:p w14:paraId="1DE8C7C2" w14:textId="77777777" w:rsidR="00AA08CC" w:rsidRPr="003D121C" w:rsidRDefault="00AA08CC" w:rsidP="00653A6E">
            <w:pPr>
              <w:spacing w:line="276" w:lineRule="auto"/>
              <w:jc w:val="both"/>
              <w:rPr>
                <w:rFonts w:ascii="Arial" w:hAnsi="Arial" w:cs="Arial"/>
                <w:sz w:val="22"/>
                <w:szCs w:val="22"/>
              </w:rPr>
            </w:pPr>
            <w:r w:rsidRPr="003D121C">
              <w:rPr>
                <w:rFonts w:ascii="Arial" w:hAnsi="Arial" w:cs="Arial"/>
                <w:sz w:val="22"/>
                <w:szCs w:val="22"/>
              </w:rPr>
              <w:t>Červené seznamy jsou zdrojem informací o stavu druhů, jež je možné využít jako podklad pro návrhy ochranářských opatření či pro hodnocení vlivu projektů na životní prostředí. Index lze porovnávat i v mezinárodním měřítku.</w:t>
            </w:r>
          </w:p>
          <w:p w14:paraId="06442363" w14:textId="77777777" w:rsidR="00AA08CC" w:rsidRPr="003D121C" w:rsidRDefault="00AA08CC" w:rsidP="00653A6E">
            <w:pPr>
              <w:spacing w:line="276" w:lineRule="auto"/>
              <w:jc w:val="both"/>
              <w:rPr>
                <w:rFonts w:ascii="Arial" w:hAnsi="Arial" w:cs="Arial"/>
                <w:sz w:val="22"/>
                <w:szCs w:val="22"/>
              </w:rPr>
            </w:pPr>
          </w:p>
        </w:tc>
      </w:tr>
      <w:tr w:rsidR="00AA08CC" w:rsidRPr="00CA79AD" w14:paraId="77CA268B" w14:textId="77777777" w:rsidTr="00246D73">
        <w:tc>
          <w:tcPr>
            <w:tcW w:w="2802" w:type="dxa"/>
          </w:tcPr>
          <w:p w14:paraId="637FC18E" w14:textId="77777777" w:rsidR="00AA08CC" w:rsidRPr="00CA79AD" w:rsidRDefault="00AA08CC" w:rsidP="00246D73">
            <w:pPr>
              <w:spacing w:line="276" w:lineRule="auto"/>
              <w:rPr>
                <w:rFonts w:ascii="Arial" w:hAnsi="Arial" w:cs="Arial"/>
                <w:sz w:val="22"/>
                <w:szCs w:val="22"/>
              </w:rPr>
            </w:pPr>
            <w:r w:rsidRPr="00CA79AD">
              <w:rPr>
                <w:rFonts w:ascii="Arial" w:hAnsi="Arial" w:cs="Arial"/>
                <w:sz w:val="22"/>
                <w:szCs w:val="22"/>
              </w:rPr>
              <w:t xml:space="preserve">Časová řada: </w:t>
            </w:r>
          </w:p>
        </w:tc>
        <w:tc>
          <w:tcPr>
            <w:tcW w:w="6486" w:type="dxa"/>
          </w:tcPr>
          <w:p w14:paraId="37314252" w14:textId="77777777" w:rsidR="00AA08CC" w:rsidRPr="003D121C" w:rsidRDefault="00AA08CC" w:rsidP="00653A6E">
            <w:pPr>
              <w:spacing w:line="276" w:lineRule="auto"/>
              <w:jc w:val="both"/>
              <w:rPr>
                <w:rFonts w:ascii="Arial" w:hAnsi="Arial" w:cs="Arial"/>
                <w:sz w:val="22"/>
                <w:szCs w:val="22"/>
              </w:rPr>
            </w:pPr>
            <w:r w:rsidRPr="003D121C">
              <w:rPr>
                <w:rFonts w:ascii="Arial" w:hAnsi="Arial" w:cs="Arial"/>
                <w:sz w:val="22"/>
                <w:szCs w:val="22"/>
              </w:rPr>
              <w:t>Liší se u jednotlivých skupin organismů. U všech skupin bude v roce 2017 vydán nový červený seznam pro ČR.</w:t>
            </w:r>
          </w:p>
        </w:tc>
      </w:tr>
      <w:tr w:rsidR="00AA08CC" w:rsidRPr="00CA79AD" w14:paraId="1474BFBF" w14:textId="77777777" w:rsidTr="00246D73">
        <w:tc>
          <w:tcPr>
            <w:tcW w:w="2802" w:type="dxa"/>
          </w:tcPr>
          <w:p w14:paraId="21358BC6" w14:textId="77777777" w:rsidR="00AA08CC" w:rsidRPr="00CA79AD" w:rsidRDefault="00AA08CC" w:rsidP="00246D73">
            <w:pPr>
              <w:spacing w:line="276" w:lineRule="auto"/>
              <w:rPr>
                <w:rFonts w:ascii="Arial" w:hAnsi="Arial" w:cs="Arial"/>
                <w:sz w:val="22"/>
                <w:szCs w:val="22"/>
              </w:rPr>
            </w:pPr>
            <w:r w:rsidRPr="00CA79AD">
              <w:rPr>
                <w:rFonts w:ascii="Arial" w:hAnsi="Arial" w:cs="Arial"/>
                <w:sz w:val="22"/>
                <w:szCs w:val="22"/>
              </w:rPr>
              <w:t xml:space="preserve">Frekvence výstupu: </w:t>
            </w:r>
          </w:p>
        </w:tc>
        <w:tc>
          <w:tcPr>
            <w:tcW w:w="6486" w:type="dxa"/>
          </w:tcPr>
          <w:p w14:paraId="1E3FE65A" w14:textId="77777777" w:rsidR="00AA08CC" w:rsidRPr="003D121C" w:rsidRDefault="00AA08CC" w:rsidP="00653A6E">
            <w:pPr>
              <w:spacing w:line="276" w:lineRule="auto"/>
              <w:jc w:val="both"/>
              <w:rPr>
                <w:rFonts w:ascii="Arial" w:hAnsi="Arial" w:cs="Arial"/>
                <w:sz w:val="22"/>
                <w:szCs w:val="22"/>
              </w:rPr>
            </w:pPr>
            <w:r w:rsidRPr="003D121C">
              <w:rPr>
                <w:rFonts w:ascii="Arial" w:hAnsi="Arial" w:cs="Arial"/>
                <w:sz w:val="22"/>
                <w:szCs w:val="22"/>
              </w:rPr>
              <w:t>Optimálně každé 4 roky, záleží však na jednotlivých skupinách.</w:t>
            </w:r>
          </w:p>
        </w:tc>
      </w:tr>
      <w:tr w:rsidR="00AA08CC" w:rsidRPr="00CA79AD" w14:paraId="048DE6B9" w14:textId="77777777" w:rsidTr="00653A6E">
        <w:trPr>
          <w:trHeight w:val="78"/>
        </w:trPr>
        <w:tc>
          <w:tcPr>
            <w:tcW w:w="2802" w:type="dxa"/>
          </w:tcPr>
          <w:p w14:paraId="5DECCCF0" w14:textId="77777777" w:rsidR="00AA08CC" w:rsidRPr="00CA79AD" w:rsidRDefault="00AA08CC" w:rsidP="00246D73">
            <w:pPr>
              <w:spacing w:line="276" w:lineRule="auto"/>
              <w:rPr>
                <w:rFonts w:ascii="Arial" w:hAnsi="Arial" w:cs="Arial"/>
                <w:sz w:val="22"/>
                <w:szCs w:val="22"/>
              </w:rPr>
            </w:pPr>
            <w:r w:rsidRPr="00CA79AD">
              <w:rPr>
                <w:rFonts w:ascii="Arial" w:hAnsi="Arial" w:cs="Arial"/>
                <w:sz w:val="22"/>
                <w:szCs w:val="22"/>
              </w:rPr>
              <w:t xml:space="preserve">Členění indikátoru: </w:t>
            </w:r>
          </w:p>
        </w:tc>
        <w:tc>
          <w:tcPr>
            <w:tcW w:w="6486" w:type="dxa"/>
          </w:tcPr>
          <w:p w14:paraId="607F091F" w14:textId="77777777" w:rsidR="00AA08CC" w:rsidRPr="003D121C" w:rsidRDefault="00AA08CC" w:rsidP="00653A6E">
            <w:pPr>
              <w:spacing w:line="276" w:lineRule="auto"/>
              <w:jc w:val="both"/>
              <w:rPr>
                <w:rFonts w:ascii="Arial" w:hAnsi="Arial" w:cs="Arial"/>
                <w:sz w:val="22"/>
                <w:szCs w:val="22"/>
              </w:rPr>
            </w:pPr>
            <w:r w:rsidRPr="003D121C">
              <w:rPr>
                <w:rFonts w:ascii="Arial" w:hAnsi="Arial" w:cs="Arial"/>
                <w:sz w:val="22"/>
                <w:szCs w:val="22"/>
              </w:rPr>
              <w:t>Červené seznamy cévnatých rostlin, mechorostů, lišejníků, hub (</w:t>
            </w:r>
            <w:proofErr w:type="spellStart"/>
            <w:r w:rsidRPr="003D121C">
              <w:rPr>
                <w:rFonts w:ascii="Arial" w:hAnsi="Arial" w:cs="Arial"/>
                <w:sz w:val="22"/>
                <w:szCs w:val="22"/>
              </w:rPr>
              <w:t>makromycetů</w:t>
            </w:r>
            <w:proofErr w:type="spellEnd"/>
            <w:r w:rsidRPr="003D121C">
              <w:rPr>
                <w:rFonts w:ascii="Arial" w:hAnsi="Arial" w:cs="Arial"/>
                <w:sz w:val="22"/>
                <w:szCs w:val="22"/>
              </w:rPr>
              <w:t xml:space="preserve">), bezobratlých a obratlovců </w:t>
            </w:r>
          </w:p>
        </w:tc>
      </w:tr>
      <w:tr w:rsidR="00AA08CC" w:rsidRPr="00CA79AD" w14:paraId="7B4D1DC8" w14:textId="77777777" w:rsidTr="00246D73">
        <w:trPr>
          <w:trHeight w:val="70"/>
        </w:trPr>
        <w:tc>
          <w:tcPr>
            <w:tcW w:w="2802" w:type="dxa"/>
          </w:tcPr>
          <w:p w14:paraId="52D8EF5E" w14:textId="77777777" w:rsidR="00AA08CC" w:rsidRPr="00CA79AD" w:rsidRDefault="00AA08CC" w:rsidP="00246D73">
            <w:pPr>
              <w:spacing w:line="276" w:lineRule="auto"/>
              <w:rPr>
                <w:rFonts w:ascii="Arial" w:hAnsi="Arial" w:cs="Arial"/>
                <w:sz w:val="22"/>
                <w:szCs w:val="22"/>
              </w:rPr>
            </w:pPr>
            <w:r w:rsidRPr="00CA79AD">
              <w:rPr>
                <w:rFonts w:ascii="Arial" w:hAnsi="Arial" w:cs="Arial"/>
                <w:sz w:val="22"/>
                <w:szCs w:val="22"/>
              </w:rPr>
              <w:t>Mezinárodní srovnání:</w:t>
            </w:r>
          </w:p>
        </w:tc>
        <w:tc>
          <w:tcPr>
            <w:tcW w:w="6486" w:type="dxa"/>
          </w:tcPr>
          <w:p w14:paraId="6763D0C6" w14:textId="400FC07D" w:rsidR="00AA08CC" w:rsidRPr="003D121C" w:rsidRDefault="001231FE" w:rsidP="00653A6E">
            <w:pPr>
              <w:spacing w:line="276" w:lineRule="auto"/>
              <w:jc w:val="both"/>
              <w:rPr>
                <w:rFonts w:ascii="Arial" w:hAnsi="Arial" w:cs="Arial"/>
                <w:sz w:val="22"/>
                <w:szCs w:val="22"/>
              </w:rPr>
            </w:pPr>
            <w:r>
              <w:rPr>
                <w:rFonts w:ascii="Arial" w:hAnsi="Arial" w:cs="Arial"/>
                <w:sz w:val="22"/>
                <w:szCs w:val="22"/>
              </w:rPr>
              <w:t>IUCN</w:t>
            </w:r>
          </w:p>
        </w:tc>
      </w:tr>
    </w:tbl>
    <w:tbl>
      <w:tblPr>
        <w:tblStyle w:val="Mkatabulky"/>
        <w:tblpPr w:leftFromText="141" w:rightFromText="141" w:vertAnchor="text" w:horzAnchor="margin" w:tblpY="67"/>
        <w:tblW w:w="0" w:type="auto"/>
        <w:tblLook w:val="04A0" w:firstRow="1" w:lastRow="0" w:firstColumn="1" w:lastColumn="0" w:noHBand="0" w:noVBand="1"/>
      </w:tblPr>
      <w:tblGrid>
        <w:gridCol w:w="2802"/>
        <w:gridCol w:w="6486"/>
      </w:tblGrid>
      <w:tr w:rsidR="00653A6E" w:rsidRPr="00CA79AD" w14:paraId="1BE9BC10" w14:textId="77777777" w:rsidTr="00653A6E">
        <w:tc>
          <w:tcPr>
            <w:tcW w:w="2802" w:type="dxa"/>
          </w:tcPr>
          <w:p w14:paraId="77E55006" w14:textId="77777777" w:rsidR="00653A6E" w:rsidRPr="00CA79AD" w:rsidRDefault="00653A6E" w:rsidP="00653A6E">
            <w:pPr>
              <w:spacing w:line="276" w:lineRule="auto"/>
              <w:rPr>
                <w:rFonts w:ascii="Arial" w:hAnsi="Arial" w:cs="Arial"/>
                <w:sz w:val="22"/>
                <w:szCs w:val="22"/>
              </w:rPr>
            </w:pPr>
            <w:r w:rsidRPr="00CA79AD">
              <w:rPr>
                <w:rFonts w:ascii="Arial" w:hAnsi="Arial" w:cs="Arial"/>
                <w:sz w:val="22"/>
                <w:szCs w:val="22"/>
              </w:rPr>
              <w:t xml:space="preserve">Název a označení indikátoru: </w:t>
            </w:r>
          </w:p>
        </w:tc>
        <w:tc>
          <w:tcPr>
            <w:tcW w:w="6486" w:type="dxa"/>
          </w:tcPr>
          <w:p w14:paraId="333BE5C0" w14:textId="77777777" w:rsidR="00653A6E" w:rsidRPr="00B405B1" w:rsidRDefault="00653A6E" w:rsidP="00653A6E">
            <w:pPr>
              <w:spacing w:line="276" w:lineRule="auto"/>
              <w:rPr>
                <w:rFonts w:ascii="Arial" w:eastAsia="Arial" w:hAnsi="Arial" w:cs="Arial"/>
                <w:b/>
                <w:color w:val="000000"/>
                <w:sz w:val="22"/>
                <w:szCs w:val="22"/>
              </w:rPr>
            </w:pPr>
            <w:r>
              <w:rPr>
                <w:rFonts w:ascii="Arial" w:eastAsia="Arial" w:hAnsi="Arial" w:cs="Arial"/>
                <w:b/>
                <w:color w:val="000000"/>
                <w:sz w:val="22"/>
                <w:szCs w:val="22"/>
              </w:rPr>
              <w:t>13.1.5</w:t>
            </w:r>
            <w:r w:rsidRPr="00B405B1">
              <w:rPr>
                <w:rFonts w:ascii="Arial" w:eastAsia="Arial" w:hAnsi="Arial" w:cs="Arial"/>
                <w:b/>
                <w:color w:val="000000"/>
                <w:sz w:val="22"/>
                <w:szCs w:val="22"/>
              </w:rPr>
              <w:t xml:space="preserve"> </w:t>
            </w:r>
            <w:r>
              <w:rPr>
                <w:rFonts w:ascii="Arial" w:eastAsia="Arial" w:hAnsi="Arial" w:cs="Arial"/>
                <w:b/>
                <w:color w:val="000000"/>
                <w:sz w:val="22"/>
                <w:szCs w:val="22"/>
              </w:rPr>
              <w:t>Invazní druhy</w:t>
            </w:r>
          </w:p>
        </w:tc>
      </w:tr>
      <w:tr w:rsidR="00653A6E" w:rsidRPr="00CA79AD" w14:paraId="057B6F12" w14:textId="77777777" w:rsidTr="00653A6E">
        <w:tc>
          <w:tcPr>
            <w:tcW w:w="2802" w:type="dxa"/>
          </w:tcPr>
          <w:p w14:paraId="70E065F6" w14:textId="77777777" w:rsidR="00653A6E" w:rsidRPr="00CA79AD" w:rsidRDefault="00653A6E" w:rsidP="00653A6E">
            <w:pPr>
              <w:spacing w:line="276" w:lineRule="auto"/>
              <w:rPr>
                <w:rFonts w:ascii="Arial" w:hAnsi="Arial" w:cs="Arial"/>
                <w:sz w:val="22"/>
                <w:szCs w:val="22"/>
              </w:rPr>
            </w:pPr>
            <w:r w:rsidRPr="00CA79AD">
              <w:rPr>
                <w:rFonts w:ascii="Arial" w:hAnsi="Arial" w:cs="Arial"/>
                <w:sz w:val="22"/>
                <w:szCs w:val="22"/>
              </w:rPr>
              <w:t xml:space="preserve">Stručná definice: </w:t>
            </w:r>
          </w:p>
        </w:tc>
        <w:tc>
          <w:tcPr>
            <w:tcW w:w="6486" w:type="dxa"/>
          </w:tcPr>
          <w:p w14:paraId="6BB47863" w14:textId="77777777" w:rsidR="00653A6E" w:rsidRPr="00CA79AD" w:rsidRDefault="00653A6E" w:rsidP="00653A6E">
            <w:pPr>
              <w:spacing w:line="276" w:lineRule="auto"/>
              <w:jc w:val="both"/>
              <w:rPr>
                <w:rFonts w:ascii="Arial" w:hAnsi="Arial" w:cs="Arial"/>
                <w:sz w:val="22"/>
                <w:szCs w:val="22"/>
              </w:rPr>
            </w:pPr>
            <w:r w:rsidRPr="00D278B1">
              <w:rPr>
                <w:rFonts w:ascii="Arial" w:hAnsi="Arial" w:cs="Arial"/>
                <w:sz w:val="22"/>
                <w:szCs w:val="22"/>
              </w:rPr>
              <w:t xml:space="preserve">Celkový počet invazních druhů, které jsou vybrány z tzv. Černého seznamu nepůvodních druhů České republiky, vč. druhů zařazených na tzv. </w:t>
            </w:r>
            <w:proofErr w:type="spellStart"/>
            <w:r w:rsidRPr="00D278B1">
              <w:rPr>
                <w:rFonts w:ascii="Arial" w:hAnsi="Arial" w:cs="Arial"/>
                <w:sz w:val="22"/>
                <w:szCs w:val="22"/>
              </w:rPr>
              <w:t>Watch</w:t>
            </w:r>
            <w:proofErr w:type="spellEnd"/>
            <w:r w:rsidRPr="00D278B1">
              <w:rPr>
                <w:rFonts w:ascii="Arial" w:hAnsi="Arial" w:cs="Arial"/>
                <w:sz w:val="22"/>
                <w:szCs w:val="22"/>
              </w:rPr>
              <w:t xml:space="preserve"> list.</w:t>
            </w:r>
          </w:p>
        </w:tc>
      </w:tr>
      <w:tr w:rsidR="00653A6E" w:rsidRPr="00CA79AD" w14:paraId="46F326C4" w14:textId="77777777" w:rsidTr="00653A6E">
        <w:tc>
          <w:tcPr>
            <w:tcW w:w="2802" w:type="dxa"/>
          </w:tcPr>
          <w:p w14:paraId="6B60B7D0" w14:textId="77777777" w:rsidR="00653A6E" w:rsidRPr="00CA79AD" w:rsidRDefault="00653A6E" w:rsidP="00653A6E">
            <w:pPr>
              <w:spacing w:line="276" w:lineRule="auto"/>
              <w:rPr>
                <w:rFonts w:ascii="Arial" w:hAnsi="Arial" w:cs="Arial"/>
                <w:sz w:val="22"/>
                <w:szCs w:val="22"/>
              </w:rPr>
            </w:pPr>
            <w:r w:rsidRPr="00CA79AD">
              <w:rPr>
                <w:rFonts w:ascii="Arial" w:hAnsi="Arial" w:cs="Arial"/>
                <w:sz w:val="22"/>
                <w:szCs w:val="22"/>
              </w:rPr>
              <w:t>Jednotka:</w:t>
            </w:r>
          </w:p>
        </w:tc>
        <w:tc>
          <w:tcPr>
            <w:tcW w:w="6486" w:type="dxa"/>
          </w:tcPr>
          <w:p w14:paraId="7878A231" w14:textId="77777777" w:rsidR="00653A6E" w:rsidRPr="00D278B1" w:rsidRDefault="00653A6E" w:rsidP="00653A6E">
            <w:pPr>
              <w:spacing w:line="276" w:lineRule="auto"/>
              <w:jc w:val="both"/>
              <w:rPr>
                <w:rFonts w:ascii="Arial" w:hAnsi="Arial" w:cs="Arial"/>
                <w:sz w:val="22"/>
                <w:szCs w:val="22"/>
              </w:rPr>
            </w:pPr>
            <w:r w:rsidRPr="00D278B1">
              <w:rPr>
                <w:rFonts w:ascii="Arial" w:hAnsi="Arial" w:cs="Arial"/>
                <w:sz w:val="22"/>
                <w:szCs w:val="22"/>
              </w:rPr>
              <w:t>Počet invazních druhů</w:t>
            </w:r>
          </w:p>
        </w:tc>
      </w:tr>
      <w:tr w:rsidR="00653A6E" w:rsidRPr="00CA79AD" w14:paraId="7A606918" w14:textId="77777777" w:rsidTr="00653A6E">
        <w:tc>
          <w:tcPr>
            <w:tcW w:w="2802" w:type="dxa"/>
          </w:tcPr>
          <w:p w14:paraId="7922F581" w14:textId="77777777" w:rsidR="00653A6E" w:rsidRPr="00CA79AD" w:rsidRDefault="00653A6E" w:rsidP="00653A6E">
            <w:pPr>
              <w:spacing w:line="276" w:lineRule="auto"/>
              <w:rPr>
                <w:rFonts w:ascii="Arial" w:hAnsi="Arial" w:cs="Arial"/>
                <w:sz w:val="22"/>
                <w:szCs w:val="22"/>
              </w:rPr>
            </w:pPr>
            <w:r w:rsidRPr="00CA79AD">
              <w:rPr>
                <w:rFonts w:ascii="Arial" w:hAnsi="Arial" w:cs="Arial"/>
                <w:sz w:val="22"/>
                <w:szCs w:val="22"/>
              </w:rPr>
              <w:t xml:space="preserve">Gestor: </w:t>
            </w:r>
          </w:p>
        </w:tc>
        <w:tc>
          <w:tcPr>
            <w:tcW w:w="6486" w:type="dxa"/>
          </w:tcPr>
          <w:p w14:paraId="4D3160EE" w14:textId="77777777" w:rsidR="00653A6E" w:rsidRPr="00CA79AD" w:rsidRDefault="00653A6E" w:rsidP="00653A6E">
            <w:pPr>
              <w:spacing w:line="276" w:lineRule="auto"/>
              <w:jc w:val="both"/>
              <w:rPr>
                <w:rFonts w:ascii="Arial" w:hAnsi="Arial" w:cs="Arial"/>
                <w:sz w:val="22"/>
                <w:szCs w:val="22"/>
              </w:rPr>
            </w:pPr>
            <w:r>
              <w:rPr>
                <w:rFonts w:ascii="Arial" w:hAnsi="Arial" w:cs="Arial"/>
                <w:sz w:val="22"/>
                <w:szCs w:val="22"/>
              </w:rPr>
              <w:t>Ministerstvo životního prostředí (Agentura ochrany přírody a krajiny ČR)</w:t>
            </w:r>
          </w:p>
        </w:tc>
      </w:tr>
      <w:tr w:rsidR="00653A6E" w:rsidRPr="00CA79AD" w14:paraId="22F66615" w14:textId="77777777" w:rsidTr="00653A6E">
        <w:tc>
          <w:tcPr>
            <w:tcW w:w="2802" w:type="dxa"/>
          </w:tcPr>
          <w:p w14:paraId="5FACA75E" w14:textId="77777777" w:rsidR="00653A6E" w:rsidRPr="00CA79AD" w:rsidRDefault="00653A6E" w:rsidP="00653A6E">
            <w:pPr>
              <w:spacing w:line="276" w:lineRule="auto"/>
              <w:rPr>
                <w:rFonts w:ascii="Arial" w:hAnsi="Arial" w:cs="Arial"/>
                <w:sz w:val="22"/>
                <w:szCs w:val="22"/>
              </w:rPr>
            </w:pPr>
            <w:r w:rsidRPr="00CA79AD">
              <w:rPr>
                <w:rFonts w:ascii="Arial" w:hAnsi="Arial" w:cs="Arial"/>
                <w:sz w:val="22"/>
                <w:szCs w:val="22"/>
              </w:rPr>
              <w:t xml:space="preserve">Význam indikátoru: </w:t>
            </w:r>
          </w:p>
        </w:tc>
        <w:tc>
          <w:tcPr>
            <w:tcW w:w="6486" w:type="dxa"/>
          </w:tcPr>
          <w:p w14:paraId="7D9D9F54" w14:textId="77777777" w:rsidR="00653A6E" w:rsidRPr="00CA79AD" w:rsidRDefault="00653A6E" w:rsidP="00653A6E">
            <w:pPr>
              <w:spacing w:line="276" w:lineRule="auto"/>
              <w:jc w:val="both"/>
              <w:rPr>
                <w:rFonts w:ascii="Arial" w:hAnsi="Arial" w:cs="Arial"/>
                <w:sz w:val="22"/>
                <w:szCs w:val="22"/>
              </w:rPr>
            </w:pPr>
            <w:r w:rsidRPr="00D278B1">
              <w:rPr>
                <w:rFonts w:ascii="Arial" w:hAnsi="Arial" w:cs="Arial"/>
                <w:sz w:val="22"/>
                <w:szCs w:val="22"/>
              </w:rPr>
              <w:t>Invazní druhy významným způsobem ovlivňují stav přírodních biotopů a populací autochtonních druhů.</w:t>
            </w:r>
          </w:p>
        </w:tc>
      </w:tr>
      <w:tr w:rsidR="00653A6E" w:rsidRPr="00CA79AD" w14:paraId="2DEC6DA7" w14:textId="77777777" w:rsidTr="00653A6E">
        <w:tc>
          <w:tcPr>
            <w:tcW w:w="2802" w:type="dxa"/>
          </w:tcPr>
          <w:p w14:paraId="61B7042D" w14:textId="77777777" w:rsidR="00653A6E" w:rsidRPr="00CA79AD" w:rsidRDefault="00653A6E" w:rsidP="00653A6E">
            <w:pPr>
              <w:spacing w:line="276" w:lineRule="auto"/>
              <w:rPr>
                <w:rFonts w:ascii="Arial" w:hAnsi="Arial" w:cs="Arial"/>
                <w:sz w:val="22"/>
                <w:szCs w:val="22"/>
              </w:rPr>
            </w:pPr>
            <w:r w:rsidRPr="00CA79AD">
              <w:rPr>
                <w:rFonts w:ascii="Arial" w:hAnsi="Arial" w:cs="Arial"/>
                <w:sz w:val="22"/>
                <w:szCs w:val="22"/>
              </w:rPr>
              <w:t xml:space="preserve">Časová řada: </w:t>
            </w:r>
          </w:p>
        </w:tc>
        <w:tc>
          <w:tcPr>
            <w:tcW w:w="6486" w:type="dxa"/>
          </w:tcPr>
          <w:p w14:paraId="4528164D" w14:textId="77777777" w:rsidR="00653A6E" w:rsidRPr="00CA79AD" w:rsidRDefault="00653A6E" w:rsidP="00653A6E">
            <w:pPr>
              <w:spacing w:line="276" w:lineRule="auto"/>
              <w:jc w:val="both"/>
              <w:rPr>
                <w:rFonts w:ascii="Arial" w:hAnsi="Arial" w:cs="Arial"/>
                <w:sz w:val="22"/>
                <w:szCs w:val="22"/>
              </w:rPr>
            </w:pPr>
            <w:r w:rsidRPr="00CA79AD">
              <w:rPr>
                <w:rFonts w:ascii="Arial" w:hAnsi="Arial" w:cs="Arial"/>
                <w:sz w:val="22"/>
                <w:szCs w:val="22"/>
              </w:rPr>
              <w:t>Od r</w:t>
            </w:r>
            <w:r>
              <w:rPr>
                <w:rFonts w:ascii="Arial" w:hAnsi="Arial" w:cs="Arial"/>
                <w:sz w:val="22"/>
                <w:szCs w:val="22"/>
              </w:rPr>
              <w:t>oku 2017</w:t>
            </w:r>
          </w:p>
        </w:tc>
      </w:tr>
      <w:tr w:rsidR="00653A6E" w:rsidRPr="00CA79AD" w14:paraId="4FBF24B3" w14:textId="77777777" w:rsidTr="00653A6E">
        <w:tc>
          <w:tcPr>
            <w:tcW w:w="2802" w:type="dxa"/>
          </w:tcPr>
          <w:p w14:paraId="623765CD" w14:textId="77777777" w:rsidR="00653A6E" w:rsidRPr="00CA79AD" w:rsidRDefault="00653A6E" w:rsidP="00653A6E">
            <w:pPr>
              <w:spacing w:line="276" w:lineRule="auto"/>
              <w:rPr>
                <w:rFonts w:ascii="Arial" w:hAnsi="Arial" w:cs="Arial"/>
                <w:sz w:val="22"/>
                <w:szCs w:val="22"/>
              </w:rPr>
            </w:pPr>
            <w:r w:rsidRPr="00CA79AD">
              <w:rPr>
                <w:rFonts w:ascii="Arial" w:hAnsi="Arial" w:cs="Arial"/>
                <w:sz w:val="22"/>
                <w:szCs w:val="22"/>
              </w:rPr>
              <w:lastRenderedPageBreak/>
              <w:t xml:space="preserve">Frekvence výstupu: </w:t>
            </w:r>
          </w:p>
        </w:tc>
        <w:tc>
          <w:tcPr>
            <w:tcW w:w="6486" w:type="dxa"/>
          </w:tcPr>
          <w:p w14:paraId="024943EA" w14:textId="77777777" w:rsidR="00653A6E" w:rsidRPr="00CA79AD" w:rsidRDefault="00653A6E" w:rsidP="00653A6E">
            <w:pPr>
              <w:spacing w:line="276" w:lineRule="auto"/>
              <w:jc w:val="both"/>
              <w:rPr>
                <w:rFonts w:ascii="Arial" w:hAnsi="Arial" w:cs="Arial"/>
                <w:sz w:val="22"/>
                <w:szCs w:val="22"/>
              </w:rPr>
            </w:pPr>
            <w:r>
              <w:rPr>
                <w:rFonts w:ascii="Arial" w:hAnsi="Arial" w:cs="Arial"/>
                <w:sz w:val="22"/>
                <w:szCs w:val="22"/>
              </w:rPr>
              <w:t>Jednou za 7 let</w:t>
            </w:r>
          </w:p>
        </w:tc>
      </w:tr>
      <w:tr w:rsidR="00653A6E" w:rsidRPr="00CA79AD" w14:paraId="42B2A656" w14:textId="77777777" w:rsidTr="00653A6E">
        <w:trPr>
          <w:trHeight w:val="70"/>
        </w:trPr>
        <w:tc>
          <w:tcPr>
            <w:tcW w:w="2802" w:type="dxa"/>
          </w:tcPr>
          <w:p w14:paraId="72EFC5D0" w14:textId="77777777" w:rsidR="00653A6E" w:rsidRPr="00CA79AD" w:rsidRDefault="00653A6E" w:rsidP="00653A6E">
            <w:pPr>
              <w:spacing w:line="276" w:lineRule="auto"/>
              <w:rPr>
                <w:rFonts w:ascii="Arial" w:hAnsi="Arial" w:cs="Arial"/>
                <w:sz w:val="22"/>
                <w:szCs w:val="22"/>
              </w:rPr>
            </w:pPr>
            <w:r w:rsidRPr="00CA79AD">
              <w:rPr>
                <w:rFonts w:ascii="Arial" w:hAnsi="Arial" w:cs="Arial"/>
                <w:sz w:val="22"/>
                <w:szCs w:val="22"/>
              </w:rPr>
              <w:t xml:space="preserve">Členění indikátoru: </w:t>
            </w:r>
          </w:p>
        </w:tc>
        <w:tc>
          <w:tcPr>
            <w:tcW w:w="6486" w:type="dxa"/>
          </w:tcPr>
          <w:p w14:paraId="7384A4C9" w14:textId="77777777" w:rsidR="00653A6E" w:rsidRPr="00CA79AD" w:rsidRDefault="00653A6E" w:rsidP="00653A6E">
            <w:pPr>
              <w:spacing w:line="276" w:lineRule="auto"/>
              <w:jc w:val="both"/>
              <w:rPr>
                <w:rFonts w:ascii="Arial" w:hAnsi="Arial" w:cs="Arial"/>
                <w:sz w:val="22"/>
                <w:szCs w:val="22"/>
              </w:rPr>
            </w:pPr>
            <w:r>
              <w:rPr>
                <w:rFonts w:ascii="Arial" w:hAnsi="Arial" w:cs="Arial"/>
                <w:sz w:val="22"/>
                <w:szCs w:val="22"/>
              </w:rPr>
              <w:t>Druhy rostlin a živočichů dle taxonomických skupin</w:t>
            </w:r>
          </w:p>
        </w:tc>
      </w:tr>
      <w:tr w:rsidR="00653A6E" w:rsidRPr="00CA79AD" w14:paraId="5AAACABA" w14:textId="77777777" w:rsidTr="00653A6E">
        <w:trPr>
          <w:trHeight w:val="70"/>
        </w:trPr>
        <w:tc>
          <w:tcPr>
            <w:tcW w:w="2802" w:type="dxa"/>
          </w:tcPr>
          <w:p w14:paraId="5AA3F9B2" w14:textId="77777777" w:rsidR="00653A6E" w:rsidRPr="00CA79AD" w:rsidRDefault="00653A6E" w:rsidP="00653A6E">
            <w:pPr>
              <w:spacing w:line="276" w:lineRule="auto"/>
              <w:rPr>
                <w:rFonts w:ascii="Arial" w:hAnsi="Arial" w:cs="Arial"/>
                <w:sz w:val="22"/>
                <w:szCs w:val="22"/>
              </w:rPr>
            </w:pPr>
            <w:r w:rsidRPr="00CA79AD">
              <w:rPr>
                <w:rFonts w:ascii="Arial" w:hAnsi="Arial" w:cs="Arial"/>
                <w:sz w:val="22"/>
                <w:szCs w:val="22"/>
              </w:rPr>
              <w:t>Mezinárodní srovnání:</w:t>
            </w:r>
          </w:p>
        </w:tc>
        <w:tc>
          <w:tcPr>
            <w:tcW w:w="6486" w:type="dxa"/>
          </w:tcPr>
          <w:p w14:paraId="5FAF144E" w14:textId="77777777" w:rsidR="00653A6E" w:rsidRPr="00CA79AD" w:rsidRDefault="00653A6E" w:rsidP="00653A6E">
            <w:pPr>
              <w:spacing w:line="276" w:lineRule="auto"/>
              <w:jc w:val="both"/>
              <w:rPr>
                <w:rFonts w:ascii="Arial" w:hAnsi="Arial" w:cs="Arial"/>
                <w:sz w:val="22"/>
                <w:szCs w:val="22"/>
              </w:rPr>
            </w:pPr>
            <w:r>
              <w:rPr>
                <w:rFonts w:ascii="Arial" w:hAnsi="Arial" w:cs="Arial"/>
                <w:sz w:val="22"/>
                <w:szCs w:val="22"/>
              </w:rPr>
              <w:t>Evropská komise,</w:t>
            </w:r>
            <w:r w:rsidRPr="001231FE">
              <w:rPr>
                <w:rFonts w:ascii="Arial" w:hAnsi="Arial" w:cs="Arial"/>
                <w:sz w:val="22"/>
                <w:szCs w:val="22"/>
              </w:rPr>
              <w:t xml:space="preserve"> </w:t>
            </w:r>
            <w:r>
              <w:rPr>
                <w:rFonts w:ascii="Arial" w:hAnsi="Arial" w:cs="Arial"/>
                <w:sz w:val="22"/>
                <w:szCs w:val="22"/>
              </w:rPr>
              <w:t>IUCN</w:t>
            </w:r>
          </w:p>
        </w:tc>
      </w:tr>
    </w:tbl>
    <w:p w14:paraId="47A7E68F" w14:textId="77777777" w:rsidR="00AA08CC" w:rsidRPr="0041235D" w:rsidRDefault="00AA08CC" w:rsidP="00C51B65">
      <w:pPr>
        <w:spacing w:line="276" w:lineRule="auto"/>
        <w:ind w:left="1843"/>
        <w:contextualSpacing/>
        <w:rPr>
          <w:rFonts w:ascii="Arial" w:eastAsia="Calibri" w:hAnsi="Arial" w:cs="Arial"/>
          <w:noProof/>
          <w:sz w:val="22"/>
          <w:szCs w:val="22"/>
          <w:lang w:eastAsia="en-US"/>
        </w:rPr>
      </w:pPr>
    </w:p>
    <w:p w14:paraId="29C9B5E0" w14:textId="77777777" w:rsidR="00113638" w:rsidRPr="00113638" w:rsidRDefault="00113638" w:rsidP="00653A6E">
      <w:pPr>
        <w:pStyle w:val="r2030cle"/>
        <w:numPr>
          <w:ilvl w:val="0"/>
          <w:numId w:val="17"/>
        </w:numPr>
        <w:ind w:left="567" w:hanging="425"/>
      </w:pPr>
      <w:r w:rsidRPr="00113638">
        <w:t>Krajina je adaptována na změnu klimatu a její struktura napomáhá zadržování vody.</w:t>
      </w:r>
    </w:p>
    <w:p w14:paraId="3A532B17" w14:textId="77777777" w:rsidR="00113638" w:rsidRPr="00113638" w:rsidRDefault="00113638" w:rsidP="00653A6E">
      <w:pPr>
        <w:pStyle w:val="r2030podcle"/>
        <w:numPr>
          <w:ilvl w:val="1"/>
          <w:numId w:val="17"/>
        </w:numPr>
        <w:ind w:left="567" w:hanging="425"/>
      </w:pPr>
      <w:r w:rsidRPr="00113638">
        <w:t>Odtok vody z</w:t>
      </w:r>
      <w:r w:rsidR="00295222">
        <w:t> krajiny se významně zpomaluje.</w:t>
      </w:r>
    </w:p>
    <w:tbl>
      <w:tblPr>
        <w:tblStyle w:val="Mkatabulky"/>
        <w:tblW w:w="0" w:type="auto"/>
        <w:shd w:val="pct10" w:color="auto" w:fill="auto"/>
        <w:tblLayout w:type="fixed"/>
        <w:tblLook w:val="04A0" w:firstRow="1" w:lastRow="0" w:firstColumn="1" w:lastColumn="0" w:noHBand="0" w:noVBand="1"/>
      </w:tblPr>
      <w:tblGrid>
        <w:gridCol w:w="2802"/>
        <w:gridCol w:w="6486"/>
      </w:tblGrid>
      <w:tr w:rsidR="00113638" w:rsidRPr="004413CA" w14:paraId="48345DA2" w14:textId="77777777" w:rsidTr="00A0717F">
        <w:tc>
          <w:tcPr>
            <w:tcW w:w="2802" w:type="dxa"/>
            <w:shd w:val="pct10" w:color="auto" w:fill="auto"/>
          </w:tcPr>
          <w:p w14:paraId="23A8ED98" w14:textId="77777777" w:rsidR="00113638" w:rsidRPr="00B60970" w:rsidRDefault="00113638" w:rsidP="009C6CA5">
            <w:pPr>
              <w:spacing w:line="276" w:lineRule="auto"/>
              <w:rPr>
                <w:rFonts w:ascii="Arial" w:hAnsi="Arial" w:cs="Arial"/>
                <w:sz w:val="22"/>
                <w:szCs w:val="22"/>
              </w:rPr>
            </w:pPr>
            <w:r w:rsidRPr="00B60970">
              <w:rPr>
                <w:rFonts w:ascii="Arial" w:hAnsi="Arial" w:cs="Arial"/>
                <w:sz w:val="22"/>
                <w:szCs w:val="22"/>
              </w:rPr>
              <w:t xml:space="preserve">Název a označení indikátoru: </w:t>
            </w:r>
          </w:p>
        </w:tc>
        <w:tc>
          <w:tcPr>
            <w:tcW w:w="6486" w:type="dxa"/>
            <w:shd w:val="pct10" w:color="auto" w:fill="auto"/>
          </w:tcPr>
          <w:p w14:paraId="22AFAAB3" w14:textId="77777777" w:rsidR="00113638" w:rsidRPr="00B60970" w:rsidRDefault="00113638" w:rsidP="009C6CA5">
            <w:pPr>
              <w:spacing w:line="276" w:lineRule="auto"/>
              <w:rPr>
                <w:rFonts w:ascii="Arial" w:eastAsia="Arial" w:hAnsi="Arial" w:cs="Arial"/>
                <w:b/>
                <w:sz w:val="22"/>
                <w:szCs w:val="22"/>
              </w:rPr>
            </w:pPr>
            <w:r>
              <w:rPr>
                <w:rFonts w:ascii="Arial" w:hAnsi="Arial" w:cs="Arial"/>
                <w:b/>
                <w:iCs/>
                <w:sz w:val="22"/>
                <w:szCs w:val="22"/>
              </w:rPr>
              <w:t>14.1</w:t>
            </w:r>
            <w:r w:rsidRPr="00B60970">
              <w:rPr>
                <w:rFonts w:ascii="Arial" w:hAnsi="Arial" w:cs="Arial"/>
                <w:b/>
                <w:iCs/>
                <w:sz w:val="22"/>
                <w:szCs w:val="22"/>
              </w:rPr>
              <w:t xml:space="preserve">.1 Objem přímého odtoku pro srážky s různou pravděpodobností výskytu </w:t>
            </w:r>
          </w:p>
        </w:tc>
      </w:tr>
      <w:tr w:rsidR="00113638" w:rsidRPr="004413CA" w14:paraId="083AC74E" w14:textId="77777777" w:rsidTr="00A0717F">
        <w:tc>
          <w:tcPr>
            <w:tcW w:w="2802" w:type="dxa"/>
            <w:shd w:val="pct10" w:color="auto" w:fill="auto"/>
          </w:tcPr>
          <w:p w14:paraId="1BF8EA11" w14:textId="77777777" w:rsidR="00113638" w:rsidRPr="00B60970" w:rsidRDefault="00113638" w:rsidP="009C6CA5">
            <w:pPr>
              <w:spacing w:line="276" w:lineRule="auto"/>
              <w:rPr>
                <w:rFonts w:ascii="Arial" w:hAnsi="Arial" w:cs="Arial"/>
                <w:sz w:val="22"/>
                <w:szCs w:val="22"/>
              </w:rPr>
            </w:pPr>
            <w:r w:rsidRPr="00B60970">
              <w:rPr>
                <w:rFonts w:ascii="Arial" w:hAnsi="Arial" w:cs="Arial"/>
                <w:sz w:val="22"/>
                <w:szCs w:val="22"/>
              </w:rPr>
              <w:t xml:space="preserve">Stručná definice: </w:t>
            </w:r>
          </w:p>
        </w:tc>
        <w:tc>
          <w:tcPr>
            <w:tcW w:w="6486" w:type="dxa"/>
            <w:shd w:val="pct10" w:color="auto" w:fill="auto"/>
          </w:tcPr>
          <w:p w14:paraId="37385C54" w14:textId="77777777" w:rsidR="00113638" w:rsidRPr="00B60970" w:rsidRDefault="00113638" w:rsidP="00653A6E">
            <w:pPr>
              <w:spacing w:line="276" w:lineRule="auto"/>
              <w:jc w:val="both"/>
              <w:rPr>
                <w:rFonts w:ascii="Arial" w:hAnsi="Arial" w:cs="Arial"/>
                <w:sz w:val="22"/>
                <w:szCs w:val="22"/>
              </w:rPr>
            </w:pPr>
            <w:r w:rsidRPr="00B60970">
              <w:rPr>
                <w:rFonts w:ascii="Arial" w:hAnsi="Arial" w:cs="Arial"/>
                <w:sz w:val="22"/>
                <w:szCs w:val="22"/>
              </w:rPr>
              <w:t xml:space="preserve">Indikátor se vypočte jako objem </w:t>
            </w:r>
            <w:r w:rsidRPr="00B60970">
              <w:rPr>
                <w:rFonts w:ascii="Arial" w:hAnsi="Arial" w:cs="Arial"/>
                <w:iCs/>
                <w:sz w:val="22"/>
                <w:szCs w:val="22"/>
              </w:rPr>
              <w:t xml:space="preserve">přímého (specifického) odtoku pro srážky s různou pravděpodobností výskytu (N 1, 5, 10, 20, 50, 100 let). </w:t>
            </w:r>
          </w:p>
        </w:tc>
      </w:tr>
      <w:tr w:rsidR="00113638" w:rsidRPr="004413CA" w14:paraId="3FB79867" w14:textId="77777777" w:rsidTr="00A0717F">
        <w:tc>
          <w:tcPr>
            <w:tcW w:w="2802" w:type="dxa"/>
            <w:shd w:val="pct10" w:color="auto" w:fill="auto"/>
          </w:tcPr>
          <w:p w14:paraId="51FCA512" w14:textId="77777777" w:rsidR="00113638" w:rsidRPr="00B60970" w:rsidRDefault="00113638" w:rsidP="009C6CA5">
            <w:pPr>
              <w:spacing w:line="276" w:lineRule="auto"/>
              <w:rPr>
                <w:rFonts w:ascii="Arial" w:hAnsi="Arial" w:cs="Arial"/>
                <w:sz w:val="22"/>
                <w:szCs w:val="22"/>
              </w:rPr>
            </w:pPr>
            <w:r w:rsidRPr="00B60970">
              <w:rPr>
                <w:rFonts w:ascii="Arial" w:hAnsi="Arial" w:cs="Arial"/>
                <w:sz w:val="22"/>
                <w:szCs w:val="22"/>
              </w:rPr>
              <w:t>Jednotka:</w:t>
            </w:r>
          </w:p>
        </w:tc>
        <w:tc>
          <w:tcPr>
            <w:tcW w:w="6486" w:type="dxa"/>
            <w:shd w:val="pct10" w:color="auto" w:fill="auto"/>
          </w:tcPr>
          <w:p w14:paraId="6455840B" w14:textId="77777777" w:rsidR="00113638" w:rsidRPr="00B60970" w:rsidRDefault="00113638" w:rsidP="00653A6E">
            <w:pPr>
              <w:spacing w:line="276" w:lineRule="auto"/>
              <w:jc w:val="both"/>
              <w:rPr>
                <w:rFonts w:ascii="Arial" w:hAnsi="Arial" w:cs="Arial"/>
                <w:sz w:val="22"/>
                <w:szCs w:val="22"/>
              </w:rPr>
            </w:pPr>
            <w:r w:rsidRPr="00B60970">
              <w:rPr>
                <w:rFonts w:ascii="Arial" w:hAnsi="Arial" w:cs="Arial"/>
                <w:sz w:val="22"/>
                <w:szCs w:val="22"/>
              </w:rPr>
              <w:t>m</w:t>
            </w:r>
            <w:r w:rsidRPr="00B60970">
              <w:rPr>
                <w:rFonts w:ascii="Arial" w:hAnsi="Arial" w:cs="Arial"/>
                <w:sz w:val="22"/>
                <w:szCs w:val="22"/>
                <w:vertAlign w:val="superscript"/>
              </w:rPr>
              <w:t>3</w:t>
            </w:r>
            <w:r w:rsidRPr="00B60970">
              <w:rPr>
                <w:rFonts w:ascii="Arial" w:hAnsi="Arial" w:cs="Arial"/>
                <w:sz w:val="22"/>
                <w:szCs w:val="22"/>
              </w:rPr>
              <w:t>/rok; m</w:t>
            </w:r>
            <w:r w:rsidRPr="00B60970">
              <w:rPr>
                <w:rFonts w:ascii="Arial" w:hAnsi="Arial" w:cs="Arial"/>
                <w:sz w:val="22"/>
                <w:szCs w:val="22"/>
                <w:vertAlign w:val="superscript"/>
              </w:rPr>
              <w:t>3</w:t>
            </w:r>
            <w:r w:rsidRPr="00B60970">
              <w:rPr>
                <w:rFonts w:ascii="Arial" w:hAnsi="Arial" w:cs="Arial"/>
                <w:sz w:val="22"/>
                <w:szCs w:val="22"/>
              </w:rPr>
              <w:t>/ha/rok</w:t>
            </w:r>
          </w:p>
        </w:tc>
      </w:tr>
      <w:tr w:rsidR="00113638" w:rsidRPr="004413CA" w14:paraId="321C91BB" w14:textId="77777777" w:rsidTr="00A0717F">
        <w:tc>
          <w:tcPr>
            <w:tcW w:w="2802" w:type="dxa"/>
            <w:shd w:val="pct10" w:color="auto" w:fill="auto"/>
          </w:tcPr>
          <w:p w14:paraId="015E6B4F" w14:textId="77777777" w:rsidR="00113638" w:rsidRPr="00B60970" w:rsidRDefault="00113638" w:rsidP="009C6CA5">
            <w:pPr>
              <w:spacing w:line="276" w:lineRule="auto"/>
              <w:rPr>
                <w:rFonts w:ascii="Arial" w:hAnsi="Arial" w:cs="Arial"/>
                <w:sz w:val="22"/>
                <w:szCs w:val="22"/>
              </w:rPr>
            </w:pPr>
            <w:r w:rsidRPr="00B60970">
              <w:rPr>
                <w:rFonts w:ascii="Arial" w:hAnsi="Arial" w:cs="Arial"/>
                <w:sz w:val="22"/>
                <w:szCs w:val="22"/>
              </w:rPr>
              <w:t xml:space="preserve">Gestor: </w:t>
            </w:r>
          </w:p>
        </w:tc>
        <w:tc>
          <w:tcPr>
            <w:tcW w:w="6486" w:type="dxa"/>
            <w:shd w:val="pct10" w:color="auto" w:fill="auto"/>
          </w:tcPr>
          <w:p w14:paraId="1E47588B" w14:textId="77777777" w:rsidR="00113638" w:rsidRPr="00B60970" w:rsidRDefault="00113638" w:rsidP="00653A6E">
            <w:pPr>
              <w:spacing w:line="276" w:lineRule="auto"/>
              <w:jc w:val="both"/>
              <w:rPr>
                <w:rFonts w:ascii="Arial" w:hAnsi="Arial" w:cs="Arial"/>
                <w:sz w:val="22"/>
                <w:szCs w:val="22"/>
              </w:rPr>
            </w:pPr>
          </w:p>
        </w:tc>
      </w:tr>
      <w:tr w:rsidR="00113638" w:rsidRPr="004413CA" w14:paraId="67D001BC" w14:textId="77777777" w:rsidTr="00A0717F">
        <w:tc>
          <w:tcPr>
            <w:tcW w:w="2802" w:type="dxa"/>
            <w:shd w:val="pct10" w:color="auto" w:fill="auto"/>
          </w:tcPr>
          <w:p w14:paraId="0D0F91FC" w14:textId="77777777" w:rsidR="00113638" w:rsidRPr="00B60970" w:rsidRDefault="00113638" w:rsidP="009C6CA5">
            <w:pPr>
              <w:spacing w:line="276" w:lineRule="auto"/>
              <w:rPr>
                <w:rFonts w:ascii="Arial" w:hAnsi="Arial" w:cs="Arial"/>
                <w:sz w:val="22"/>
                <w:szCs w:val="22"/>
              </w:rPr>
            </w:pPr>
            <w:r w:rsidRPr="00B60970">
              <w:rPr>
                <w:rFonts w:ascii="Arial" w:hAnsi="Arial" w:cs="Arial"/>
                <w:sz w:val="22"/>
                <w:szCs w:val="22"/>
              </w:rPr>
              <w:t xml:space="preserve">Význam indikátoru: </w:t>
            </w:r>
          </w:p>
        </w:tc>
        <w:tc>
          <w:tcPr>
            <w:tcW w:w="6486" w:type="dxa"/>
            <w:shd w:val="pct10" w:color="auto" w:fill="auto"/>
          </w:tcPr>
          <w:p w14:paraId="2960209D" w14:textId="77777777" w:rsidR="00113638" w:rsidRPr="00B60970" w:rsidRDefault="00113638" w:rsidP="00653A6E">
            <w:pPr>
              <w:spacing w:line="276" w:lineRule="auto"/>
              <w:jc w:val="both"/>
              <w:rPr>
                <w:rFonts w:ascii="Arial" w:hAnsi="Arial" w:cs="Arial"/>
                <w:sz w:val="22"/>
                <w:szCs w:val="22"/>
              </w:rPr>
            </w:pPr>
            <w:r w:rsidRPr="00B60970">
              <w:rPr>
                <w:rFonts w:ascii="Arial" w:hAnsi="Arial" w:cs="Arial"/>
                <w:sz w:val="22"/>
                <w:szCs w:val="22"/>
              </w:rPr>
              <w:t xml:space="preserve">Přímý odtok je rychlý odtok vody (povrchový a rychlý podpovrchový). Porovnáním meziročních či s jinou frekvencí stanovovaných hodnot objemů přímého odtoku lze odhadovat změnu schopnosti území dočasně zadržet vodu, resp. zpomalit rychlý odtok vody či snížit jeho objem pro různé hydrologické stavy. Stanovení je možné založit na metodě čísel odtokových křivek (tzv. metoda CN křivek). </w:t>
            </w:r>
          </w:p>
        </w:tc>
      </w:tr>
      <w:tr w:rsidR="00113638" w:rsidRPr="004413CA" w14:paraId="7C786A5E" w14:textId="77777777" w:rsidTr="00A0717F">
        <w:tc>
          <w:tcPr>
            <w:tcW w:w="2802" w:type="dxa"/>
            <w:shd w:val="pct10" w:color="auto" w:fill="auto"/>
          </w:tcPr>
          <w:p w14:paraId="31DF7190" w14:textId="77777777" w:rsidR="00113638" w:rsidRPr="00B60970" w:rsidRDefault="00113638" w:rsidP="009C6CA5">
            <w:pPr>
              <w:spacing w:line="276" w:lineRule="auto"/>
              <w:rPr>
                <w:rFonts w:ascii="Arial" w:hAnsi="Arial" w:cs="Arial"/>
                <w:sz w:val="22"/>
                <w:szCs w:val="22"/>
              </w:rPr>
            </w:pPr>
            <w:r w:rsidRPr="00B60970">
              <w:rPr>
                <w:rFonts w:ascii="Arial" w:hAnsi="Arial" w:cs="Arial"/>
                <w:sz w:val="22"/>
                <w:szCs w:val="22"/>
              </w:rPr>
              <w:t>Zdrojová data:</w:t>
            </w:r>
          </w:p>
        </w:tc>
        <w:tc>
          <w:tcPr>
            <w:tcW w:w="6486" w:type="dxa"/>
            <w:shd w:val="pct10" w:color="auto" w:fill="auto"/>
          </w:tcPr>
          <w:p w14:paraId="64145E74" w14:textId="77777777" w:rsidR="00113638" w:rsidRPr="00B60970" w:rsidRDefault="00113638" w:rsidP="00653A6E">
            <w:pPr>
              <w:spacing w:line="276" w:lineRule="auto"/>
              <w:jc w:val="both"/>
              <w:rPr>
                <w:rFonts w:ascii="Arial" w:hAnsi="Arial" w:cs="Arial"/>
                <w:sz w:val="22"/>
                <w:szCs w:val="22"/>
              </w:rPr>
            </w:pPr>
            <w:r>
              <w:rPr>
                <w:rFonts w:ascii="Arial" w:hAnsi="Arial" w:cs="Arial"/>
                <w:sz w:val="22"/>
                <w:szCs w:val="22"/>
              </w:rPr>
              <w:t>LPIS (Ministerstvo zemědělství</w:t>
            </w:r>
            <w:r w:rsidRPr="00B60970">
              <w:rPr>
                <w:rFonts w:ascii="Arial" w:hAnsi="Arial" w:cs="Arial"/>
                <w:sz w:val="22"/>
                <w:szCs w:val="22"/>
              </w:rPr>
              <w:t>), návrhové srážky (ČHMÚ), DIBAVOD (VÚV), ZABAGED + výškopis (ČÚZK), čísla odtokových křivek (VÚMOP)</w:t>
            </w:r>
          </w:p>
        </w:tc>
      </w:tr>
      <w:tr w:rsidR="00113638" w:rsidRPr="004413CA" w14:paraId="485D13F4" w14:textId="77777777" w:rsidTr="00A0717F">
        <w:tc>
          <w:tcPr>
            <w:tcW w:w="2802" w:type="dxa"/>
            <w:shd w:val="pct10" w:color="auto" w:fill="auto"/>
          </w:tcPr>
          <w:p w14:paraId="32959D5F" w14:textId="77777777" w:rsidR="00113638" w:rsidRPr="00B60970" w:rsidRDefault="00113638" w:rsidP="009C6CA5">
            <w:pPr>
              <w:spacing w:line="276" w:lineRule="auto"/>
              <w:rPr>
                <w:rFonts w:ascii="Arial" w:hAnsi="Arial" w:cs="Arial"/>
                <w:sz w:val="22"/>
                <w:szCs w:val="22"/>
              </w:rPr>
            </w:pPr>
            <w:r w:rsidRPr="00B60970">
              <w:rPr>
                <w:rFonts w:ascii="Arial" w:hAnsi="Arial" w:cs="Arial"/>
                <w:sz w:val="22"/>
                <w:szCs w:val="22"/>
              </w:rPr>
              <w:t xml:space="preserve">Časová řada: </w:t>
            </w:r>
          </w:p>
        </w:tc>
        <w:tc>
          <w:tcPr>
            <w:tcW w:w="6486" w:type="dxa"/>
            <w:shd w:val="pct10" w:color="auto" w:fill="auto"/>
          </w:tcPr>
          <w:p w14:paraId="30C31DDA" w14:textId="77777777" w:rsidR="00113638" w:rsidRPr="00B60970" w:rsidRDefault="00113638" w:rsidP="00653A6E">
            <w:pPr>
              <w:spacing w:line="276" w:lineRule="auto"/>
              <w:jc w:val="both"/>
              <w:rPr>
                <w:rFonts w:ascii="Arial" w:hAnsi="Arial" w:cs="Arial"/>
                <w:sz w:val="22"/>
                <w:szCs w:val="22"/>
              </w:rPr>
            </w:pPr>
            <w:r>
              <w:rPr>
                <w:rFonts w:ascii="Arial" w:hAnsi="Arial" w:cs="Arial"/>
                <w:sz w:val="22"/>
                <w:szCs w:val="22"/>
              </w:rPr>
              <w:t>Od roku</w:t>
            </w:r>
            <w:r w:rsidRPr="00B60970">
              <w:rPr>
                <w:rFonts w:ascii="Arial" w:hAnsi="Arial" w:cs="Arial"/>
                <w:sz w:val="22"/>
                <w:szCs w:val="22"/>
              </w:rPr>
              <w:t xml:space="preserve"> 2007 (relativně spolehlivá data LPIS)</w:t>
            </w:r>
          </w:p>
        </w:tc>
      </w:tr>
      <w:tr w:rsidR="00113638" w:rsidRPr="004413CA" w14:paraId="74ED49CB" w14:textId="77777777" w:rsidTr="00A0717F">
        <w:tc>
          <w:tcPr>
            <w:tcW w:w="2802" w:type="dxa"/>
            <w:shd w:val="pct10" w:color="auto" w:fill="auto"/>
          </w:tcPr>
          <w:p w14:paraId="35D356BA" w14:textId="77777777" w:rsidR="00113638" w:rsidRPr="00B60970" w:rsidRDefault="00113638" w:rsidP="009C6CA5">
            <w:pPr>
              <w:spacing w:line="276" w:lineRule="auto"/>
              <w:rPr>
                <w:rFonts w:ascii="Arial" w:hAnsi="Arial" w:cs="Arial"/>
                <w:sz w:val="22"/>
                <w:szCs w:val="22"/>
              </w:rPr>
            </w:pPr>
            <w:r w:rsidRPr="00B60970">
              <w:rPr>
                <w:rFonts w:ascii="Arial" w:hAnsi="Arial" w:cs="Arial"/>
                <w:sz w:val="22"/>
                <w:szCs w:val="22"/>
              </w:rPr>
              <w:t xml:space="preserve">Frekvence výstupu: </w:t>
            </w:r>
          </w:p>
        </w:tc>
        <w:tc>
          <w:tcPr>
            <w:tcW w:w="6486" w:type="dxa"/>
            <w:shd w:val="pct10" w:color="auto" w:fill="auto"/>
          </w:tcPr>
          <w:p w14:paraId="07B2E44E" w14:textId="77777777" w:rsidR="00113638" w:rsidRPr="00B60970" w:rsidRDefault="00113638" w:rsidP="00653A6E">
            <w:pPr>
              <w:spacing w:line="276" w:lineRule="auto"/>
              <w:jc w:val="both"/>
              <w:rPr>
                <w:rFonts w:ascii="Arial" w:hAnsi="Arial" w:cs="Arial"/>
                <w:sz w:val="22"/>
                <w:szCs w:val="22"/>
              </w:rPr>
            </w:pPr>
            <w:r w:rsidRPr="00B60970">
              <w:rPr>
                <w:rFonts w:ascii="Arial" w:hAnsi="Arial" w:cs="Arial"/>
                <w:sz w:val="22"/>
                <w:szCs w:val="22"/>
              </w:rPr>
              <w:t>Ročně</w:t>
            </w:r>
          </w:p>
        </w:tc>
      </w:tr>
      <w:tr w:rsidR="00113638" w:rsidRPr="004413CA" w14:paraId="4A6AC311" w14:textId="77777777" w:rsidTr="00A0717F">
        <w:trPr>
          <w:trHeight w:val="70"/>
        </w:trPr>
        <w:tc>
          <w:tcPr>
            <w:tcW w:w="2802" w:type="dxa"/>
            <w:shd w:val="pct10" w:color="auto" w:fill="auto"/>
          </w:tcPr>
          <w:p w14:paraId="4E34D932" w14:textId="77777777" w:rsidR="00113638" w:rsidRPr="00B60970" w:rsidRDefault="00113638" w:rsidP="009C6CA5">
            <w:pPr>
              <w:spacing w:line="276" w:lineRule="auto"/>
              <w:rPr>
                <w:rFonts w:ascii="Arial" w:hAnsi="Arial" w:cs="Arial"/>
                <w:sz w:val="22"/>
                <w:szCs w:val="22"/>
              </w:rPr>
            </w:pPr>
            <w:r w:rsidRPr="00B60970">
              <w:rPr>
                <w:rFonts w:ascii="Arial" w:hAnsi="Arial" w:cs="Arial"/>
                <w:sz w:val="22"/>
                <w:szCs w:val="22"/>
              </w:rPr>
              <w:t xml:space="preserve">Členění indikátoru: </w:t>
            </w:r>
          </w:p>
        </w:tc>
        <w:tc>
          <w:tcPr>
            <w:tcW w:w="6486" w:type="dxa"/>
            <w:shd w:val="pct10" w:color="auto" w:fill="auto"/>
          </w:tcPr>
          <w:p w14:paraId="5C7D3518" w14:textId="77777777" w:rsidR="00113638" w:rsidRPr="00B60970" w:rsidRDefault="00113638" w:rsidP="00653A6E">
            <w:pPr>
              <w:spacing w:line="276" w:lineRule="auto"/>
              <w:jc w:val="both"/>
              <w:rPr>
                <w:rFonts w:ascii="Arial" w:hAnsi="Arial" w:cs="Arial"/>
                <w:sz w:val="22"/>
                <w:szCs w:val="22"/>
              </w:rPr>
            </w:pPr>
            <w:r w:rsidRPr="00B60970">
              <w:rPr>
                <w:rFonts w:ascii="Arial" w:hAnsi="Arial" w:cs="Arial"/>
                <w:sz w:val="22"/>
                <w:szCs w:val="22"/>
              </w:rPr>
              <w:t>Na národní úrovni a regionálně. Základní jednotka - povodí IV. řádu dle platného DIBAVOD.</w:t>
            </w:r>
          </w:p>
        </w:tc>
      </w:tr>
      <w:tr w:rsidR="00113638" w:rsidRPr="004413CA" w14:paraId="3A1C17E2" w14:textId="77777777" w:rsidTr="00A0717F">
        <w:trPr>
          <w:trHeight w:val="70"/>
        </w:trPr>
        <w:tc>
          <w:tcPr>
            <w:tcW w:w="2802" w:type="dxa"/>
            <w:shd w:val="pct10" w:color="auto" w:fill="auto"/>
          </w:tcPr>
          <w:p w14:paraId="7CCA4BD9" w14:textId="77777777" w:rsidR="00113638" w:rsidRPr="00B60970" w:rsidRDefault="00113638" w:rsidP="009C6CA5">
            <w:pPr>
              <w:spacing w:line="276" w:lineRule="auto"/>
              <w:rPr>
                <w:rFonts w:ascii="Arial" w:hAnsi="Arial" w:cs="Arial"/>
                <w:sz w:val="22"/>
                <w:szCs w:val="22"/>
              </w:rPr>
            </w:pPr>
            <w:r w:rsidRPr="00B60970">
              <w:rPr>
                <w:rFonts w:ascii="Arial" w:hAnsi="Arial" w:cs="Arial"/>
                <w:sz w:val="22"/>
                <w:szCs w:val="22"/>
              </w:rPr>
              <w:t>Mezinárodní srovnání:</w:t>
            </w:r>
          </w:p>
        </w:tc>
        <w:tc>
          <w:tcPr>
            <w:tcW w:w="6486" w:type="dxa"/>
            <w:shd w:val="pct10" w:color="auto" w:fill="auto"/>
          </w:tcPr>
          <w:p w14:paraId="77CCBA84" w14:textId="77777777" w:rsidR="00113638" w:rsidRPr="00B60970" w:rsidRDefault="00113638" w:rsidP="00653A6E">
            <w:pPr>
              <w:spacing w:line="276" w:lineRule="auto"/>
              <w:jc w:val="both"/>
              <w:rPr>
                <w:rFonts w:ascii="Arial" w:hAnsi="Arial" w:cs="Arial"/>
                <w:sz w:val="22"/>
                <w:szCs w:val="22"/>
              </w:rPr>
            </w:pPr>
            <w:r w:rsidRPr="00B60970">
              <w:rPr>
                <w:rFonts w:ascii="Arial" w:hAnsi="Arial" w:cs="Arial"/>
                <w:sz w:val="22"/>
                <w:szCs w:val="22"/>
              </w:rPr>
              <w:t>USDA 2004</w:t>
            </w:r>
          </w:p>
          <w:p w14:paraId="041C4F5F" w14:textId="77777777" w:rsidR="00113638" w:rsidRPr="00B60970" w:rsidRDefault="008B7571" w:rsidP="00653A6E">
            <w:pPr>
              <w:spacing w:line="276" w:lineRule="auto"/>
              <w:jc w:val="both"/>
              <w:rPr>
                <w:rFonts w:ascii="Arial" w:hAnsi="Arial" w:cs="Arial"/>
                <w:sz w:val="22"/>
                <w:szCs w:val="22"/>
              </w:rPr>
            </w:pPr>
            <w:hyperlink r:id="rId9" w:history="1">
              <w:r w:rsidR="00113638" w:rsidRPr="00B60970">
                <w:rPr>
                  <w:rStyle w:val="Hypertextovodkaz"/>
                  <w:rFonts w:ascii="Arial" w:hAnsi="Arial" w:cs="Arial"/>
                  <w:sz w:val="22"/>
                  <w:szCs w:val="22"/>
                </w:rPr>
                <w:t>http://directives.sc.egov.usda.gov/OpenNonWebContent.aspx?content=17752.wba</w:t>
              </w:r>
            </w:hyperlink>
          </w:p>
          <w:p w14:paraId="4D1D94E7" w14:textId="5B5E9514" w:rsidR="00113638" w:rsidRPr="00B60970" w:rsidRDefault="003D42E8" w:rsidP="00653A6E">
            <w:pPr>
              <w:spacing w:line="276" w:lineRule="auto"/>
              <w:jc w:val="both"/>
              <w:rPr>
                <w:rFonts w:ascii="Arial" w:hAnsi="Arial" w:cs="Arial"/>
                <w:sz w:val="22"/>
                <w:szCs w:val="22"/>
              </w:rPr>
            </w:pPr>
            <w:r>
              <w:rPr>
                <w:rFonts w:ascii="Arial" w:hAnsi="Arial" w:cs="Arial"/>
                <w:sz w:val="22"/>
                <w:szCs w:val="22"/>
              </w:rPr>
              <w:t>EK</w:t>
            </w:r>
            <w:r w:rsidR="00113638" w:rsidRPr="00B60970">
              <w:rPr>
                <w:rFonts w:ascii="Arial" w:hAnsi="Arial" w:cs="Arial"/>
                <w:sz w:val="22"/>
                <w:szCs w:val="22"/>
              </w:rPr>
              <w:t xml:space="preserve"> 2012</w:t>
            </w:r>
          </w:p>
          <w:p w14:paraId="02E62DE6" w14:textId="77777777" w:rsidR="00113638" w:rsidRPr="00B60970" w:rsidRDefault="008B7571" w:rsidP="00653A6E">
            <w:pPr>
              <w:spacing w:line="276" w:lineRule="auto"/>
              <w:jc w:val="both"/>
              <w:rPr>
                <w:rFonts w:ascii="Arial" w:hAnsi="Arial" w:cs="Arial"/>
                <w:sz w:val="22"/>
                <w:szCs w:val="22"/>
              </w:rPr>
            </w:pPr>
            <w:hyperlink r:id="rId10" w:history="1">
              <w:r w:rsidR="00113638" w:rsidRPr="00B60970">
                <w:rPr>
                  <w:rStyle w:val="Hypertextovodkaz"/>
                  <w:rFonts w:ascii="Arial" w:hAnsi="Arial" w:cs="Arial"/>
                  <w:sz w:val="22"/>
                  <w:szCs w:val="22"/>
                </w:rPr>
                <w:t>http://ec.europa.eu/environment/water/blueprint/pdf/EUR25551EN_JRC_Blueprint_NWRM.pdf</w:t>
              </w:r>
            </w:hyperlink>
          </w:p>
          <w:p w14:paraId="537B8B13" w14:textId="77777777" w:rsidR="00113638" w:rsidRPr="00B60970" w:rsidRDefault="00113638" w:rsidP="00653A6E">
            <w:pPr>
              <w:spacing w:line="276" w:lineRule="auto"/>
              <w:jc w:val="both"/>
              <w:rPr>
                <w:rFonts w:ascii="Arial" w:hAnsi="Arial" w:cs="Arial"/>
                <w:sz w:val="22"/>
                <w:szCs w:val="22"/>
              </w:rPr>
            </w:pPr>
            <w:r w:rsidRPr="00B60970">
              <w:rPr>
                <w:rFonts w:ascii="Arial" w:hAnsi="Arial" w:cs="Arial"/>
                <w:sz w:val="22"/>
                <w:szCs w:val="22"/>
              </w:rPr>
              <w:t>US EPA 2016</w:t>
            </w:r>
          </w:p>
          <w:p w14:paraId="45932C6C" w14:textId="77777777" w:rsidR="00113638" w:rsidRPr="00B60970" w:rsidRDefault="008B7571" w:rsidP="00653A6E">
            <w:pPr>
              <w:spacing w:line="276" w:lineRule="auto"/>
              <w:contextualSpacing/>
              <w:jc w:val="both"/>
              <w:rPr>
                <w:rFonts w:ascii="Arial" w:hAnsi="Arial" w:cs="Arial"/>
                <w:sz w:val="22"/>
                <w:szCs w:val="22"/>
              </w:rPr>
            </w:pPr>
            <w:hyperlink r:id="rId11" w:history="1">
              <w:r w:rsidR="00113638" w:rsidRPr="00B60970">
                <w:rPr>
                  <w:rStyle w:val="Hypertextovodkaz"/>
                  <w:rFonts w:ascii="Arial" w:hAnsi="Arial" w:cs="Arial"/>
                  <w:sz w:val="22"/>
                  <w:szCs w:val="22"/>
                </w:rPr>
                <w:t>https://www.epa.gov/climate-indicators/climate-change-indicators-streamflow</w:t>
              </w:r>
            </w:hyperlink>
          </w:p>
        </w:tc>
      </w:tr>
    </w:tbl>
    <w:p w14:paraId="62CCFB1D" w14:textId="77777777" w:rsidR="00113638" w:rsidRDefault="00113638" w:rsidP="00113638">
      <w:pPr>
        <w:rPr>
          <w:rFonts w:ascii="Arial" w:hAnsi="Arial" w:cs="Arial"/>
          <w:sz w:val="22"/>
          <w:szCs w:val="22"/>
        </w:rPr>
      </w:pPr>
    </w:p>
    <w:p w14:paraId="652AC6B0" w14:textId="0BEAC3C6" w:rsidR="00113638" w:rsidRPr="00113638" w:rsidRDefault="00113638" w:rsidP="00653A6E">
      <w:pPr>
        <w:pStyle w:val="r2030podcle"/>
        <w:numPr>
          <w:ilvl w:val="1"/>
          <w:numId w:val="17"/>
        </w:numPr>
        <w:ind w:left="567" w:hanging="425"/>
      </w:pPr>
      <w:r w:rsidRPr="00113638">
        <w:t>Kvalita povrchových i podzemních vod se zlepšuje.</w:t>
      </w:r>
    </w:p>
    <w:tbl>
      <w:tblPr>
        <w:tblStyle w:val="Mkatabulky"/>
        <w:tblW w:w="0" w:type="auto"/>
        <w:tblLook w:val="04A0" w:firstRow="1" w:lastRow="0" w:firstColumn="1" w:lastColumn="0" w:noHBand="0" w:noVBand="1"/>
      </w:tblPr>
      <w:tblGrid>
        <w:gridCol w:w="2802"/>
        <w:gridCol w:w="6486"/>
      </w:tblGrid>
      <w:tr w:rsidR="00113638" w:rsidRPr="00CA79AD" w14:paraId="6A878EEF" w14:textId="77777777" w:rsidTr="009C6CA5">
        <w:tc>
          <w:tcPr>
            <w:tcW w:w="2802" w:type="dxa"/>
          </w:tcPr>
          <w:p w14:paraId="35154A2B" w14:textId="77777777" w:rsidR="00113638" w:rsidRPr="00CA79AD" w:rsidRDefault="00113638" w:rsidP="009C6CA5">
            <w:pPr>
              <w:spacing w:line="276" w:lineRule="auto"/>
              <w:rPr>
                <w:rFonts w:ascii="Arial" w:hAnsi="Arial" w:cs="Arial"/>
                <w:sz w:val="22"/>
                <w:szCs w:val="22"/>
              </w:rPr>
            </w:pPr>
            <w:r w:rsidRPr="00CA79AD">
              <w:rPr>
                <w:rFonts w:ascii="Arial" w:hAnsi="Arial" w:cs="Arial"/>
                <w:sz w:val="22"/>
                <w:szCs w:val="22"/>
              </w:rPr>
              <w:t xml:space="preserve">Název a označení </w:t>
            </w:r>
            <w:r w:rsidRPr="00CA79AD">
              <w:rPr>
                <w:rFonts w:ascii="Arial" w:hAnsi="Arial" w:cs="Arial"/>
                <w:sz w:val="22"/>
                <w:szCs w:val="22"/>
              </w:rPr>
              <w:lastRenderedPageBreak/>
              <w:t xml:space="preserve">indikátoru: </w:t>
            </w:r>
          </w:p>
        </w:tc>
        <w:tc>
          <w:tcPr>
            <w:tcW w:w="6486" w:type="dxa"/>
          </w:tcPr>
          <w:p w14:paraId="0CCB339C" w14:textId="2DC9D373" w:rsidR="00113638" w:rsidRPr="0007074B" w:rsidRDefault="00113638" w:rsidP="009C6CA5">
            <w:pPr>
              <w:spacing w:line="276" w:lineRule="auto"/>
              <w:rPr>
                <w:rFonts w:ascii="Arial" w:eastAsia="Arial" w:hAnsi="Arial" w:cs="Arial"/>
                <w:b/>
                <w:sz w:val="22"/>
                <w:szCs w:val="22"/>
              </w:rPr>
            </w:pPr>
            <w:r>
              <w:rPr>
                <w:rFonts w:ascii="Arial" w:eastAsia="Calibri" w:hAnsi="Arial" w:cs="Arial"/>
                <w:b/>
                <w:noProof/>
                <w:sz w:val="22"/>
                <w:szCs w:val="22"/>
              </w:rPr>
              <w:lastRenderedPageBreak/>
              <w:t>14.2</w:t>
            </w:r>
            <w:r w:rsidRPr="0007074B">
              <w:rPr>
                <w:rFonts w:ascii="Arial" w:eastAsia="Calibri" w:hAnsi="Arial" w:cs="Arial"/>
                <w:b/>
                <w:noProof/>
                <w:sz w:val="22"/>
                <w:szCs w:val="22"/>
              </w:rPr>
              <w:t xml:space="preserve">.1 Ekologický stav </w:t>
            </w:r>
            <w:r w:rsidR="002F3509">
              <w:rPr>
                <w:rFonts w:ascii="Arial" w:eastAsia="Calibri" w:hAnsi="Arial" w:cs="Arial"/>
                <w:b/>
                <w:noProof/>
                <w:sz w:val="22"/>
                <w:szCs w:val="22"/>
              </w:rPr>
              <w:t>vodních útvarů</w:t>
            </w:r>
          </w:p>
        </w:tc>
      </w:tr>
      <w:tr w:rsidR="00113638" w:rsidRPr="00CA79AD" w14:paraId="6AC3E270" w14:textId="77777777" w:rsidTr="009C6CA5">
        <w:tc>
          <w:tcPr>
            <w:tcW w:w="2802" w:type="dxa"/>
          </w:tcPr>
          <w:p w14:paraId="6D83478E" w14:textId="77777777" w:rsidR="00113638" w:rsidRPr="00CA79AD" w:rsidRDefault="00113638" w:rsidP="009C6CA5">
            <w:pPr>
              <w:spacing w:line="276" w:lineRule="auto"/>
              <w:rPr>
                <w:rFonts w:ascii="Arial" w:hAnsi="Arial" w:cs="Arial"/>
                <w:sz w:val="22"/>
                <w:szCs w:val="22"/>
              </w:rPr>
            </w:pPr>
            <w:r w:rsidRPr="00CA79AD">
              <w:rPr>
                <w:rFonts w:ascii="Arial" w:hAnsi="Arial" w:cs="Arial"/>
                <w:sz w:val="22"/>
                <w:szCs w:val="22"/>
              </w:rPr>
              <w:lastRenderedPageBreak/>
              <w:t xml:space="preserve">Stručná definice: </w:t>
            </w:r>
          </w:p>
        </w:tc>
        <w:tc>
          <w:tcPr>
            <w:tcW w:w="6486" w:type="dxa"/>
          </w:tcPr>
          <w:p w14:paraId="605CFF88" w14:textId="77777777" w:rsidR="00113638" w:rsidRPr="00CA79AD" w:rsidRDefault="00113638" w:rsidP="00653A6E">
            <w:pPr>
              <w:spacing w:line="276" w:lineRule="auto"/>
              <w:jc w:val="both"/>
              <w:rPr>
                <w:rFonts w:ascii="Arial" w:hAnsi="Arial" w:cs="Arial"/>
                <w:sz w:val="22"/>
                <w:szCs w:val="22"/>
              </w:rPr>
            </w:pPr>
            <w:r w:rsidRPr="00CA79AD">
              <w:rPr>
                <w:rFonts w:ascii="Arial" w:eastAsia="Calibri" w:hAnsi="Arial" w:cs="Arial"/>
                <w:noProof/>
                <w:sz w:val="22"/>
                <w:szCs w:val="22"/>
              </w:rPr>
              <w:t xml:space="preserve">Indikátor se vypočítá jako podíl počtu útvarů povrchových vod dosahujích </w:t>
            </w:r>
            <w:r w:rsidRPr="00CA79AD">
              <w:rPr>
                <w:rFonts w:ascii="Arial" w:hAnsi="Arial" w:cs="Arial"/>
                <w:sz w:val="22"/>
                <w:szCs w:val="22"/>
              </w:rPr>
              <w:t xml:space="preserve">dobrého nebo ještě lepšího ekologického stavu, resp. (pro silně ovlivněné a umělé povrchové vody) ekologického potenciálu, na </w:t>
            </w:r>
            <w:r w:rsidRPr="00CA79AD">
              <w:rPr>
                <w:rFonts w:ascii="Arial" w:eastAsia="Calibri" w:hAnsi="Arial" w:cs="Arial"/>
                <w:noProof/>
                <w:sz w:val="22"/>
                <w:szCs w:val="22"/>
              </w:rPr>
              <w:t>celkovém počtu útvarů povrchových vod, vymezených podle Rámcové směrnice o vodách.</w:t>
            </w:r>
          </w:p>
        </w:tc>
      </w:tr>
      <w:tr w:rsidR="00113638" w:rsidRPr="00CA79AD" w14:paraId="4C405643" w14:textId="77777777" w:rsidTr="009C6CA5">
        <w:tc>
          <w:tcPr>
            <w:tcW w:w="2802" w:type="dxa"/>
          </w:tcPr>
          <w:p w14:paraId="77D2E150" w14:textId="77777777" w:rsidR="00113638" w:rsidRPr="00CA79AD" w:rsidRDefault="00113638" w:rsidP="009C6CA5">
            <w:pPr>
              <w:spacing w:line="276" w:lineRule="auto"/>
              <w:rPr>
                <w:rFonts w:ascii="Arial" w:hAnsi="Arial" w:cs="Arial"/>
                <w:sz w:val="22"/>
                <w:szCs w:val="22"/>
              </w:rPr>
            </w:pPr>
            <w:r w:rsidRPr="00CA79AD">
              <w:rPr>
                <w:rFonts w:ascii="Arial" w:hAnsi="Arial" w:cs="Arial"/>
                <w:sz w:val="22"/>
                <w:szCs w:val="22"/>
              </w:rPr>
              <w:t>Jednotka:</w:t>
            </w:r>
          </w:p>
        </w:tc>
        <w:tc>
          <w:tcPr>
            <w:tcW w:w="6486" w:type="dxa"/>
          </w:tcPr>
          <w:p w14:paraId="701AB937" w14:textId="77777777" w:rsidR="00113638" w:rsidRPr="00CA79AD" w:rsidRDefault="00113638" w:rsidP="00653A6E">
            <w:pPr>
              <w:spacing w:line="276" w:lineRule="auto"/>
              <w:jc w:val="both"/>
              <w:rPr>
                <w:rFonts w:ascii="Arial" w:hAnsi="Arial" w:cs="Arial"/>
                <w:sz w:val="22"/>
                <w:szCs w:val="22"/>
              </w:rPr>
            </w:pPr>
            <w:r>
              <w:rPr>
                <w:rFonts w:ascii="Arial" w:hAnsi="Arial" w:cs="Arial"/>
                <w:sz w:val="22"/>
                <w:szCs w:val="22"/>
              </w:rPr>
              <w:t xml:space="preserve">Podíl (v </w:t>
            </w:r>
            <w:r w:rsidRPr="00CA79AD">
              <w:rPr>
                <w:rFonts w:ascii="Arial" w:hAnsi="Arial" w:cs="Arial"/>
                <w:sz w:val="22"/>
                <w:szCs w:val="22"/>
              </w:rPr>
              <w:t>%</w:t>
            </w:r>
            <w:r>
              <w:rPr>
                <w:rFonts w:ascii="Arial" w:hAnsi="Arial" w:cs="Arial"/>
                <w:sz w:val="22"/>
                <w:szCs w:val="22"/>
              </w:rPr>
              <w:t>)</w:t>
            </w:r>
          </w:p>
        </w:tc>
      </w:tr>
      <w:tr w:rsidR="00113638" w:rsidRPr="00CA79AD" w14:paraId="465EAF24" w14:textId="77777777" w:rsidTr="009C6CA5">
        <w:tc>
          <w:tcPr>
            <w:tcW w:w="2802" w:type="dxa"/>
          </w:tcPr>
          <w:p w14:paraId="5B3A15BD" w14:textId="77777777" w:rsidR="00113638" w:rsidRPr="00CA79AD" w:rsidRDefault="00113638" w:rsidP="009C6CA5">
            <w:pPr>
              <w:spacing w:line="276" w:lineRule="auto"/>
              <w:rPr>
                <w:rFonts w:ascii="Arial" w:hAnsi="Arial" w:cs="Arial"/>
                <w:sz w:val="22"/>
                <w:szCs w:val="22"/>
              </w:rPr>
            </w:pPr>
            <w:r w:rsidRPr="00CA79AD">
              <w:rPr>
                <w:rFonts w:ascii="Arial" w:hAnsi="Arial" w:cs="Arial"/>
                <w:sz w:val="22"/>
                <w:szCs w:val="22"/>
              </w:rPr>
              <w:t xml:space="preserve">Gestor: </w:t>
            </w:r>
          </w:p>
        </w:tc>
        <w:tc>
          <w:tcPr>
            <w:tcW w:w="6486" w:type="dxa"/>
          </w:tcPr>
          <w:p w14:paraId="5E60E5D9" w14:textId="48FE2B54" w:rsidR="00113638" w:rsidRPr="00CA79AD" w:rsidRDefault="00113638" w:rsidP="00653A6E">
            <w:pPr>
              <w:spacing w:line="276" w:lineRule="auto"/>
              <w:jc w:val="both"/>
              <w:rPr>
                <w:rFonts w:ascii="Arial" w:hAnsi="Arial" w:cs="Arial"/>
                <w:sz w:val="22"/>
                <w:szCs w:val="22"/>
              </w:rPr>
            </w:pPr>
            <w:r>
              <w:rPr>
                <w:rFonts w:ascii="Arial" w:hAnsi="Arial" w:cs="Arial"/>
                <w:sz w:val="22"/>
                <w:szCs w:val="22"/>
              </w:rPr>
              <w:t>Ministerstvo životního prostředí</w:t>
            </w:r>
            <w:r w:rsidR="002F3509">
              <w:rPr>
                <w:rFonts w:ascii="Arial" w:hAnsi="Arial" w:cs="Arial"/>
                <w:sz w:val="22"/>
                <w:szCs w:val="22"/>
              </w:rPr>
              <w:t>, Ministerstvo zemědělství</w:t>
            </w:r>
          </w:p>
        </w:tc>
      </w:tr>
      <w:tr w:rsidR="00113638" w:rsidRPr="00CA79AD" w14:paraId="0234F0CA" w14:textId="77777777" w:rsidTr="009C6CA5">
        <w:tc>
          <w:tcPr>
            <w:tcW w:w="2802" w:type="dxa"/>
          </w:tcPr>
          <w:p w14:paraId="3971D4D7" w14:textId="77777777" w:rsidR="00113638" w:rsidRPr="00CA79AD" w:rsidRDefault="00113638" w:rsidP="009C6CA5">
            <w:pPr>
              <w:spacing w:line="276" w:lineRule="auto"/>
              <w:rPr>
                <w:rFonts w:ascii="Arial" w:hAnsi="Arial" w:cs="Arial"/>
                <w:sz w:val="22"/>
                <w:szCs w:val="22"/>
              </w:rPr>
            </w:pPr>
            <w:r w:rsidRPr="00CA79AD">
              <w:rPr>
                <w:rFonts w:ascii="Arial" w:hAnsi="Arial" w:cs="Arial"/>
                <w:sz w:val="22"/>
                <w:szCs w:val="22"/>
              </w:rPr>
              <w:t xml:space="preserve">Význam indikátoru: </w:t>
            </w:r>
          </w:p>
        </w:tc>
        <w:tc>
          <w:tcPr>
            <w:tcW w:w="6486" w:type="dxa"/>
          </w:tcPr>
          <w:p w14:paraId="5EFF10FF" w14:textId="77777777" w:rsidR="00113638" w:rsidRPr="00CA79AD" w:rsidRDefault="00113638" w:rsidP="00653A6E">
            <w:pPr>
              <w:pStyle w:val="Textpoznpodarou"/>
              <w:spacing w:line="276" w:lineRule="auto"/>
              <w:jc w:val="both"/>
              <w:rPr>
                <w:rFonts w:ascii="Arial" w:hAnsi="Arial" w:cs="Arial"/>
                <w:sz w:val="22"/>
                <w:szCs w:val="22"/>
              </w:rPr>
            </w:pPr>
            <w:r w:rsidRPr="00CA79AD">
              <w:rPr>
                <w:rFonts w:ascii="Arial" w:hAnsi="Arial" w:cs="Arial"/>
                <w:sz w:val="22"/>
                <w:szCs w:val="22"/>
              </w:rPr>
              <w:t>Ekologický stav vodního útvaru ukazuje velikost odchylky od referenčních podmínek nenarušeného stavu, a to na základě tří skupin parametrů:</w:t>
            </w:r>
          </w:p>
          <w:p w14:paraId="7A3BFF1E" w14:textId="77777777" w:rsidR="00113638" w:rsidRPr="00CA79AD" w:rsidRDefault="00113638" w:rsidP="00653A6E">
            <w:pPr>
              <w:pStyle w:val="Textpoznpodarou"/>
              <w:numPr>
                <w:ilvl w:val="0"/>
                <w:numId w:val="3"/>
              </w:numPr>
              <w:spacing w:line="276" w:lineRule="auto"/>
              <w:ind w:left="426"/>
              <w:jc w:val="both"/>
              <w:rPr>
                <w:rFonts w:ascii="Arial" w:hAnsi="Arial" w:cs="Arial"/>
                <w:sz w:val="22"/>
                <w:szCs w:val="22"/>
              </w:rPr>
            </w:pPr>
            <w:r w:rsidRPr="00CA79AD">
              <w:rPr>
                <w:rFonts w:ascii="Arial" w:hAnsi="Arial" w:cs="Arial"/>
                <w:sz w:val="22"/>
                <w:szCs w:val="22"/>
              </w:rPr>
              <w:t>biologických (složení a četnost populací ryb, dalších vodních živočichů a vodní flóry),</w:t>
            </w:r>
          </w:p>
          <w:p w14:paraId="6AB72518" w14:textId="77777777" w:rsidR="00113638" w:rsidRPr="00CA79AD" w:rsidRDefault="00113638" w:rsidP="00653A6E">
            <w:pPr>
              <w:pStyle w:val="Textpoznpodarou"/>
              <w:numPr>
                <w:ilvl w:val="0"/>
                <w:numId w:val="3"/>
              </w:numPr>
              <w:spacing w:line="276" w:lineRule="auto"/>
              <w:ind w:left="426"/>
              <w:jc w:val="both"/>
              <w:rPr>
                <w:rFonts w:ascii="Arial" w:hAnsi="Arial" w:cs="Arial"/>
                <w:sz w:val="22"/>
                <w:szCs w:val="22"/>
              </w:rPr>
            </w:pPr>
            <w:r w:rsidRPr="00CA79AD">
              <w:rPr>
                <w:rFonts w:ascii="Arial" w:hAnsi="Arial" w:cs="Arial"/>
                <w:sz w:val="22"/>
                <w:szCs w:val="22"/>
              </w:rPr>
              <w:t>všeobecných fyzikálně-chemických (u povrchových vod tekoucích to jsou teplotní a kyslíkové poměry, obsah solí, kyselost/zásaditost a obsah dusíku a fosforu coby základních živin) a obsahu sp</w:t>
            </w:r>
            <w:r w:rsidR="00E53A58">
              <w:rPr>
                <w:rFonts w:ascii="Arial" w:hAnsi="Arial" w:cs="Arial"/>
                <w:sz w:val="22"/>
                <w:szCs w:val="22"/>
              </w:rPr>
              <w:t>ecifických znečišťujících látek</w:t>
            </w:r>
          </w:p>
          <w:p w14:paraId="0F170C06" w14:textId="77777777" w:rsidR="00113638" w:rsidRPr="00CA79AD" w:rsidRDefault="00113638" w:rsidP="00653A6E">
            <w:pPr>
              <w:pStyle w:val="Odstavecseseznamem"/>
              <w:numPr>
                <w:ilvl w:val="0"/>
                <w:numId w:val="3"/>
              </w:numPr>
              <w:spacing w:line="276" w:lineRule="auto"/>
              <w:ind w:left="459"/>
              <w:jc w:val="both"/>
              <w:rPr>
                <w:rFonts w:ascii="Arial" w:hAnsi="Arial" w:cs="Arial"/>
                <w:sz w:val="22"/>
                <w:szCs w:val="22"/>
              </w:rPr>
            </w:pPr>
            <w:r w:rsidRPr="00CA79AD">
              <w:rPr>
                <w:rFonts w:ascii="Arial" w:hAnsi="Arial" w:cs="Arial"/>
                <w:sz w:val="22"/>
                <w:szCs w:val="22"/>
              </w:rPr>
              <w:t xml:space="preserve">a </w:t>
            </w:r>
            <w:proofErr w:type="spellStart"/>
            <w:r w:rsidRPr="00CA79AD">
              <w:rPr>
                <w:rFonts w:ascii="Arial" w:hAnsi="Arial" w:cs="Arial"/>
                <w:sz w:val="22"/>
                <w:szCs w:val="22"/>
              </w:rPr>
              <w:t>hydromorfologických</w:t>
            </w:r>
            <w:proofErr w:type="spellEnd"/>
            <w:r w:rsidRPr="00CA79AD">
              <w:rPr>
                <w:rFonts w:ascii="Arial" w:hAnsi="Arial" w:cs="Arial"/>
                <w:sz w:val="22"/>
                <w:szCs w:val="22"/>
              </w:rPr>
              <w:t xml:space="preserve"> (dynamika proudění, kontinuita toku, variabilita jeho hloubky a šířky atd.).</w:t>
            </w:r>
          </w:p>
        </w:tc>
      </w:tr>
      <w:tr w:rsidR="00113638" w:rsidRPr="00CA79AD" w14:paraId="443901B4" w14:textId="77777777" w:rsidTr="009C6CA5">
        <w:tc>
          <w:tcPr>
            <w:tcW w:w="2802" w:type="dxa"/>
          </w:tcPr>
          <w:p w14:paraId="4406281C" w14:textId="77777777" w:rsidR="00113638" w:rsidRPr="00CA79AD" w:rsidRDefault="00113638" w:rsidP="009C6CA5">
            <w:pPr>
              <w:spacing w:line="276" w:lineRule="auto"/>
              <w:rPr>
                <w:rFonts w:ascii="Arial" w:hAnsi="Arial" w:cs="Arial"/>
                <w:sz w:val="22"/>
                <w:szCs w:val="22"/>
              </w:rPr>
            </w:pPr>
            <w:r w:rsidRPr="00CA79AD">
              <w:rPr>
                <w:rFonts w:ascii="Arial" w:hAnsi="Arial" w:cs="Arial"/>
                <w:sz w:val="22"/>
                <w:szCs w:val="22"/>
              </w:rPr>
              <w:t xml:space="preserve">Časová řada: </w:t>
            </w:r>
          </w:p>
        </w:tc>
        <w:tc>
          <w:tcPr>
            <w:tcW w:w="6486" w:type="dxa"/>
          </w:tcPr>
          <w:p w14:paraId="3B3D92E4" w14:textId="77777777" w:rsidR="00113638" w:rsidRPr="00CA79AD" w:rsidRDefault="00113638" w:rsidP="00653A6E">
            <w:pPr>
              <w:spacing w:line="276" w:lineRule="auto"/>
              <w:jc w:val="both"/>
              <w:rPr>
                <w:rFonts w:ascii="Arial" w:hAnsi="Arial" w:cs="Arial"/>
                <w:sz w:val="22"/>
                <w:szCs w:val="22"/>
              </w:rPr>
            </w:pPr>
            <w:r w:rsidRPr="00CA79AD">
              <w:rPr>
                <w:rFonts w:ascii="Arial" w:hAnsi="Arial" w:cs="Arial"/>
                <w:sz w:val="22"/>
                <w:szCs w:val="22"/>
              </w:rPr>
              <w:t>Roky 2009, 2015, 2021, 2027</w:t>
            </w:r>
          </w:p>
        </w:tc>
      </w:tr>
      <w:tr w:rsidR="00113638" w:rsidRPr="00CA79AD" w14:paraId="1F1EE9DD" w14:textId="77777777" w:rsidTr="009C6CA5">
        <w:tc>
          <w:tcPr>
            <w:tcW w:w="2802" w:type="dxa"/>
          </w:tcPr>
          <w:p w14:paraId="5A033E2A" w14:textId="77777777" w:rsidR="00113638" w:rsidRPr="00CA79AD" w:rsidRDefault="00113638" w:rsidP="009C6CA5">
            <w:pPr>
              <w:spacing w:line="276" w:lineRule="auto"/>
              <w:rPr>
                <w:rFonts w:ascii="Arial" w:hAnsi="Arial" w:cs="Arial"/>
                <w:sz w:val="22"/>
                <w:szCs w:val="22"/>
              </w:rPr>
            </w:pPr>
            <w:r w:rsidRPr="00CA79AD">
              <w:rPr>
                <w:rFonts w:ascii="Arial" w:hAnsi="Arial" w:cs="Arial"/>
                <w:sz w:val="22"/>
                <w:szCs w:val="22"/>
              </w:rPr>
              <w:t xml:space="preserve">Frekvence výstupu: </w:t>
            </w:r>
          </w:p>
        </w:tc>
        <w:tc>
          <w:tcPr>
            <w:tcW w:w="6486" w:type="dxa"/>
          </w:tcPr>
          <w:p w14:paraId="4974C10D" w14:textId="77777777" w:rsidR="00113638" w:rsidRPr="00CA79AD" w:rsidRDefault="00113638" w:rsidP="00653A6E">
            <w:pPr>
              <w:spacing w:line="276" w:lineRule="auto"/>
              <w:jc w:val="both"/>
              <w:rPr>
                <w:rFonts w:ascii="Arial" w:hAnsi="Arial" w:cs="Arial"/>
                <w:sz w:val="22"/>
                <w:szCs w:val="22"/>
              </w:rPr>
            </w:pPr>
            <w:r w:rsidRPr="00CA79AD">
              <w:rPr>
                <w:rFonts w:ascii="Arial" w:hAnsi="Arial" w:cs="Arial"/>
                <w:sz w:val="22"/>
                <w:szCs w:val="22"/>
              </w:rPr>
              <w:t>Jednou za 6 let</w:t>
            </w:r>
          </w:p>
        </w:tc>
      </w:tr>
      <w:tr w:rsidR="00113638" w:rsidRPr="00CA79AD" w14:paraId="67218C4C" w14:textId="77777777" w:rsidTr="009C6CA5">
        <w:trPr>
          <w:trHeight w:val="70"/>
        </w:trPr>
        <w:tc>
          <w:tcPr>
            <w:tcW w:w="2802" w:type="dxa"/>
          </w:tcPr>
          <w:p w14:paraId="7FFE8A77" w14:textId="77777777" w:rsidR="00113638" w:rsidRPr="00CA79AD" w:rsidRDefault="00113638" w:rsidP="009C6CA5">
            <w:pPr>
              <w:spacing w:line="276" w:lineRule="auto"/>
              <w:rPr>
                <w:rFonts w:ascii="Arial" w:hAnsi="Arial" w:cs="Arial"/>
                <w:sz w:val="22"/>
                <w:szCs w:val="22"/>
              </w:rPr>
            </w:pPr>
            <w:r w:rsidRPr="00CA79AD">
              <w:rPr>
                <w:rFonts w:ascii="Arial" w:hAnsi="Arial" w:cs="Arial"/>
                <w:sz w:val="22"/>
                <w:szCs w:val="22"/>
              </w:rPr>
              <w:t xml:space="preserve">Členění indikátoru: </w:t>
            </w:r>
          </w:p>
        </w:tc>
        <w:tc>
          <w:tcPr>
            <w:tcW w:w="6486" w:type="dxa"/>
          </w:tcPr>
          <w:p w14:paraId="6312E67F" w14:textId="14469377" w:rsidR="00113638" w:rsidRPr="00CA79AD" w:rsidRDefault="00146D1C" w:rsidP="00653A6E">
            <w:pPr>
              <w:spacing w:line="276" w:lineRule="auto"/>
              <w:jc w:val="both"/>
              <w:rPr>
                <w:rFonts w:ascii="Arial" w:hAnsi="Arial" w:cs="Arial"/>
                <w:sz w:val="22"/>
                <w:szCs w:val="22"/>
              </w:rPr>
            </w:pPr>
            <w:r>
              <w:rPr>
                <w:rFonts w:ascii="Arial" w:hAnsi="Arial" w:cs="Arial"/>
                <w:sz w:val="22"/>
                <w:szCs w:val="22"/>
              </w:rPr>
              <w:t>Celostátně</w:t>
            </w:r>
            <w:r w:rsidR="00113638" w:rsidRPr="00CA79AD">
              <w:rPr>
                <w:rFonts w:ascii="Arial" w:hAnsi="Arial" w:cs="Arial"/>
                <w:sz w:val="22"/>
                <w:szCs w:val="22"/>
              </w:rPr>
              <w:t xml:space="preserve"> a po jednotlivých deseti dílčích povodích</w:t>
            </w:r>
          </w:p>
        </w:tc>
      </w:tr>
      <w:tr w:rsidR="00113638" w:rsidRPr="00CA79AD" w14:paraId="5B0C2821" w14:textId="77777777" w:rsidTr="009C6CA5">
        <w:trPr>
          <w:trHeight w:val="70"/>
        </w:trPr>
        <w:tc>
          <w:tcPr>
            <w:tcW w:w="2802" w:type="dxa"/>
          </w:tcPr>
          <w:p w14:paraId="0D102A9C" w14:textId="77777777" w:rsidR="00113638" w:rsidRPr="00CA79AD" w:rsidRDefault="00113638" w:rsidP="009C6CA5">
            <w:pPr>
              <w:spacing w:line="276" w:lineRule="auto"/>
              <w:rPr>
                <w:rFonts w:ascii="Arial" w:hAnsi="Arial" w:cs="Arial"/>
                <w:sz w:val="22"/>
                <w:szCs w:val="22"/>
              </w:rPr>
            </w:pPr>
            <w:r w:rsidRPr="00CA79AD">
              <w:rPr>
                <w:rFonts w:ascii="Arial" w:hAnsi="Arial" w:cs="Arial"/>
                <w:sz w:val="22"/>
                <w:szCs w:val="22"/>
              </w:rPr>
              <w:t>Mezinárodní srovnání:</w:t>
            </w:r>
          </w:p>
        </w:tc>
        <w:tc>
          <w:tcPr>
            <w:tcW w:w="6486" w:type="dxa"/>
          </w:tcPr>
          <w:p w14:paraId="403F64D5" w14:textId="7CCA0FA6" w:rsidR="00113638" w:rsidRPr="00CA79AD" w:rsidRDefault="002F3509" w:rsidP="00653A6E">
            <w:pPr>
              <w:spacing w:line="276" w:lineRule="auto"/>
              <w:jc w:val="both"/>
              <w:rPr>
                <w:rFonts w:ascii="Arial" w:hAnsi="Arial" w:cs="Arial"/>
                <w:sz w:val="22"/>
                <w:szCs w:val="22"/>
              </w:rPr>
            </w:pPr>
            <w:r w:rsidRPr="00F8467D">
              <w:rPr>
                <w:rFonts w:ascii="Arial" w:hAnsi="Arial" w:cs="Arial"/>
                <w:color w:val="000000"/>
                <w:sz w:val="22"/>
                <w:szCs w:val="22"/>
              </w:rPr>
              <w:t>Evropská komise/Evropská agentura pro životní prostředí</w:t>
            </w:r>
          </w:p>
        </w:tc>
      </w:tr>
    </w:tbl>
    <w:p w14:paraId="7C6C5147" w14:textId="77777777" w:rsidR="00113638" w:rsidRPr="00CA79AD" w:rsidRDefault="00113638" w:rsidP="00113638">
      <w:pPr>
        <w:tabs>
          <w:tab w:val="left" w:pos="567"/>
        </w:tabs>
        <w:spacing w:line="276" w:lineRule="auto"/>
        <w:contextualSpacing/>
        <w:rPr>
          <w:rFonts w:ascii="Arial" w:eastAsia="Calibri" w:hAnsi="Arial" w:cs="Arial"/>
          <w:noProof/>
          <w:sz w:val="22"/>
          <w:szCs w:val="22"/>
          <w:lang w:eastAsia="en-US"/>
        </w:rPr>
      </w:pPr>
    </w:p>
    <w:tbl>
      <w:tblPr>
        <w:tblStyle w:val="Mkatabulky"/>
        <w:tblW w:w="0" w:type="auto"/>
        <w:tblLook w:val="04A0" w:firstRow="1" w:lastRow="0" w:firstColumn="1" w:lastColumn="0" w:noHBand="0" w:noVBand="1"/>
      </w:tblPr>
      <w:tblGrid>
        <w:gridCol w:w="2802"/>
        <w:gridCol w:w="6486"/>
      </w:tblGrid>
      <w:tr w:rsidR="00113638" w:rsidRPr="00CA79AD" w14:paraId="7D61D7D8" w14:textId="77777777" w:rsidTr="009C6CA5">
        <w:tc>
          <w:tcPr>
            <w:tcW w:w="2802" w:type="dxa"/>
          </w:tcPr>
          <w:p w14:paraId="62770215" w14:textId="77777777" w:rsidR="00113638" w:rsidRPr="00CA79AD" w:rsidRDefault="00113638" w:rsidP="009C6CA5">
            <w:pPr>
              <w:spacing w:line="276" w:lineRule="auto"/>
              <w:rPr>
                <w:rFonts w:ascii="Arial" w:hAnsi="Arial" w:cs="Arial"/>
                <w:sz w:val="22"/>
                <w:szCs w:val="22"/>
              </w:rPr>
            </w:pPr>
            <w:r w:rsidRPr="00CA79AD">
              <w:rPr>
                <w:rFonts w:ascii="Arial" w:hAnsi="Arial" w:cs="Arial"/>
                <w:sz w:val="22"/>
                <w:szCs w:val="22"/>
              </w:rPr>
              <w:t xml:space="preserve">Název a označení indikátoru: </w:t>
            </w:r>
          </w:p>
        </w:tc>
        <w:tc>
          <w:tcPr>
            <w:tcW w:w="6486" w:type="dxa"/>
          </w:tcPr>
          <w:p w14:paraId="0A97D20C" w14:textId="4ACD9763" w:rsidR="00113638" w:rsidRPr="0007074B" w:rsidRDefault="00113638" w:rsidP="009C6CA5">
            <w:pPr>
              <w:spacing w:line="276" w:lineRule="auto"/>
              <w:rPr>
                <w:rFonts w:ascii="Arial" w:eastAsia="Arial" w:hAnsi="Arial" w:cs="Arial"/>
                <w:b/>
                <w:sz w:val="22"/>
                <w:szCs w:val="22"/>
              </w:rPr>
            </w:pPr>
            <w:r>
              <w:rPr>
                <w:rFonts w:ascii="Arial" w:eastAsia="Calibri" w:hAnsi="Arial" w:cs="Arial"/>
                <w:b/>
                <w:noProof/>
                <w:sz w:val="22"/>
                <w:szCs w:val="22"/>
              </w:rPr>
              <w:t>14.2</w:t>
            </w:r>
            <w:r w:rsidRPr="0007074B">
              <w:rPr>
                <w:rFonts w:ascii="Arial" w:eastAsia="Calibri" w:hAnsi="Arial" w:cs="Arial"/>
                <w:b/>
                <w:noProof/>
                <w:sz w:val="22"/>
                <w:szCs w:val="22"/>
              </w:rPr>
              <w:t xml:space="preserve">.2 Chemický stav </w:t>
            </w:r>
            <w:r w:rsidR="00AD4798">
              <w:rPr>
                <w:rFonts w:ascii="Arial" w:eastAsia="Calibri" w:hAnsi="Arial" w:cs="Arial"/>
                <w:b/>
                <w:noProof/>
                <w:sz w:val="22"/>
                <w:szCs w:val="22"/>
              </w:rPr>
              <w:t xml:space="preserve">útvarů </w:t>
            </w:r>
            <w:r w:rsidRPr="0007074B">
              <w:rPr>
                <w:rFonts w:ascii="Arial" w:eastAsia="Calibri" w:hAnsi="Arial" w:cs="Arial"/>
                <w:b/>
                <w:noProof/>
                <w:sz w:val="22"/>
                <w:szCs w:val="22"/>
              </w:rPr>
              <w:t>povrchových a podzemních vod</w:t>
            </w:r>
          </w:p>
        </w:tc>
      </w:tr>
      <w:tr w:rsidR="00113638" w:rsidRPr="00CA79AD" w14:paraId="7AE8D291" w14:textId="77777777" w:rsidTr="009C6CA5">
        <w:tc>
          <w:tcPr>
            <w:tcW w:w="2802" w:type="dxa"/>
          </w:tcPr>
          <w:p w14:paraId="2DA2703B" w14:textId="77777777" w:rsidR="00113638" w:rsidRPr="00CA79AD" w:rsidRDefault="00113638" w:rsidP="009C6CA5">
            <w:pPr>
              <w:spacing w:line="276" w:lineRule="auto"/>
              <w:rPr>
                <w:rFonts w:ascii="Arial" w:hAnsi="Arial" w:cs="Arial"/>
                <w:sz w:val="22"/>
                <w:szCs w:val="22"/>
              </w:rPr>
            </w:pPr>
            <w:r w:rsidRPr="00CA79AD">
              <w:rPr>
                <w:rFonts w:ascii="Arial" w:hAnsi="Arial" w:cs="Arial"/>
                <w:sz w:val="22"/>
                <w:szCs w:val="22"/>
              </w:rPr>
              <w:t xml:space="preserve">Stručná definice: </w:t>
            </w:r>
          </w:p>
        </w:tc>
        <w:tc>
          <w:tcPr>
            <w:tcW w:w="6486" w:type="dxa"/>
          </w:tcPr>
          <w:p w14:paraId="4BB85D87" w14:textId="77777777" w:rsidR="00113638" w:rsidRPr="00CA79AD" w:rsidRDefault="00113638" w:rsidP="00653A6E">
            <w:pPr>
              <w:spacing w:line="276" w:lineRule="auto"/>
              <w:jc w:val="both"/>
              <w:rPr>
                <w:rFonts w:ascii="Arial" w:hAnsi="Arial" w:cs="Arial"/>
                <w:sz w:val="22"/>
                <w:szCs w:val="22"/>
              </w:rPr>
            </w:pPr>
            <w:r w:rsidRPr="00CA79AD">
              <w:rPr>
                <w:rFonts w:ascii="Arial" w:eastAsia="Calibri" w:hAnsi="Arial" w:cs="Arial"/>
                <w:noProof/>
                <w:sz w:val="22"/>
                <w:szCs w:val="22"/>
              </w:rPr>
              <w:t xml:space="preserve">Indikátor se vypočítá jako podíl počtu útvarů povrchových, resp. podzemních vod, dosahujích </w:t>
            </w:r>
            <w:r w:rsidRPr="00CA79AD">
              <w:rPr>
                <w:rFonts w:ascii="Arial" w:hAnsi="Arial" w:cs="Arial"/>
                <w:sz w:val="22"/>
                <w:szCs w:val="22"/>
              </w:rPr>
              <w:t xml:space="preserve">dobrého chemického stavu, na </w:t>
            </w:r>
            <w:r w:rsidRPr="00CA79AD">
              <w:rPr>
                <w:rFonts w:ascii="Arial" w:eastAsia="Calibri" w:hAnsi="Arial" w:cs="Arial"/>
                <w:noProof/>
                <w:sz w:val="22"/>
                <w:szCs w:val="22"/>
              </w:rPr>
              <w:t>celkovém počtu útvarů povrchových, resp. podzemních vod, vymezených podle Rámcové směrnice o vodách.</w:t>
            </w:r>
          </w:p>
        </w:tc>
      </w:tr>
      <w:tr w:rsidR="00113638" w:rsidRPr="00CA79AD" w14:paraId="3157B245" w14:textId="77777777" w:rsidTr="009C6CA5">
        <w:tc>
          <w:tcPr>
            <w:tcW w:w="2802" w:type="dxa"/>
          </w:tcPr>
          <w:p w14:paraId="50E2EC4D" w14:textId="77777777" w:rsidR="00113638" w:rsidRPr="00CA79AD" w:rsidRDefault="00113638" w:rsidP="009C6CA5">
            <w:pPr>
              <w:spacing w:line="276" w:lineRule="auto"/>
              <w:rPr>
                <w:rFonts w:ascii="Arial" w:hAnsi="Arial" w:cs="Arial"/>
                <w:sz w:val="22"/>
                <w:szCs w:val="22"/>
              </w:rPr>
            </w:pPr>
            <w:r w:rsidRPr="00CA79AD">
              <w:rPr>
                <w:rFonts w:ascii="Arial" w:hAnsi="Arial" w:cs="Arial"/>
                <w:sz w:val="22"/>
                <w:szCs w:val="22"/>
              </w:rPr>
              <w:t>Jednotka:</w:t>
            </w:r>
          </w:p>
        </w:tc>
        <w:tc>
          <w:tcPr>
            <w:tcW w:w="6486" w:type="dxa"/>
          </w:tcPr>
          <w:p w14:paraId="2C9027E8" w14:textId="77777777" w:rsidR="00113638" w:rsidRPr="00CA79AD" w:rsidRDefault="00E53A58" w:rsidP="00653A6E">
            <w:pPr>
              <w:spacing w:line="276" w:lineRule="auto"/>
              <w:jc w:val="both"/>
              <w:rPr>
                <w:rFonts w:ascii="Arial" w:hAnsi="Arial" w:cs="Arial"/>
                <w:sz w:val="22"/>
                <w:szCs w:val="22"/>
              </w:rPr>
            </w:pPr>
            <w:r>
              <w:rPr>
                <w:rFonts w:ascii="Arial" w:hAnsi="Arial" w:cs="Arial"/>
                <w:sz w:val="22"/>
                <w:szCs w:val="22"/>
              </w:rPr>
              <w:t xml:space="preserve">Podíl (v </w:t>
            </w:r>
            <w:r w:rsidR="00113638" w:rsidRPr="00CA79AD">
              <w:rPr>
                <w:rFonts w:ascii="Arial" w:hAnsi="Arial" w:cs="Arial"/>
                <w:sz w:val="22"/>
                <w:szCs w:val="22"/>
              </w:rPr>
              <w:t>%</w:t>
            </w:r>
            <w:r>
              <w:rPr>
                <w:rFonts w:ascii="Arial" w:hAnsi="Arial" w:cs="Arial"/>
                <w:sz w:val="22"/>
                <w:szCs w:val="22"/>
              </w:rPr>
              <w:t>)</w:t>
            </w:r>
          </w:p>
        </w:tc>
      </w:tr>
      <w:tr w:rsidR="00113638" w:rsidRPr="00CA79AD" w14:paraId="2CA5D35D" w14:textId="77777777" w:rsidTr="009C6CA5">
        <w:tc>
          <w:tcPr>
            <w:tcW w:w="2802" w:type="dxa"/>
          </w:tcPr>
          <w:p w14:paraId="0C5EC362" w14:textId="77777777" w:rsidR="00113638" w:rsidRPr="00CA79AD" w:rsidRDefault="00113638" w:rsidP="009C6CA5">
            <w:pPr>
              <w:spacing w:line="276" w:lineRule="auto"/>
              <w:rPr>
                <w:rFonts w:ascii="Arial" w:hAnsi="Arial" w:cs="Arial"/>
                <w:sz w:val="22"/>
                <w:szCs w:val="22"/>
              </w:rPr>
            </w:pPr>
            <w:r w:rsidRPr="00CA79AD">
              <w:rPr>
                <w:rFonts w:ascii="Arial" w:hAnsi="Arial" w:cs="Arial"/>
                <w:sz w:val="22"/>
                <w:szCs w:val="22"/>
              </w:rPr>
              <w:t xml:space="preserve">Gestor: </w:t>
            </w:r>
          </w:p>
        </w:tc>
        <w:tc>
          <w:tcPr>
            <w:tcW w:w="6486" w:type="dxa"/>
          </w:tcPr>
          <w:p w14:paraId="2A7A3090" w14:textId="4C359728" w:rsidR="00113638" w:rsidRPr="00CA79AD" w:rsidRDefault="00E53A58" w:rsidP="00653A6E">
            <w:pPr>
              <w:tabs>
                <w:tab w:val="left" w:pos="1040"/>
              </w:tabs>
              <w:spacing w:line="276" w:lineRule="auto"/>
              <w:jc w:val="both"/>
              <w:rPr>
                <w:rFonts w:ascii="Arial" w:hAnsi="Arial" w:cs="Arial"/>
                <w:sz w:val="22"/>
                <w:szCs w:val="22"/>
              </w:rPr>
            </w:pPr>
            <w:r>
              <w:rPr>
                <w:rFonts w:ascii="Arial" w:hAnsi="Arial" w:cs="Arial"/>
                <w:sz w:val="22"/>
                <w:szCs w:val="22"/>
              </w:rPr>
              <w:t>Ministerstvo životního prostředí</w:t>
            </w:r>
            <w:r w:rsidR="00AD4798">
              <w:rPr>
                <w:rFonts w:ascii="Arial" w:hAnsi="Arial" w:cs="Arial"/>
                <w:sz w:val="22"/>
                <w:szCs w:val="22"/>
              </w:rPr>
              <w:t>, Ministerstvo zemědělství</w:t>
            </w:r>
          </w:p>
        </w:tc>
      </w:tr>
      <w:tr w:rsidR="00113638" w:rsidRPr="00CA79AD" w14:paraId="5E30ED3D" w14:textId="77777777" w:rsidTr="009C6CA5">
        <w:tc>
          <w:tcPr>
            <w:tcW w:w="2802" w:type="dxa"/>
          </w:tcPr>
          <w:p w14:paraId="70AA6276" w14:textId="77777777" w:rsidR="00113638" w:rsidRPr="00CA79AD" w:rsidRDefault="00113638" w:rsidP="009C6CA5">
            <w:pPr>
              <w:spacing w:line="276" w:lineRule="auto"/>
              <w:rPr>
                <w:rFonts w:ascii="Arial" w:hAnsi="Arial" w:cs="Arial"/>
                <w:sz w:val="22"/>
                <w:szCs w:val="22"/>
              </w:rPr>
            </w:pPr>
            <w:r w:rsidRPr="00CA79AD">
              <w:rPr>
                <w:rFonts w:ascii="Arial" w:hAnsi="Arial" w:cs="Arial"/>
                <w:sz w:val="22"/>
                <w:szCs w:val="22"/>
              </w:rPr>
              <w:t xml:space="preserve">Význam indikátoru: </w:t>
            </w:r>
          </w:p>
        </w:tc>
        <w:tc>
          <w:tcPr>
            <w:tcW w:w="6486" w:type="dxa"/>
          </w:tcPr>
          <w:p w14:paraId="5390343D" w14:textId="77777777" w:rsidR="00113638" w:rsidRPr="00CA79AD" w:rsidRDefault="00113638" w:rsidP="00653A6E">
            <w:pPr>
              <w:spacing w:line="276" w:lineRule="auto"/>
              <w:jc w:val="both"/>
              <w:rPr>
                <w:rFonts w:ascii="Arial" w:hAnsi="Arial" w:cs="Arial"/>
                <w:sz w:val="22"/>
                <w:szCs w:val="22"/>
              </w:rPr>
            </w:pPr>
            <w:r w:rsidRPr="00CA79AD">
              <w:rPr>
                <w:rFonts w:ascii="Arial" w:hAnsi="Arial" w:cs="Arial"/>
                <w:sz w:val="22"/>
                <w:szCs w:val="22"/>
              </w:rPr>
              <w:t>Dobrého chemického stavu vodního útvaru je dosaženo, pokud koncentrace žádného ze sledovaných těžkých kovů a několika desítek dalších látek (např. polycyklických aromatických uhlovodíků a některých pesticidů) nepřekračuje stanovenou nejvyšší přípustnou hodnotu.</w:t>
            </w:r>
          </w:p>
        </w:tc>
      </w:tr>
      <w:tr w:rsidR="00113638" w:rsidRPr="00CA79AD" w14:paraId="1268A405" w14:textId="77777777" w:rsidTr="009C6CA5">
        <w:tc>
          <w:tcPr>
            <w:tcW w:w="2802" w:type="dxa"/>
          </w:tcPr>
          <w:p w14:paraId="160A1847" w14:textId="77777777" w:rsidR="00113638" w:rsidRPr="00CA79AD" w:rsidRDefault="00113638" w:rsidP="009C6CA5">
            <w:pPr>
              <w:spacing w:line="276" w:lineRule="auto"/>
              <w:rPr>
                <w:rFonts w:ascii="Arial" w:hAnsi="Arial" w:cs="Arial"/>
                <w:sz w:val="22"/>
                <w:szCs w:val="22"/>
              </w:rPr>
            </w:pPr>
            <w:r w:rsidRPr="00CA79AD">
              <w:rPr>
                <w:rFonts w:ascii="Arial" w:hAnsi="Arial" w:cs="Arial"/>
                <w:sz w:val="22"/>
                <w:szCs w:val="22"/>
              </w:rPr>
              <w:t xml:space="preserve">Časová řada: </w:t>
            </w:r>
          </w:p>
        </w:tc>
        <w:tc>
          <w:tcPr>
            <w:tcW w:w="6486" w:type="dxa"/>
          </w:tcPr>
          <w:p w14:paraId="1C520A7A" w14:textId="77777777" w:rsidR="00113638" w:rsidRPr="00CA79AD" w:rsidRDefault="00113638" w:rsidP="00653A6E">
            <w:pPr>
              <w:spacing w:line="276" w:lineRule="auto"/>
              <w:jc w:val="both"/>
              <w:rPr>
                <w:rFonts w:ascii="Arial" w:hAnsi="Arial" w:cs="Arial"/>
                <w:sz w:val="22"/>
                <w:szCs w:val="22"/>
              </w:rPr>
            </w:pPr>
            <w:r w:rsidRPr="00CA79AD">
              <w:rPr>
                <w:rFonts w:ascii="Arial" w:hAnsi="Arial" w:cs="Arial"/>
                <w:sz w:val="22"/>
                <w:szCs w:val="22"/>
              </w:rPr>
              <w:t>Roky 2009, 2015, 2021, 2027</w:t>
            </w:r>
          </w:p>
        </w:tc>
      </w:tr>
      <w:tr w:rsidR="00113638" w:rsidRPr="00CA79AD" w14:paraId="1E61B16B" w14:textId="77777777" w:rsidTr="009C6CA5">
        <w:tc>
          <w:tcPr>
            <w:tcW w:w="2802" w:type="dxa"/>
          </w:tcPr>
          <w:p w14:paraId="5369020C" w14:textId="77777777" w:rsidR="00113638" w:rsidRPr="00CA79AD" w:rsidRDefault="00113638" w:rsidP="009C6CA5">
            <w:pPr>
              <w:spacing w:line="276" w:lineRule="auto"/>
              <w:rPr>
                <w:rFonts w:ascii="Arial" w:hAnsi="Arial" w:cs="Arial"/>
                <w:sz w:val="22"/>
                <w:szCs w:val="22"/>
              </w:rPr>
            </w:pPr>
            <w:r w:rsidRPr="00CA79AD">
              <w:rPr>
                <w:rFonts w:ascii="Arial" w:hAnsi="Arial" w:cs="Arial"/>
                <w:sz w:val="22"/>
                <w:szCs w:val="22"/>
              </w:rPr>
              <w:t xml:space="preserve">Frekvence výstupu: </w:t>
            </w:r>
          </w:p>
        </w:tc>
        <w:tc>
          <w:tcPr>
            <w:tcW w:w="6486" w:type="dxa"/>
          </w:tcPr>
          <w:p w14:paraId="7E8062F8" w14:textId="77777777" w:rsidR="00113638" w:rsidRPr="00CA79AD" w:rsidRDefault="00113638" w:rsidP="00653A6E">
            <w:pPr>
              <w:spacing w:line="276" w:lineRule="auto"/>
              <w:jc w:val="both"/>
              <w:rPr>
                <w:rFonts w:ascii="Arial" w:hAnsi="Arial" w:cs="Arial"/>
                <w:sz w:val="22"/>
                <w:szCs w:val="22"/>
              </w:rPr>
            </w:pPr>
            <w:r w:rsidRPr="00CA79AD">
              <w:rPr>
                <w:rFonts w:ascii="Arial" w:hAnsi="Arial" w:cs="Arial"/>
                <w:sz w:val="22"/>
                <w:szCs w:val="22"/>
              </w:rPr>
              <w:t>Jednou za 6 let</w:t>
            </w:r>
          </w:p>
        </w:tc>
      </w:tr>
      <w:tr w:rsidR="00113638" w:rsidRPr="00CA79AD" w14:paraId="593CE7E0" w14:textId="77777777" w:rsidTr="009C6CA5">
        <w:trPr>
          <w:trHeight w:val="70"/>
        </w:trPr>
        <w:tc>
          <w:tcPr>
            <w:tcW w:w="2802" w:type="dxa"/>
          </w:tcPr>
          <w:p w14:paraId="24E009F3" w14:textId="77777777" w:rsidR="00113638" w:rsidRPr="00CA79AD" w:rsidRDefault="00113638" w:rsidP="009C6CA5">
            <w:pPr>
              <w:spacing w:line="276" w:lineRule="auto"/>
              <w:rPr>
                <w:rFonts w:ascii="Arial" w:hAnsi="Arial" w:cs="Arial"/>
                <w:sz w:val="22"/>
                <w:szCs w:val="22"/>
              </w:rPr>
            </w:pPr>
            <w:r w:rsidRPr="00CA79AD">
              <w:rPr>
                <w:rFonts w:ascii="Arial" w:hAnsi="Arial" w:cs="Arial"/>
                <w:sz w:val="22"/>
                <w:szCs w:val="22"/>
              </w:rPr>
              <w:t xml:space="preserve">Členění indikátoru: </w:t>
            </w:r>
          </w:p>
        </w:tc>
        <w:tc>
          <w:tcPr>
            <w:tcW w:w="6486" w:type="dxa"/>
          </w:tcPr>
          <w:p w14:paraId="41EA6BF8" w14:textId="3111FC69" w:rsidR="00113638" w:rsidRPr="00CA79AD" w:rsidRDefault="00146D1C" w:rsidP="00653A6E">
            <w:pPr>
              <w:spacing w:line="276" w:lineRule="auto"/>
              <w:jc w:val="both"/>
              <w:rPr>
                <w:rFonts w:ascii="Arial" w:hAnsi="Arial" w:cs="Arial"/>
                <w:sz w:val="22"/>
                <w:szCs w:val="22"/>
              </w:rPr>
            </w:pPr>
            <w:r>
              <w:rPr>
                <w:rFonts w:ascii="Arial" w:hAnsi="Arial" w:cs="Arial"/>
                <w:sz w:val="22"/>
                <w:szCs w:val="22"/>
              </w:rPr>
              <w:t>Celostátně</w:t>
            </w:r>
            <w:r w:rsidR="00113638" w:rsidRPr="00CA79AD">
              <w:rPr>
                <w:rFonts w:ascii="Arial" w:hAnsi="Arial" w:cs="Arial"/>
                <w:sz w:val="22"/>
                <w:szCs w:val="22"/>
              </w:rPr>
              <w:t xml:space="preserve"> a po jednotlivých deseti dílčích povodích</w:t>
            </w:r>
          </w:p>
        </w:tc>
      </w:tr>
      <w:tr w:rsidR="00113638" w:rsidRPr="00CA79AD" w14:paraId="3E520FA7" w14:textId="77777777" w:rsidTr="009C6CA5">
        <w:trPr>
          <w:trHeight w:val="70"/>
        </w:trPr>
        <w:tc>
          <w:tcPr>
            <w:tcW w:w="2802" w:type="dxa"/>
          </w:tcPr>
          <w:p w14:paraId="109873F7" w14:textId="77777777" w:rsidR="00113638" w:rsidRPr="00CA79AD" w:rsidRDefault="00113638" w:rsidP="009C6CA5">
            <w:pPr>
              <w:spacing w:line="276" w:lineRule="auto"/>
              <w:rPr>
                <w:rFonts w:ascii="Arial" w:hAnsi="Arial" w:cs="Arial"/>
                <w:sz w:val="22"/>
                <w:szCs w:val="22"/>
              </w:rPr>
            </w:pPr>
            <w:r w:rsidRPr="00CA79AD">
              <w:rPr>
                <w:rFonts w:ascii="Arial" w:hAnsi="Arial" w:cs="Arial"/>
                <w:sz w:val="22"/>
                <w:szCs w:val="22"/>
              </w:rPr>
              <w:t>Mezinárodní srovnání:</w:t>
            </w:r>
          </w:p>
        </w:tc>
        <w:tc>
          <w:tcPr>
            <w:tcW w:w="6486" w:type="dxa"/>
          </w:tcPr>
          <w:p w14:paraId="43A57A4F" w14:textId="5A89AEEB" w:rsidR="00113638" w:rsidRPr="00CA79AD" w:rsidRDefault="003D42E8" w:rsidP="00653A6E">
            <w:pPr>
              <w:spacing w:line="276" w:lineRule="auto"/>
              <w:jc w:val="both"/>
              <w:rPr>
                <w:rFonts w:ascii="Arial" w:hAnsi="Arial" w:cs="Arial"/>
                <w:sz w:val="22"/>
                <w:szCs w:val="22"/>
              </w:rPr>
            </w:pPr>
            <w:r>
              <w:rPr>
                <w:rFonts w:ascii="Arial" w:hAnsi="Arial" w:cs="Arial"/>
                <w:color w:val="000000"/>
                <w:sz w:val="22"/>
                <w:szCs w:val="22"/>
              </w:rPr>
              <w:t xml:space="preserve">EK, </w:t>
            </w:r>
            <w:r w:rsidR="002F3509" w:rsidRPr="00F8467D">
              <w:rPr>
                <w:rFonts w:ascii="Arial" w:hAnsi="Arial" w:cs="Arial"/>
                <w:color w:val="000000"/>
                <w:sz w:val="22"/>
                <w:szCs w:val="22"/>
              </w:rPr>
              <w:t>Evropská agentura pro životní prostředí</w:t>
            </w:r>
          </w:p>
        </w:tc>
      </w:tr>
    </w:tbl>
    <w:p w14:paraId="6D2F432C" w14:textId="77777777" w:rsidR="00113638" w:rsidRPr="00CA79AD" w:rsidRDefault="00113638" w:rsidP="00113638">
      <w:pPr>
        <w:tabs>
          <w:tab w:val="left" w:pos="567"/>
        </w:tabs>
        <w:spacing w:line="276" w:lineRule="auto"/>
        <w:contextualSpacing/>
        <w:rPr>
          <w:rFonts w:ascii="Arial" w:eastAsia="Calibri" w:hAnsi="Arial" w:cs="Arial"/>
          <w:noProof/>
          <w:sz w:val="22"/>
          <w:szCs w:val="22"/>
          <w:lang w:eastAsia="en-US"/>
        </w:rPr>
      </w:pPr>
    </w:p>
    <w:tbl>
      <w:tblPr>
        <w:tblStyle w:val="Mkatabulky"/>
        <w:tblW w:w="0" w:type="auto"/>
        <w:tblLook w:val="04A0" w:firstRow="1" w:lastRow="0" w:firstColumn="1" w:lastColumn="0" w:noHBand="0" w:noVBand="1"/>
      </w:tblPr>
      <w:tblGrid>
        <w:gridCol w:w="2802"/>
        <w:gridCol w:w="6486"/>
      </w:tblGrid>
      <w:tr w:rsidR="00113638" w:rsidRPr="00CA79AD" w14:paraId="0E8120F1" w14:textId="77777777" w:rsidTr="009C6CA5">
        <w:tc>
          <w:tcPr>
            <w:tcW w:w="2802" w:type="dxa"/>
          </w:tcPr>
          <w:p w14:paraId="4930D017" w14:textId="77777777" w:rsidR="00113638" w:rsidRPr="00CA79AD" w:rsidRDefault="00113638" w:rsidP="009C6CA5">
            <w:pPr>
              <w:spacing w:line="276" w:lineRule="auto"/>
              <w:rPr>
                <w:rFonts w:ascii="Arial" w:hAnsi="Arial" w:cs="Arial"/>
                <w:sz w:val="22"/>
                <w:szCs w:val="22"/>
              </w:rPr>
            </w:pPr>
            <w:r w:rsidRPr="00CA79AD">
              <w:rPr>
                <w:rFonts w:ascii="Arial" w:hAnsi="Arial" w:cs="Arial"/>
                <w:sz w:val="22"/>
                <w:szCs w:val="22"/>
              </w:rPr>
              <w:t xml:space="preserve">Název a označení indikátoru: </w:t>
            </w:r>
          </w:p>
        </w:tc>
        <w:tc>
          <w:tcPr>
            <w:tcW w:w="6486" w:type="dxa"/>
          </w:tcPr>
          <w:p w14:paraId="70ABEBC7" w14:textId="6CB1DEBD" w:rsidR="00113638" w:rsidRPr="0007074B" w:rsidRDefault="00113638" w:rsidP="009C6CA5">
            <w:pPr>
              <w:spacing w:line="276" w:lineRule="auto"/>
              <w:rPr>
                <w:rFonts w:ascii="Arial" w:eastAsia="Arial" w:hAnsi="Arial" w:cs="Arial"/>
                <w:b/>
                <w:sz w:val="22"/>
                <w:szCs w:val="22"/>
              </w:rPr>
            </w:pPr>
            <w:r>
              <w:rPr>
                <w:rFonts w:ascii="Arial" w:eastAsia="Calibri" w:hAnsi="Arial" w:cs="Arial"/>
                <w:b/>
                <w:noProof/>
                <w:sz w:val="22"/>
                <w:szCs w:val="22"/>
              </w:rPr>
              <w:t>14.2</w:t>
            </w:r>
            <w:r w:rsidRPr="0007074B">
              <w:rPr>
                <w:rFonts w:ascii="Arial" w:eastAsia="Calibri" w:hAnsi="Arial" w:cs="Arial"/>
                <w:b/>
                <w:noProof/>
                <w:sz w:val="22"/>
                <w:szCs w:val="22"/>
              </w:rPr>
              <w:t xml:space="preserve">.3 Kvantitativní stav </w:t>
            </w:r>
            <w:r w:rsidR="00AD4798">
              <w:rPr>
                <w:rFonts w:ascii="Arial" w:eastAsia="Calibri" w:hAnsi="Arial" w:cs="Arial"/>
                <w:b/>
                <w:noProof/>
                <w:sz w:val="22"/>
                <w:szCs w:val="22"/>
              </w:rPr>
              <w:t xml:space="preserve">útvarů </w:t>
            </w:r>
            <w:r w:rsidRPr="0007074B">
              <w:rPr>
                <w:rFonts w:ascii="Arial" w:eastAsia="Calibri" w:hAnsi="Arial" w:cs="Arial"/>
                <w:b/>
                <w:noProof/>
                <w:sz w:val="22"/>
                <w:szCs w:val="22"/>
              </w:rPr>
              <w:t>podzemních vod</w:t>
            </w:r>
          </w:p>
        </w:tc>
      </w:tr>
      <w:tr w:rsidR="00113638" w:rsidRPr="00CA79AD" w14:paraId="50B7020D" w14:textId="77777777" w:rsidTr="009C6CA5">
        <w:tc>
          <w:tcPr>
            <w:tcW w:w="2802" w:type="dxa"/>
          </w:tcPr>
          <w:p w14:paraId="0AD9638B" w14:textId="77777777" w:rsidR="00113638" w:rsidRPr="00CA79AD" w:rsidRDefault="00113638" w:rsidP="009C6CA5">
            <w:pPr>
              <w:spacing w:line="276" w:lineRule="auto"/>
              <w:rPr>
                <w:rFonts w:ascii="Arial" w:hAnsi="Arial" w:cs="Arial"/>
                <w:sz w:val="22"/>
                <w:szCs w:val="22"/>
              </w:rPr>
            </w:pPr>
            <w:r w:rsidRPr="00CA79AD">
              <w:rPr>
                <w:rFonts w:ascii="Arial" w:hAnsi="Arial" w:cs="Arial"/>
                <w:sz w:val="22"/>
                <w:szCs w:val="22"/>
              </w:rPr>
              <w:lastRenderedPageBreak/>
              <w:t xml:space="preserve">Stručná definice: </w:t>
            </w:r>
          </w:p>
        </w:tc>
        <w:tc>
          <w:tcPr>
            <w:tcW w:w="6486" w:type="dxa"/>
          </w:tcPr>
          <w:p w14:paraId="50CC827E" w14:textId="77777777" w:rsidR="00113638" w:rsidRPr="00CA79AD" w:rsidRDefault="00113638" w:rsidP="00653A6E">
            <w:pPr>
              <w:spacing w:line="276" w:lineRule="auto"/>
              <w:jc w:val="both"/>
              <w:rPr>
                <w:rFonts w:ascii="Arial" w:hAnsi="Arial" w:cs="Arial"/>
                <w:sz w:val="22"/>
                <w:szCs w:val="22"/>
              </w:rPr>
            </w:pPr>
            <w:r w:rsidRPr="00CA79AD">
              <w:rPr>
                <w:rFonts w:ascii="Arial" w:eastAsia="Calibri" w:hAnsi="Arial" w:cs="Arial"/>
                <w:noProof/>
                <w:sz w:val="22"/>
                <w:szCs w:val="22"/>
              </w:rPr>
              <w:t>Indikátor se vypočítá jako podíl útvarů podzemních vod, dosahujících dobrého kvantitativního stavu, na celkovém počtu útvarů podzemních vod, vymezených podle Rámcové směrnice o vodách.</w:t>
            </w:r>
          </w:p>
        </w:tc>
      </w:tr>
      <w:tr w:rsidR="00113638" w:rsidRPr="00CA79AD" w14:paraId="4985B153" w14:textId="77777777" w:rsidTr="009C6CA5">
        <w:tc>
          <w:tcPr>
            <w:tcW w:w="2802" w:type="dxa"/>
          </w:tcPr>
          <w:p w14:paraId="17D6843E" w14:textId="77777777" w:rsidR="00113638" w:rsidRPr="00CA79AD" w:rsidRDefault="00113638" w:rsidP="009C6CA5">
            <w:pPr>
              <w:spacing w:line="276" w:lineRule="auto"/>
              <w:rPr>
                <w:rFonts w:ascii="Arial" w:hAnsi="Arial" w:cs="Arial"/>
                <w:sz w:val="22"/>
                <w:szCs w:val="22"/>
              </w:rPr>
            </w:pPr>
            <w:r w:rsidRPr="00CA79AD">
              <w:rPr>
                <w:rFonts w:ascii="Arial" w:hAnsi="Arial" w:cs="Arial"/>
                <w:sz w:val="22"/>
                <w:szCs w:val="22"/>
              </w:rPr>
              <w:t>Jednotka:</w:t>
            </w:r>
          </w:p>
        </w:tc>
        <w:tc>
          <w:tcPr>
            <w:tcW w:w="6486" w:type="dxa"/>
          </w:tcPr>
          <w:p w14:paraId="1B9BF7FF" w14:textId="77777777" w:rsidR="00113638" w:rsidRPr="00CA79AD" w:rsidRDefault="00E53A58" w:rsidP="00653A6E">
            <w:pPr>
              <w:spacing w:line="276" w:lineRule="auto"/>
              <w:jc w:val="both"/>
              <w:rPr>
                <w:rFonts w:ascii="Arial" w:hAnsi="Arial" w:cs="Arial"/>
                <w:sz w:val="22"/>
                <w:szCs w:val="22"/>
              </w:rPr>
            </w:pPr>
            <w:r>
              <w:rPr>
                <w:rFonts w:ascii="Arial" w:hAnsi="Arial" w:cs="Arial"/>
                <w:sz w:val="22"/>
                <w:szCs w:val="22"/>
              </w:rPr>
              <w:t xml:space="preserve">Podíl (v </w:t>
            </w:r>
            <w:r w:rsidR="00113638" w:rsidRPr="00CA79AD">
              <w:rPr>
                <w:rFonts w:ascii="Arial" w:hAnsi="Arial" w:cs="Arial"/>
                <w:sz w:val="22"/>
                <w:szCs w:val="22"/>
              </w:rPr>
              <w:t>%</w:t>
            </w:r>
            <w:r>
              <w:rPr>
                <w:rFonts w:ascii="Arial" w:hAnsi="Arial" w:cs="Arial"/>
                <w:sz w:val="22"/>
                <w:szCs w:val="22"/>
              </w:rPr>
              <w:t>)</w:t>
            </w:r>
          </w:p>
        </w:tc>
      </w:tr>
      <w:tr w:rsidR="00113638" w:rsidRPr="00CA79AD" w14:paraId="3B462E38" w14:textId="77777777" w:rsidTr="009C6CA5">
        <w:tc>
          <w:tcPr>
            <w:tcW w:w="2802" w:type="dxa"/>
          </w:tcPr>
          <w:p w14:paraId="28F0A621" w14:textId="77777777" w:rsidR="00113638" w:rsidRPr="00CA79AD" w:rsidRDefault="00113638" w:rsidP="009C6CA5">
            <w:pPr>
              <w:spacing w:line="276" w:lineRule="auto"/>
              <w:rPr>
                <w:rFonts w:ascii="Arial" w:hAnsi="Arial" w:cs="Arial"/>
                <w:sz w:val="22"/>
                <w:szCs w:val="22"/>
              </w:rPr>
            </w:pPr>
            <w:r w:rsidRPr="00CA79AD">
              <w:rPr>
                <w:rFonts w:ascii="Arial" w:hAnsi="Arial" w:cs="Arial"/>
                <w:sz w:val="22"/>
                <w:szCs w:val="22"/>
              </w:rPr>
              <w:t xml:space="preserve">Gestor: </w:t>
            </w:r>
          </w:p>
        </w:tc>
        <w:tc>
          <w:tcPr>
            <w:tcW w:w="6486" w:type="dxa"/>
          </w:tcPr>
          <w:p w14:paraId="332205D3" w14:textId="7EBAD8F1" w:rsidR="00113638" w:rsidRPr="00CA79AD" w:rsidRDefault="00113638" w:rsidP="00653A6E">
            <w:pPr>
              <w:spacing w:line="276" w:lineRule="auto"/>
              <w:jc w:val="both"/>
              <w:rPr>
                <w:rFonts w:ascii="Arial" w:hAnsi="Arial" w:cs="Arial"/>
                <w:sz w:val="22"/>
                <w:szCs w:val="22"/>
              </w:rPr>
            </w:pPr>
            <w:r>
              <w:rPr>
                <w:rFonts w:ascii="Arial" w:hAnsi="Arial" w:cs="Arial"/>
                <w:sz w:val="22"/>
                <w:szCs w:val="22"/>
              </w:rPr>
              <w:t>Ministerstvo životního prostředí</w:t>
            </w:r>
            <w:r w:rsidR="00AD4798">
              <w:rPr>
                <w:rFonts w:ascii="Arial" w:hAnsi="Arial" w:cs="Arial"/>
                <w:sz w:val="22"/>
                <w:szCs w:val="22"/>
              </w:rPr>
              <w:t>, Ministerstvo zemědělství</w:t>
            </w:r>
          </w:p>
        </w:tc>
      </w:tr>
      <w:tr w:rsidR="00113638" w:rsidRPr="00CA79AD" w14:paraId="324F1141" w14:textId="77777777" w:rsidTr="009C6CA5">
        <w:tc>
          <w:tcPr>
            <w:tcW w:w="2802" w:type="dxa"/>
          </w:tcPr>
          <w:p w14:paraId="0E67E786" w14:textId="77777777" w:rsidR="00113638" w:rsidRPr="00CA79AD" w:rsidRDefault="00113638" w:rsidP="009C6CA5">
            <w:pPr>
              <w:spacing w:line="276" w:lineRule="auto"/>
              <w:rPr>
                <w:rFonts w:ascii="Arial" w:hAnsi="Arial" w:cs="Arial"/>
                <w:sz w:val="22"/>
                <w:szCs w:val="22"/>
              </w:rPr>
            </w:pPr>
            <w:r w:rsidRPr="00CA79AD">
              <w:rPr>
                <w:rFonts w:ascii="Arial" w:hAnsi="Arial" w:cs="Arial"/>
                <w:sz w:val="22"/>
                <w:szCs w:val="22"/>
              </w:rPr>
              <w:t xml:space="preserve">Význam indikátoru: </w:t>
            </w:r>
          </w:p>
        </w:tc>
        <w:tc>
          <w:tcPr>
            <w:tcW w:w="6486" w:type="dxa"/>
          </w:tcPr>
          <w:p w14:paraId="4329B69A" w14:textId="77777777" w:rsidR="00113638" w:rsidRPr="00CA79AD" w:rsidRDefault="00113638" w:rsidP="00653A6E">
            <w:pPr>
              <w:spacing w:line="276" w:lineRule="auto"/>
              <w:jc w:val="both"/>
              <w:rPr>
                <w:rFonts w:ascii="Arial" w:hAnsi="Arial" w:cs="Arial"/>
                <w:sz w:val="22"/>
                <w:szCs w:val="22"/>
              </w:rPr>
            </w:pPr>
            <w:r w:rsidRPr="00CA79AD">
              <w:rPr>
                <w:rFonts w:ascii="Arial" w:hAnsi="Arial" w:cs="Arial"/>
                <w:sz w:val="22"/>
                <w:szCs w:val="22"/>
              </w:rPr>
              <w:t>Dobrý kvantitativní stav útvaru podzemních vod je dosažen, pokud objem odběrů z tohoto útvaru nepřevyšuje míru jeho přirozeného doplňování.</w:t>
            </w:r>
          </w:p>
        </w:tc>
      </w:tr>
      <w:tr w:rsidR="00113638" w:rsidRPr="00CA79AD" w14:paraId="265B5D54" w14:textId="77777777" w:rsidTr="009C6CA5">
        <w:tc>
          <w:tcPr>
            <w:tcW w:w="2802" w:type="dxa"/>
          </w:tcPr>
          <w:p w14:paraId="1E55C641" w14:textId="77777777" w:rsidR="00113638" w:rsidRPr="00CA79AD" w:rsidRDefault="00113638" w:rsidP="009C6CA5">
            <w:pPr>
              <w:spacing w:line="276" w:lineRule="auto"/>
              <w:rPr>
                <w:rFonts w:ascii="Arial" w:hAnsi="Arial" w:cs="Arial"/>
                <w:sz w:val="22"/>
                <w:szCs w:val="22"/>
              </w:rPr>
            </w:pPr>
            <w:r w:rsidRPr="00CA79AD">
              <w:rPr>
                <w:rFonts w:ascii="Arial" w:hAnsi="Arial" w:cs="Arial"/>
                <w:sz w:val="22"/>
                <w:szCs w:val="22"/>
              </w:rPr>
              <w:t xml:space="preserve">Časová řada: </w:t>
            </w:r>
          </w:p>
        </w:tc>
        <w:tc>
          <w:tcPr>
            <w:tcW w:w="6486" w:type="dxa"/>
          </w:tcPr>
          <w:p w14:paraId="5BA364B5" w14:textId="77777777" w:rsidR="00113638" w:rsidRPr="00CA79AD" w:rsidRDefault="00113638" w:rsidP="00653A6E">
            <w:pPr>
              <w:spacing w:line="276" w:lineRule="auto"/>
              <w:jc w:val="both"/>
              <w:rPr>
                <w:rFonts w:ascii="Arial" w:hAnsi="Arial" w:cs="Arial"/>
                <w:sz w:val="22"/>
                <w:szCs w:val="22"/>
              </w:rPr>
            </w:pPr>
            <w:r w:rsidRPr="00CA79AD">
              <w:rPr>
                <w:rFonts w:ascii="Arial" w:hAnsi="Arial" w:cs="Arial"/>
                <w:sz w:val="22"/>
                <w:szCs w:val="22"/>
              </w:rPr>
              <w:t>Roky 2009, 2015, 2021, 2027</w:t>
            </w:r>
          </w:p>
        </w:tc>
      </w:tr>
      <w:tr w:rsidR="00113638" w:rsidRPr="00CA79AD" w14:paraId="33764A27" w14:textId="77777777" w:rsidTr="009C6CA5">
        <w:tc>
          <w:tcPr>
            <w:tcW w:w="2802" w:type="dxa"/>
          </w:tcPr>
          <w:p w14:paraId="1A1836BC" w14:textId="77777777" w:rsidR="00113638" w:rsidRPr="00CA79AD" w:rsidRDefault="00113638" w:rsidP="009C6CA5">
            <w:pPr>
              <w:spacing w:line="276" w:lineRule="auto"/>
              <w:rPr>
                <w:rFonts w:ascii="Arial" w:hAnsi="Arial" w:cs="Arial"/>
                <w:sz w:val="22"/>
                <w:szCs w:val="22"/>
              </w:rPr>
            </w:pPr>
            <w:r w:rsidRPr="00CA79AD">
              <w:rPr>
                <w:rFonts w:ascii="Arial" w:hAnsi="Arial" w:cs="Arial"/>
                <w:sz w:val="22"/>
                <w:szCs w:val="22"/>
              </w:rPr>
              <w:t xml:space="preserve">Frekvence výstupu: </w:t>
            </w:r>
          </w:p>
        </w:tc>
        <w:tc>
          <w:tcPr>
            <w:tcW w:w="6486" w:type="dxa"/>
          </w:tcPr>
          <w:p w14:paraId="2DF88E42" w14:textId="77777777" w:rsidR="00113638" w:rsidRPr="00CA79AD" w:rsidRDefault="00113638" w:rsidP="00653A6E">
            <w:pPr>
              <w:spacing w:line="276" w:lineRule="auto"/>
              <w:jc w:val="both"/>
              <w:rPr>
                <w:rFonts w:ascii="Arial" w:hAnsi="Arial" w:cs="Arial"/>
                <w:sz w:val="22"/>
                <w:szCs w:val="22"/>
              </w:rPr>
            </w:pPr>
            <w:r w:rsidRPr="00CA79AD">
              <w:rPr>
                <w:rFonts w:ascii="Arial" w:hAnsi="Arial" w:cs="Arial"/>
                <w:sz w:val="22"/>
                <w:szCs w:val="22"/>
              </w:rPr>
              <w:t>Jednou za 6 let</w:t>
            </w:r>
          </w:p>
        </w:tc>
      </w:tr>
      <w:tr w:rsidR="00113638" w:rsidRPr="00CA79AD" w14:paraId="00C6BC88" w14:textId="77777777" w:rsidTr="009C6CA5">
        <w:trPr>
          <w:trHeight w:val="70"/>
        </w:trPr>
        <w:tc>
          <w:tcPr>
            <w:tcW w:w="2802" w:type="dxa"/>
          </w:tcPr>
          <w:p w14:paraId="5C077B47" w14:textId="77777777" w:rsidR="00113638" w:rsidRPr="00CA79AD" w:rsidRDefault="00113638" w:rsidP="009C6CA5">
            <w:pPr>
              <w:spacing w:line="276" w:lineRule="auto"/>
              <w:rPr>
                <w:rFonts w:ascii="Arial" w:hAnsi="Arial" w:cs="Arial"/>
                <w:sz w:val="22"/>
                <w:szCs w:val="22"/>
              </w:rPr>
            </w:pPr>
            <w:r w:rsidRPr="00CA79AD">
              <w:rPr>
                <w:rFonts w:ascii="Arial" w:hAnsi="Arial" w:cs="Arial"/>
                <w:sz w:val="22"/>
                <w:szCs w:val="22"/>
              </w:rPr>
              <w:t xml:space="preserve">Členění indikátoru: </w:t>
            </w:r>
          </w:p>
        </w:tc>
        <w:tc>
          <w:tcPr>
            <w:tcW w:w="6486" w:type="dxa"/>
          </w:tcPr>
          <w:p w14:paraId="26114D14" w14:textId="0100BEB6" w:rsidR="00113638" w:rsidRPr="00CA79AD" w:rsidRDefault="00146D1C" w:rsidP="00653A6E">
            <w:pPr>
              <w:spacing w:line="276" w:lineRule="auto"/>
              <w:jc w:val="both"/>
              <w:rPr>
                <w:rFonts w:ascii="Arial" w:hAnsi="Arial" w:cs="Arial"/>
                <w:sz w:val="22"/>
                <w:szCs w:val="22"/>
              </w:rPr>
            </w:pPr>
            <w:r>
              <w:rPr>
                <w:rFonts w:ascii="Arial" w:hAnsi="Arial" w:cs="Arial"/>
                <w:sz w:val="22"/>
                <w:szCs w:val="22"/>
              </w:rPr>
              <w:t>Celostátně</w:t>
            </w:r>
            <w:r w:rsidR="00113638" w:rsidRPr="00CA79AD">
              <w:rPr>
                <w:rFonts w:ascii="Arial" w:hAnsi="Arial" w:cs="Arial"/>
                <w:sz w:val="22"/>
                <w:szCs w:val="22"/>
              </w:rPr>
              <w:t xml:space="preserve"> a po jednotlivých deseti dílčích povodích</w:t>
            </w:r>
          </w:p>
        </w:tc>
      </w:tr>
      <w:tr w:rsidR="00113638" w:rsidRPr="00CA79AD" w14:paraId="689B3F31" w14:textId="77777777" w:rsidTr="009C6CA5">
        <w:trPr>
          <w:trHeight w:val="70"/>
        </w:trPr>
        <w:tc>
          <w:tcPr>
            <w:tcW w:w="2802" w:type="dxa"/>
          </w:tcPr>
          <w:p w14:paraId="633B4CB9" w14:textId="77777777" w:rsidR="00113638" w:rsidRPr="00CA79AD" w:rsidRDefault="00113638" w:rsidP="009C6CA5">
            <w:pPr>
              <w:spacing w:line="276" w:lineRule="auto"/>
              <w:rPr>
                <w:rFonts w:ascii="Arial" w:hAnsi="Arial" w:cs="Arial"/>
                <w:sz w:val="22"/>
                <w:szCs w:val="22"/>
              </w:rPr>
            </w:pPr>
            <w:r w:rsidRPr="00CA79AD">
              <w:rPr>
                <w:rFonts w:ascii="Arial" w:hAnsi="Arial" w:cs="Arial"/>
                <w:sz w:val="22"/>
                <w:szCs w:val="22"/>
              </w:rPr>
              <w:t>Mezinárodní srovnání:</w:t>
            </w:r>
          </w:p>
        </w:tc>
        <w:tc>
          <w:tcPr>
            <w:tcW w:w="6486" w:type="dxa"/>
          </w:tcPr>
          <w:p w14:paraId="74FB528F" w14:textId="2E37D638" w:rsidR="00113638" w:rsidRPr="00CA79AD" w:rsidRDefault="003D42E8" w:rsidP="00653A6E">
            <w:pPr>
              <w:spacing w:line="276" w:lineRule="auto"/>
              <w:jc w:val="both"/>
              <w:rPr>
                <w:rFonts w:ascii="Arial" w:hAnsi="Arial" w:cs="Arial"/>
                <w:sz w:val="22"/>
                <w:szCs w:val="22"/>
              </w:rPr>
            </w:pPr>
            <w:r>
              <w:rPr>
                <w:rFonts w:ascii="Arial" w:hAnsi="Arial" w:cs="Arial"/>
                <w:color w:val="000000"/>
                <w:sz w:val="22"/>
                <w:szCs w:val="22"/>
              </w:rPr>
              <w:t xml:space="preserve">EK, </w:t>
            </w:r>
            <w:r w:rsidR="002F3509" w:rsidRPr="00F8467D">
              <w:rPr>
                <w:rFonts w:ascii="Arial" w:hAnsi="Arial" w:cs="Arial"/>
                <w:color w:val="000000"/>
                <w:sz w:val="22"/>
                <w:szCs w:val="22"/>
              </w:rPr>
              <w:t>Evropská agentura pro životní prostředí</w:t>
            </w:r>
          </w:p>
        </w:tc>
      </w:tr>
    </w:tbl>
    <w:p w14:paraId="26D435C3" w14:textId="77777777" w:rsidR="006F0F09" w:rsidRDefault="009C6CA5" w:rsidP="00653A6E">
      <w:pPr>
        <w:pStyle w:val="r2030cle"/>
        <w:numPr>
          <w:ilvl w:val="0"/>
          <w:numId w:val="17"/>
        </w:numPr>
        <w:ind w:left="567" w:hanging="425"/>
        <w:rPr>
          <w:rFonts w:eastAsia="Calibri"/>
          <w:lang w:eastAsia="en-US"/>
        </w:rPr>
      </w:pPr>
      <w:r w:rsidRPr="009C6CA5">
        <w:rPr>
          <w:rFonts w:eastAsia="Calibri"/>
          <w:lang w:eastAsia="en-US"/>
        </w:rPr>
        <w:t>Půdy jsou chráněny před degradací a potenciál krajiny je v maximální možné míře využíván k zachycování a ukládání uhlíku.</w:t>
      </w:r>
    </w:p>
    <w:p w14:paraId="361F3017" w14:textId="77777777" w:rsidR="009C6CA5" w:rsidRPr="009C6CA5" w:rsidRDefault="009C6CA5" w:rsidP="00653A6E">
      <w:pPr>
        <w:pStyle w:val="r2030podcle"/>
        <w:numPr>
          <w:ilvl w:val="1"/>
          <w:numId w:val="17"/>
        </w:numPr>
        <w:ind w:left="567" w:hanging="425"/>
      </w:pPr>
      <w:r w:rsidRPr="009C6CA5">
        <w:t>Obsah organické hmoty v půdě a struktura půdy odpovídají přirozenému stavu daného půdního typu.</w:t>
      </w:r>
    </w:p>
    <w:tbl>
      <w:tblPr>
        <w:tblStyle w:val="Mkatabulky"/>
        <w:tblW w:w="0" w:type="auto"/>
        <w:tblLook w:val="04A0" w:firstRow="1" w:lastRow="0" w:firstColumn="1" w:lastColumn="0" w:noHBand="0" w:noVBand="1"/>
      </w:tblPr>
      <w:tblGrid>
        <w:gridCol w:w="2802"/>
        <w:gridCol w:w="6486"/>
      </w:tblGrid>
      <w:tr w:rsidR="006F0F09" w:rsidRPr="00CA79AD" w14:paraId="5FFAFDAF" w14:textId="77777777" w:rsidTr="008D14FE">
        <w:tc>
          <w:tcPr>
            <w:tcW w:w="2802" w:type="dxa"/>
          </w:tcPr>
          <w:p w14:paraId="6584A950"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Název a označení indikátoru: </w:t>
            </w:r>
          </w:p>
        </w:tc>
        <w:tc>
          <w:tcPr>
            <w:tcW w:w="6486" w:type="dxa"/>
          </w:tcPr>
          <w:p w14:paraId="2D603C6D" w14:textId="77777777" w:rsidR="006F0F09" w:rsidRPr="00F53BA5" w:rsidRDefault="009C6CA5" w:rsidP="00C51B65">
            <w:pPr>
              <w:spacing w:line="276" w:lineRule="auto"/>
              <w:rPr>
                <w:rFonts w:ascii="Arial" w:eastAsia="Arial" w:hAnsi="Arial" w:cs="Arial"/>
                <w:b/>
                <w:sz w:val="22"/>
                <w:szCs w:val="22"/>
              </w:rPr>
            </w:pPr>
            <w:r>
              <w:rPr>
                <w:rFonts w:ascii="Arial" w:eastAsia="Calibri" w:hAnsi="Arial" w:cs="Arial"/>
                <w:b/>
                <w:noProof/>
                <w:sz w:val="22"/>
                <w:szCs w:val="22"/>
              </w:rPr>
              <w:t>15</w:t>
            </w:r>
            <w:r w:rsidR="006F0F09" w:rsidRPr="00F53BA5">
              <w:rPr>
                <w:rFonts w:ascii="Arial" w:eastAsia="Calibri" w:hAnsi="Arial" w:cs="Arial"/>
                <w:b/>
                <w:noProof/>
                <w:sz w:val="22"/>
                <w:szCs w:val="22"/>
              </w:rPr>
              <w:t>.1.1 Obsah organické hmoty v</w:t>
            </w:r>
            <w:r w:rsidR="00113638">
              <w:rPr>
                <w:rFonts w:ascii="Arial" w:eastAsia="Calibri" w:hAnsi="Arial" w:cs="Arial"/>
                <w:b/>
                <w:noProof/>
                <w:sz w:val="22"/>
                <w:szCs w:val="22"/>
              </w:rPr>
              <w:t> </w:t>
            </w:r>
            <w:r w:rsidR="006F0F09" w:rsidRPr="00F53BA5">
              <w:rPr>
                <w:rFonts w:ascii="Arial" w:eastAsia="Calibri" w:hAnsi="Arial" w:cs="Arial"/>
                <w:b/>
                <w:noProof/>
                <w:sz w:val="22"/>
                <w:szCs w:val="22"/>
              </w:rPr>
              <w:t>půdě</w:t>
            </w:r>
          </w:p>
        </w:tc>
      </w:tr>
      <w:tr w:rsidR="006F0F09" w:rsidRPr="00CA79AD" w14:paraId="2AC50ADF" w14:textId="77777777" w:rsidTr="008D14FE">
        <w:tc>
          <w:tcPr>
            <w:tcW w:w="2802" w:type="dxa"/>
          </w:tcPr>
          <w:p w14:paraId="3AE3057B"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Stručná definice: </w:t>
            </w:r>
          </w:p>
        </w:tc>
        <w:tc>
          <w:tcPr>
            <w:tcW w:w="6486" w:type="dxa"/>
          </w:tcPr>
          <w:p w14:paraId="32561088" w14:textId="79EFC91B" w:rsidR="006F0F09" w:rsidRPr="00CA79AD" w:rsidRDefault="006F0F09" w:rsidP="00653A6E">
            <w:pPr>
              <w:spacing w:line="276" w:lineRule="auto"/>
              <w:jc w:val="both"/>
              <w:rPr>
                <w:rFonts w:ascii="Arial" w:hAnsi="Arial" w:cs="Arial"/>
                <w:sz w:val="22"/>
                <w:szCs w:val="22"/>
              </w:rPr>
            </w:pPr>
            <w:r w:rsidRPr="00CA79AD">
              <w:rPr>
                <w:rFonts w:ascii="Arial" w:hAnsi="Arial" w:cs="Arial"/>
                <w:sz w:val="22"/>
                <w:szCs w:val="22"/>
              </w:rPr>
              <w:t xml:space="preserve">Indikátor se vypočítá jako průměrná odchylka skutečného obsahu organické hmoty v půdě od přirozeného stavu daného půdního typu, s využitím archivních reprezentativních půdních sond </w:t>
            </w:r>
            <w:r w:rsidR="003D42E8">
              <w:rPr>
                <w:rFonts w:ascii="Arial" w:hAnsi="Arial" w:cs="Arial"/>
                <w:sz w:val="22"/>
                <w:szCs w:val="22"/>
              </w:rPr>
              <w:t>KPP</w:t>
            </w:r>
          </w:p>
        </w:tc>
      </w:tr>
      <w:tr w:rsidR="006F0F09" w:rsidRPr="00CA79AD" w14:paraId="453F1AD1" w14:textId="77777777" w:rsidTr="008D14FE">
        <w:tc>
          <w:tcPr>
            <w:tcW w:w="2802" w:type="dxa"/>
          </w:tcPr>
          <w:p w14:paraId="643EE234"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Jednotka:</w:t>
            </w:r>
          </w:p>
        </w:tc>
        <w:tc>
          <w:tcPr>
            <w:tcW w:w="6486" w:type="dxa"/>
          </w:tcPr>
          <w:p w14:paraId="5B78D2E2" w14:textId="77777777" w:rsidR="006F0F09" w:rsidRPr="00CA79AD" w:rsidRDefault="009C6CA5" w:rsidP="00653A6E">
            <w:pPr>
              <w:tabs>
                <w:tab w:val="left" w:pos="567"/>
              </w:tabs>
              <w:spacing w:line="276" w:lineRule="auto"/>
              <w:jc w:val="both"/>
              <w:rPr>
                <w:rFonts w:ascii="Arial" w:hAnsi="Arial" w:cs="Arial"/>
                <w:sz w:val="22"/>
                <w:szCs w:val="22"/>
              </w:rPr>
            </w:pPr>
            <w:r>
              <w:rPr>
                <w:rFonts w:ascii="Arial" w:hAnsi="Arial" w:cs="Arial"/>
                <w:sz w:val="22"/>
                <w:szCs w:val="22"/>
              </w:rPr>
              <w:t>H</w:t>
            </w:r>
            <w:r w:rsidR="006F0F09" w:rsidRPr="00CA79AD">
              <w:rPr>
                <w:rFonts w:ascii="Arial" w:hAnsi="Arial" w:cs="Arial"/>
                <w:sz w:val="22"/>
                <w:szCs w:val="22"/>
              </w:rPr>
              <w:t xml:space="preserve">motnostní </w:t>
            </w:r>
            <w:r>
              <w:rPr>
                <w:rFonts w:ascii="Arial" w:hAnsi="Arial" w:cs="Arial"/>
                <w:sz w:val="22"/>
                <w:szCs w:val="22"/>
              </w:rPr>
              <w:t xml:space="preserve">podíl </w:t>
            </w:r>
            <w:r w:rsidR="006F0F09" w:rsidRPr="00CA79AD">
              <w:rPr>
                <w:rFonts w:ascii="Arial" w:hAnsi="Arial" w:cs="Arial"/>
                <w:sz w:val="22"/>
                <w:szCs w:val="22"/>
              </w:rPr>
              <w:t>(% rozdílu v časové řadě)</w:t>
            </w:r>
          </w:p>
        </w:tc>
      </w:tr>
      <w:tr w:rsidR="006F0F09" w:rsidRPr="00CA79AD" w14:paraId="168790A1" w14:textId="77777777" w:rsidTr="008D14FE">
        <w:tc>
          <w:tcPr>
            <w:tcW w:w="2802" w:type="dxa"/>
          </w:tcPr>
          <w:p w14:paraId="20F4A14A"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Gestor: </w:t>
            </w:r>
          </w:p>
        </w:tc>
        <w:tc>
          <w:tcPr>
            <w:tcW w:w="6486" w:type="dxa"/>
          </w:tcPr>
          <w:p w14:paraId="63DC53CB" w14:textId="77777777" w:rsidR="006F0F09" w:rsidRPr="00CA79AD" w:rsidRDefault="00BA1EE7" w:rsidP="00653A6E">
            <w:pPr>
              <w:spacing w:line="276" w:lineRule="auto"/>
              <w:jc w:val="both"/>
              <w:rPr>
                <w:rFonts w:ascii="Arial" w:hAnsi="Arial" w:cs="Arial"/>
                <w:sz w:val="22"/>
                <w:szCs w:val="22"/>
              </w:rPr>
            </w:pPr>
            <w:r>
              <w:rPr>
                <w:rFonts w:ascii="Arial" w:hAnsi="Arial" w:cs="Arial"/>
                <w:sz w:val="22"/>
                <w:szCs w:val="22"/>
              </w:rPr>
              <w:t>Ministerstvo zemědělství</w:t>
            </w:r>
            <w:r w:rsidR="006F0F09" w:rsidRPr="00CA79AD">
              <w:rPr>
                <w:rFonts w:ascii="Arial" w:hAnsi="Arial" w:cs="Arial"/>
                <w:sz w:val="22"/>
                <w:szCs w:val="22"/>
              </w:rPr>
              <w:t xml:space="preserve"> (s využitím dat VÚMOP, </w:t>
            </w:r>
            <w:proofErr w:type="spellStart"/>
            <w:proofErr w:type="gramStart"/>
            <w:r w:rsidR="006F0F09" w:rsidRPr="00CA79AD">
              <w:rPr>
                <w:rFonts w:ascii="Arial" w:hAnsi="Arial" w:cs="Arial"/>
                <w:sz w:val="22"/>
                <w:szCs w:val="22"/>
              </w:rPr>
              <w:t>v.v.</w:t>
            </w:r>
            <w:proofErr w:type="gramEnd"/>
            <w:r w:rsidR="006F0F09" w:rsidRPr="00CA79AD">
              <w:rPr>
                <w:rFonts w:ascii="Arial" w:hAnsi="Arial" w:cs="Arial"/>
                <w:sz w:val="22"/>
                <w:szCs w:val="22"/>
              </w:rPr>
              <w:t>i</w:t>
            </w:r>
            <w:proofErr w:type="spellEnd"/>
            <w:r w:rsidR="006F0F09" w:rsidRPr="00CA79AD">
              <w:rPr>
                <w:rFonts w:ascii="Arial" w:hAnsi="Arial" w:cs="Arial"/>
                <w:sz w:val="22"/>
                <w:szCs w:val="22"/>
              </w:rPr>
              <w:t>.)</w:t>
            </w:r>
          </w:p>
        </w:tc>
      </w:tr>
      <w:tr w:rsidR="006F0F09" w:rsidRPr="00CA79AD" w14:paraId="4DAC3C0F" w14:textId="77777777" w:rsidTr="008D14FE">
        <w:tc>
          <w:tcPr>
            <w:tcW w:w="2802" w:type="dxa"/>
          </w:tcPr>
          <w:p w14:paraId="69C429F5"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Význam indikátoru: </w:t>
            </w:r>
          </w:p>
        </w:tc>
        <w:tc>
          <w:tcPr>
            <w:tcW w:w="6486" w:type="dxa"/>
          </w:tcPr>
          <w:p w14:paraId="258A820F" w14:textId="77777777" w:rsidR="006F0F09" w:rsidRPr="00CA79AD" w:rsidRDefault="006F0F09" w:rsidP="00653A6E">
            <w:pPr>
              <w:spacing w:line="276" w:lineRule="auto"/>
              <w:jc w:val="both"/>
              <w:rPr>
                <w:rFonts w:ascii="Arial" w:hAnsi="Arial" w:cs="Arial"/>
                <w:sz w:val="22"/>
                <w:szCs w:val="22"/>
              </w:rPr>
            </w:pPr>
            <w:r w:rsidRPr="00CA79AD">
              <w:rPr>
                <w:rFonts w:ascii="Arial" w:hAnsi="Arial" w:cs="Arial"/>
                <w:sz w:val="22"/>
                <w:szCs w:val="22"/>
              </w:rPr>
              <w:t>Dostatečný podíl organické hmoty je zásadní pro udržení úrodnosti půd, pro zpomalení odtoku vody a zachycování a ukládání uhlíku z atmosféry.</w:t>
            </w:r>
          </w:p>
        </w:tc>
      </w:tr>
      <w:tr w:rsidR="006F0F09" w:rsidRPr="00CA79AD" w14:paraId="1B318D31" w14:textId="77777777" w:rsidTr="008D14FE">
        <w:tc>
          <w:tcPr>
            <w:tcW w:w="2802" w:type="dxa"/>
          </w:tcPr>
          <w:p w14:paraId="6388F7A5"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Časová řada: </w:t>
            </w:r>
          </w:p>
        </w:tc>
        <w:tc>
          <w:tcPr>
            <w:tcW w:w="6486" w:type="dxa"/>
          </w:tcPr>
          <w:p w14:paraId="189159DF" w14:textId="77777777" w:rsidR="006F0F09" w:rsidRPr="00CA79AD" w:rsidRDefault="006F0F09" w:rsidP="00653A6E">
            <w:pPr>
              <w:spacing w:line="276" w:lineRule="auto"/>
              <w:jc w:val="both"/>
              <w:rPr>
                <w:rFonts w:ascii="Arial" w:hAnsi="Arial" w:cs="Arial"/>
                <w:sz w:val="22"/>
                <w:szCs w:val="22"/>
              </w:rPr>
            </w:pPr>
            <w:r w:rsidRPr="00CA79AD">
              <w:rPr>
                <w:rFonts w:ascii="Arial" w:hAnsi="Arial" w:cs="Arial"/>
                <w:sz w:val="22"/>
                <w:szCs w:val="22"/>
              </w:rPr>
              <w:t>Srovnávací archivní sondy jsou z roku 1967, nové odběry zahájeny v roce 2016.</w:t>
            </w:r>
          </w:p>
        </w:tc>
      </w:tr>
      <w:tr w:rsidR="006F0F09" w:rsidRPr="00CA79AD" w14:paraId="77A49A96" w14:textId="77777777" w:rsidTr="008D14FE">
        <w:tc>
          <w:tcPr>
            <w:tcW w:w="2802" w:type="dxa"/>
          </w:tcPr>
          <w:p w14:paraId="570247B9"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Frekvence výstupu: </w:t>
            </w:r>
          </w:p>
        </w:tc>
        <w:tc>
          <w:tcPr>
            <w:tcW w:w="6486" w:type="dxa"/>
          </w:tcPr>
          <w:p w14:paraId="0D866385" w14:textId="77777777" w:rsidR="006F0F09" w:rsidRPr="00CA79AD" w:rsidRDefault="009C6CA5" w:rsidP="00653A6E">
            <w:pPr>
              <w:spacing w:line="276" w:lineRule="auto"/>
              <w:jc w:val="both"/>
              <w:rPr>
                <w:rFonts w:ascii="Arial" w:hAnsi="Arial" w:cs="Arial"/>
                <w:sz w:val="22"/>
                <w:szCs w:val="22"/>
              </w:rPr>
            </w:pPr>
            <w:r>
              <w:rPr>
                <w:rFonts w:ascii="Arial" w:hAnsi="Arial" w:cs="Arial"/>
                <w:sz w:val="22"/>
                <w:szCs w:val="22"/>
              </w:rPr>
              <w:t>Ročně</w:t>
            </w:r>
          </w:p>
        </w:tc>
      </w:tr>
      <w:tr w:rsidR="006F0F09" w:rsidRPr="00CA79AD" w14:paraId="0641142E" w14:textId="77777777" w:rsidTr="008D14FE">
        <w:trPr>
          <w:trHeight w:val="70"/>
        </w:trPr>
        <w:tc>
          <w:tcPr>
            <w:tcW w:w="2802" w:type="dxa"/>
          </w:tcPr>
          <w:p w14:paraId="00CB7251"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Členění indikátoru: </w:t>
            </w:r>
          </w:p>
        </w:tc>
        <w:tc>
          <w:tcPr>
            <w:tcW w:w="6486" w:type="dxa"/>
          </w:tcPr>
          <w:p w14:paraId="17ED50CA" w14:textId="7F23FFC5" w:rsidR="006F0F09" w:rsidRPr="00CA79AD" w:rsidRDefault="00146D1C" w:rsidP="00653A6E">
            <w:pPr>
              <w:spacing w:line="276" w:lineRule="auto"/>
              <w:jc w:val="both"/>
              <w:rPr>
                <w:rFonts w:ascii="Arial" w:hAnsi="Arial" w:cs="Arial"/>
                <w:sz w:val="22"/>
                <w:szCs w:val="22"/>
              </w:rPr>
            </w:pPr>
            <w:r>
              <w:rPr>
                <w:rFonts w:ascii="Arial" w:hAnsi="Arial" w:cs="Arial"/>
                <w:sz w:val="22"/>
                <w:szCs w:val="22"/>
              </w:rPr>
              <w:t>Celostátně</w:t>
            </w:r>
            <w:r w:rsidR="006F0F09" w:rsidRPr="00CA79AD">
              <w:rPr>
                <w:rFonts w:ascii="Arial" w:hAnsi="Arial" w:cs="Arial"/>
                <w:sz w:val="22"/>
                <w:szCs w:val="22"/>
              </w:rPr>
              <w:t xml:space="preserve"> a regionálně až do úrovně jednotlivých okresů</w:t>
            </w:r>
          </w:p>
        </w:tc>
      </w:tr>
      <w:tr w:rsidR="006F0F09" w:rsidRPr="00CA79AD" w14:paraId="72EE14BB" w14:textId="77777777" w:rsidTr="008D14FE">
        <w:trPr>
          <w:trHeight w:val="70"/>
        </w:trPr>
        <w:tc>
          <w:tcPr>
            <w:tcW w:w="2802" w:type="dxa"/>
          </w:tcPr>
          <w:p w14:paraId="09AFC992"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Mezinárodní srovnání:</w:t>
            </w:r>
          </w:p>
        </w:tc>
        <w:tc>
          <w:tcPr>
            <w:tcW w:w="6486" w:type="dxa"/>
          </w:tcPr>
          <w:p w14:paraId="37D49F3F" w14:textId="3BC2914E" w:rsidR="006F0F09" w:rsidRPr="00CA79AD" w:rsidRDefault="006F0F09" w:rsidP="00653A6E">
            <w:pPr>
              <w:spacing w:line="276" w:lineRule="auto"/>
              <w:jc w:val="both"/>
              <w:rPr>
                <w:rFonts w:ascii="Arial" w:hAnsi="Arial" w:cs="Arial"/>
                <w:sz w:val="22"/>
                <w:szCs w:val="22"/>
              </w:rPr>
            </w:pPr>
            <w:r w:rsidRPr="00CA79AD">
              <w:rPr>
                <w:rFonts w:ascii="Arial" w:hAnsi="Arial" w:cs="Arial"/>
                <w:sz w:val="22"/>
                <w:szCs w:val="22"/>
              </w:rPr>
              <w:t xml:space="preserve">Slovensko, </w:t>
            </w:r>
            <w:r w:rsidR="004136E4">
              <w:rPr>
                <w:rFonts w:ascii="Arial" w:hAnsi="Arial" w:cs="Arial"/>
                <w:sz w:val="22"/>
                <w:szCs w:val="22"/>
              </w:rPr>
              <w:t>EK</w:t>
            </w:r>
            <w:r w:rsidRPr="00CA79AD">
              <w:rPr>
                <w:rFonts w:ascii="Arial" w:hAnsi="Arial" w:cs="Arial"/>
                <w:sz w:val="22"/>
                <w:szCs w:val="22"/>
              </w:rPr>
              <w:t xml:space="preserve"> (podklad pro plánovanou směrnici o půdách)</w:t>
            </w:r>
          </w:p>
        </w:tc>
      </w:tr>
    </w:tbl>
    <w:p w14:paraId="329E2E30" w14:textId="77777777" w:rsidR="006F0F09" w:rsidRPr="00CA79AD" w:rsidRDefault="006F0F09" w:rsidP="00C51B65">
      <w:pPr>
        <w:tabs>
          <w:tab w:val="left" w:pos="567"/>
        </w:tabs>
        <w:spacing w:line="276" w:lineRule="auto"/>
        <w:contextualSpacing/>
        <w:rPr>
          <w:rFonts w:ascii="Arial" w:eastAsia="Calibri" w:hAnsi="Arial" w:cs="Arial"/>
          <w:noProof/>
          <w:sz w:val="22"/>
          <w:szCs w:val="22"/>
          <w:lang w:eastAsia="en-US"/>
        </w:rPr>
      </w:pPr>
    </w:p>
    <w:tbl>
      <w:tblPr>
        <w:tblStyle w:val="Mkatabulky"/>
        <w:tblW w:w="0" w:type="auto"/>
        <w:tblLook w:val="04A0" w:firstRow="1" w:lastRow="0" w:firstColumn="1" w:lastColumn="0" w:noHBand="0" w:noVBand="1"/>
      </w:tblPr>
      <w:tblGrid>
        <w:gridCol w:w="2802"/>
        <w:gridCol w:w="6486"/>
      </w:tblGrid>
      <w:tr w:rsidR="006F0F09" w:rsidRPr="00CA79AD" w14:paraId="4A64FE95" w14:textId="77777777" w:rsidTr="008D14FE">
        <w:tc>
          <w:tcPr>
            <w:tcW w:w="2802" w:type="dxa"/>
          </w:tcPr>
          <w:p w14:paraId="795EC2C6"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Název a označení indikátoru:</w:t>
            </w:r>
          </w:p>
        </w:tc>
        <w:tc>
          <w:tcPr>
            <w:tcW w:w="6486" w:type="dxa"/>
          </w:tcPr>
          <w:p w14:paraId="43630FE1" w14:textId="77777777" w:rsidR="006F0F09" w:rsidRPr="00F53BA5" w:rsidRDefault="009C6CA5" w:rsidP="00C51B65">
            <w:pPr>
              <w:spacing w:line="276" w:lineRule="auto"/>
              <w:rPr>
                <w:rFonts w:ascii="Arial" w:hAnsi="Arial" w:cs="Arial"/>
                <w:b/>
                <w:sz w:val="22"/>
                <w:szCs w:val="22"/>
              </w:rPr>
            </w:pPr>
            <w:r>
              <w:rPr>
                <w:rFonts w:ascii="Arial" w:hAnsi="Arial" w:cs="Arial"/>
                <w:b/>
                <w:sz w:val="22"/>
                <w:szCs w:val="22"/>
              </w:rPr>
              <w:t>15</w:t>
            </w:r>
            <w:r w:rsidR="006F0F09" w:rsidRPr="00F53BA5">
              <w:rPr>
                <w:rFonts w:ascii="Arial" w:hAnsi="Arial" w:cs="Arial"/>
                <w:b/>
                <w:sz w:val="22"/>
                <w:szCs w:val="22"/>
              </w:rPr>
              <w:t>.1.2 Půdní struktura</w:t>
            </w:r>
          </w:p>
        </w:tc>
      </w:tr>
      <w:tr w:rsidR="006F0F09" w:rsidRPr="00CA79AD" w14:paraId="63DCE245" w14:textId="77777777" w:rsidTr="008D14FE">
        <w:tc>
          <w:tcPr>
            <w:tcW w:w="2802" w:type="dxa"/>
          </w:tcPr>
          <w:p w14:paraId="1F877DC9"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Stručná definice: </w:t>
            </w:r>
          </w:p>
        </w:tc>
        <w:tc>
          <w:tcPr>
            <w:tcW w:w="6486" w:type="dxa"/>
          </w:tcPr>
          <w:p w14:paraId="2BF151D3" w14:textId="77777777" w:rsidR="006F0F09" w:rsidRPr="00CA79AD" w:rsidRDefault="006F0F09" w:rsidP="00653A6E">
            <w:pPr>
              <w:spacing w:line="276" w:lineRule="auto"/>
              <w:jc w:val="both"/>
              <w:rPr>
                <w:rFonts w:ascii="Arial" w:hAnsi="Arial" w:cs="Arial"/>
                <w:sz w:val="22"/>
                <w:szCs w:val="22"/>
              </w:rPr>
            </w:pPr>
            <w:r w:rsidRPr="00CA79AD">
              <w:rPr>
                <w:rFonts w:ascii="Arial" w:hAnsi="Arial" w:cs="Arial"/>
                <w:sz w:val="22"/>
                <w:szCs w:val="22"/>
              </w:rPr>
              <w:t xml:space="preserve">Struktura patří mezi základní charakteristiky půdy a ovlivňuje její produkční a zejména </w:t>
            </w:r>
            <w:proofErr w:type="spellStart"/>
            <w:r w:rsidRPr="00CA79AD">
              <w:rPr>
                <w:rFonts w:ascii="Arial" w:hAnsi="Arial" w:cs="Arial"/>
                <w:sz w:val="22"/>
                <w:szCs w:val="22"/>
              </w:rPr>
              <w:t>hydroekologické</w:t>
            </w:r>
            <w:proofErr w:type="spellEnd"/>
            <w:r w:rsidRPr="00CA79AD">
              <w:rPr>
                <w:rFonts w:ascii="Arial" w:hAnsi="Arial" w:cs="Arial"/>
                <w:sz w:val="22"/>
                <w:szCs w:val="22"/>
              </w:rPr>
              <w:t xml:space="preserve"> funkce. Primární struktura je dána typem půdy, její skutečný stav ale výrazně ovlivňuje hospodaření na půdě (organické hnojení, utužení, biologické oživení).</w:t>
            </w:r>
          </w:p>
        </w:tc>
      </w:tr>
      <w:tr w:rsidR="006F0F09" w:rsidRPr="00CA79AD" w14:paraId="5DD0AE57" w14:textId="77777777" w:rsidTr="008D14FE">
        <w:tc>
          <w:tcPr>
            <w:tcW w:w="2802" w:type="dxa"/>
          </w:tcPr>
          <w:p w14:paraId="2BE14A02"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Jednotka:</w:t>
            </w:r>
          </w:p>
        </w:tc>
        <w:tc>
          <w:tcPr>
            <w:tcW w:w="6486" w:type="dxa"/>
          </w:tcPr>
          <w:p w14:paraId="7CE0F980" w14:textId="77777777" w:rsidR="006F0F09" w:rsidRPr="00CA79AD" w:rsidRDefault="006F0F09" w:rsidP="00653A6E">
            <w:pPr>
              <w:autoSpaceDE w:val="0"/>
              <w:autoSpaceDN w:val="0"/>
              <w:adjustRightInd w:val="0"/>
              <w:spacing w:line="276" w:lineRule="auto"/>
              <w:jc w:val="both"/>
              <w:rPr>
                <w:rFonts w:ascii="Arial" w:hAnsi="Arial" w:cs="Arial"/>
                <w:sz w:val="22"/>
                <w:szCs w:val="22"/>
              </w:rPr>
            </w:pPr>
            <w:r w:rsidRPr="00CA79AD">
              <w:rPr>
                <w:rFonts w:ascii="Arial" w:hAnsi="Arial" w:cs="Arial"/>
                <w:sz w:val="22"/>
                <w:szCs w:val="22"/>
              </w:rPr>
              <w:t xml:space="preserve">WSA index (výsledek metody hodnocení stability půdní </w:t>
            </w:r>
            <w:r w:rsidRPr="00CA79AD">
              <w:rPr>
                <w:rFonts w:ascii="Arial" w:hAnsi="Arial" w:cs="Arial"/>
                <w:sz w:val="22"/>
                <w:szCs w:val="22"/>
              </w:rPr>
              <w:lastRenderedPageBreak/>
              <w:t xml:space="preserve">struktury). Hodnoty indexu WSA jsou posuzovány z poměru ve vodě stabilních a nestabilních </w:t>
            </w:r>
            <w:proofErr w:type="spellStart"/>
            <w:r w:rsidRPr="00CA79AD">
              <w:rPr>
                <w:rFonts w:ascii="Arial" w:hAnsi="Arial" w:cs="Arial"/>
                <w:sz w:val="22"/>
                <w:szCs w:val="22"/>
              </w:rPr>
              <w:t>makroagregátů</w:t>
            </w:r>
            <w:proofErr w:type="spellEnd"/>
            <w:r w:rsidRPr="00CA79AD">
              <w:rPr>
                <w:rFonts w:ascii="Arial" w:hAnsi="Arial" w:cs="Arial"/>
                <w:sz w:val="22"/>
                <w:szCs w:val="22"/>
              </w:rPr>
              <w:t>, jedná se o bezrozměrný index v rozsahu hodnot 0-1.</w:t>
            </w:r>
          </w:p>
        </w:tc>
      </w:tr>
      <w:tr w:rsidR="006F0F09" w:rsidRPr="00CA79AD" w14:paraId="4B1BF4CD" w14:textId="77777777" w:rsidTr="008D14FE">
        <w:tc>
          <w:tcPr>
            <w:tcW w:w="2802" w:type="dxa"/>
          </w:tcPr>
          <w:p w14:paraId="29BD2FC6"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lastRenderedPageBreak/>
              <w:t xml:space="preserve">Gestor: </w:t>
            </w:r>
          </w:p>
        </w:tc>
        <w:tc>
          <w:tcPr>
            <w:tcW w:w="6486" w:type="dxa"/>
          </w:tcPr>
          <w:p w14:paraId="59DE958C" w14:textId="77777777" w:rsidR="006F0F09" w:rsidRPr="00CA79AD" w:rsidRDefault="00B740D2" w:rsidP="00653A6E">
            <w:pPr>
              <w:spacing w:line="276" w:lineRule="auto"/>
              <w:jc w:val="both"/>
              <w:rPr>
                <w:rFonts w:ascii="Arial" w:hAnsi="Arial" w:cs="Arial"/>
                <w:sz w:val="22"/>
                <w:szCs w:val="22"/>
              </w:rPr>
            </w:pPr>
            <w:r>
              <w:rPr>
                <w:rFonts w:ascii="Arial" w:hAnsi="Arial" w:cs="Arial"/>
                <w:sz w:val="22"/>
                <w:szCs w:val="22"/>
              </w:rPr>
              <w:t>Ministerstvo zemědělství</w:t>
            </w:r>
            <w:r w:rsidR="006F0F09" w:rsidRPr="00CA79AD">
              <w:rPr>
                <w:rFonts w:ascii="Arial" w:hAnsi="Arial" w:cs="Arial"/>
                <w:sz w:val="22"/>
                <w:szCs w:val="22"/>
              </w:rPr>
              <w:t xml:space="preserve"> (s využitím dat VÚMOP, </w:t>
            </w:r>
            <w:proofErr w:type="spellStart"/>
            <w:proofErr w:type="gramStart"/>
            <w:r w:rsidR="006F0F09" w:rsidRPr="00CA79AD">
              <w:rPr>
                <w:rFonts w:ascii="Arial" w:hAnsi="Arial" w:cs="Arial"/>
                <w:sz w:val="22"/>
                <w:szCs w:val="22"/>
              </w:rPr>
              <w:t>v.v.</w:t>
            </w:r>
            <w:proofErr w:type="gramEnd"/>
            <w:r w:rsidR="006F0F09" w:rsidRPr="00CA79AD">
              <w:rPr>
                <w:rFonts w:ascii="Arial" w:hAnsi="Arial" w:cs="Arial"/>
                <w:sz w:val="22"/>
                <w:szCs w:val="22"/>
              </w:rPr>
              <w:t>i</w:t>
            </w:r>
            <w:proofErr w:type="spellEnd"/>
            <w:r w:rsidR="006F0F09" w:rsidRPr="00CA79AD">
              <w:rPr>
                <w:rFonts w:ascii="Arial" w:hAnsi="Arial" w:cs="Arial"/>
                <w:sz w:val="22"/>
                <w:szCs w:val="22"/>
              </w:rPr>
              <w:t>.)</w:t>
            </w:r>
          </w:p>
        </w:tc>
      </w:tr>
      <w:tr w:rsidR="006F0F09" w:rsidRPr="00CA79AD" w14:paraId="64A21DA9" w14:textId="77777777" w:rsidTr="008D14FE">
        <w:tc>
          <w:tcPr>
            <w:tcW w:w="2802" w:type="dxa"/>
          </w:tcPr>
          <w:p w14:paraId="0A8B2741"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Význam indikátoru: </w:t>
            </w:r>
          </w:p>
        </w:tc>
        <w:tc>
          <w:tcPr>
            <w:tcW w:w="6486" w:type="dxa"/>
          </w:tcPr>
          <w:p w14:paraId="176DA6BB" w14:textId="77777777" w:rsidR="006F0F09" w:rsidRPr="00CA79AD" w:rsidRDefault="006F0F09" w:rsidP="00653A6E">
            <w:pPr>
              <w:spacing w:line="276" w:lineRule="auto"/>
              <w:jc w:val="both"/>
              <w:rPr>
                <w:rFonts w:ascii="Arial" w:hAnsi="Arial" w:cs="Arial"/>
                <w:sz w:val="22"/>
                <w:szCs w:val="22"/>
              </w:rPr>
            </w:pPr>
            <w:r w:rsidRPr="00CA79AD">
              <w:rPr>
                <w:rFonts w:ascii="Arial" w:hAnsi="Arial" w:cs="Arial"/>
                <w:sz w:val="22"/>
                <w:szCs w:val="22"/>
              </w:rPr>
              <w:t>Stabilní struktura zlepšuje produktivitu půdy a infiltraci vody do ní. Tlumí tak dopad srážkových extrémů v podobě povodní a sucha.</w:t>
            </w:r>
          </w:p>
        </w:tc>
      </w:tr>
      <w:tr w:rsidR="006F0F09" w:rsidRPr="00CA79AD" w14:paraId="3E3574DF" w14:textId="77777777" w:rsidTr="008D14FE">
        <w:tc>
          <w:tcPr>
            <w:tcW w:w="2802" w:type="dxa"/>
          </w:tcPr>
          <w:p w14:paraId="3A58D268"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Časová řada: </w:t>
            </w:r>
          </w:p>
        </w:tc>
        <w:tc>
          <w:tcPr>
            <w:tcW w:w="6486" w:type="dxa"/>
          </w:tcPr>
          <w:p w14:paraId="7C8CBCD7" w14:textId="77777777" w:rsidR="006F0F09" w:rsidRPr="00CA79AD" w:rsidRDefault="006F0F09" w:rsidP="00653A6E">
            <w:pPr>
              <w:spacing w:line="276" w:lineRule="auto"/>
              <w:jc w:val="both"/>
              <w:rPr>
                <w:rFonts w:ascii="Arial" w:hAnsi="Arial" w:cs="Arial"/>
                <w:sz w:val="22"/>
                <w:szCs w:val="22"/>
              </w:rPr>
            </w:pPr>
            <w:r w:rsidRPr="00CA79AD">
              <w:rPr>
                <w:rFonts w:ascii="Arial" w:hAnsi="Arial" w:cs="Arial"/>
                <w:sz w:val="22"/>
                <w:szCs w:val="22"/>
              </w:rPr>
              <w:t>Od roku 2007</w:t>
            </w:r>
          </w:p>
        </w:tc>
      </w:tr>
      <w:tr w:rsidR="006F0F09" w:rsidRPr="00CA79AD" w14:paraId="64916943" w14:textId="77777777" w:rsidTr="008D14FE">
        <w:tc>
          <w:tcPr>
            <w:tcW w:w="2802" w:type="dxa"/>
          </w:tcPr>
          <w:p w14:paraId="23D17717"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Frekvence výstupu: </w:t>
            </w:r>
          </w:p>
        </w:tc>
        <w:tc>
          <w:tcPr>
            <w:tcW w:w="6486" w:type="dxa"/>
          </w:tcPr>
          <w:p w14:paraId="35D26C4C" w14:textId="77777777" w:rsidR="006F0F09" w:rsidRPr="00CA79AD" w:rsidRDefault="009C6CA5" w:rsidP="00653A6E">
            <w:pPr>
              <w:spacing w:line="276" w:lineRule="auto"/>
              <w:jc w:val="both"/>
              <w:rPr>
                <w:rFonts w:ascii="Arial" w:hAnsi="Arial" w:cs="Arial"/>
                <w:sz w:val="22"/>
                <w:szCs w:val="22"/>
              </w:rPr>
            </w:pPr>
            <w:r>
              <w:rPr>
                <w:rFonts w:ascii="Arial" w:hAnsi="Arial" w:cs="Arial"/>
                <w:sz w:val="22"/>
                <w:szCs w:val="22"/>
              </w:rPr>
              <w:t>R</w:t>
            </w:r>
            <w:r w:rsidR="006F0F09" w:rsidRPr="00CA79AD">
              <w:rPr>
                <w:rFonts w:ascii="Arial" w:hAnsi="Arial" w:cs="Arial"/>
                <w:sz w:val="22"/>
                <w:szCs w:val="22"/>
              </w:rPr>
              <w:t>očně</w:t>
            </w:r>
          </w:p>
        </w:tc>
      </w:tr>
      <w:tr w:rsidR="006F0F09" w:rsidRPr="00CA79AD" w14:paraId="294BC70D" w14:textId="77777777" w:rsidTr="008D14FE">
        <w:trPr>
          <w:trHeight w:val="70"/>
        </w:trPr>
        <w:tc>
          <w:tcPr>
            <w:tcW w:w="2802" w:type="dxa"/>
          </w:tcPr>
          <w:p w14:paraId="39801E62"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Členění indikátoru: </w:t>
            </w:r>
          </w:p>
        </w:tc>
        <w:tc>
          <w:tcPr>
            <w:tcW w:w="6486" w:type="dxa"/>
          </w:tcPr>
          <w:p w14:paraId="031A76CA" w14:textId="77777777" w:rsidR="006F0F09" w:rsidRPr="00CA79AD" w:rsidRDefault="006F0F09" w:rsidP="00653A6E">
            <w:pPr>
              <w:spacing w:line="276" w:lineRule="auto"/>
              <w:jc w:val="both"/>
              <w:rPr>
                <w:rFonts w:ascii="Arial" w:hAnsi="Arial" w:cs="Arial"/>
                <w:sz w:val="22"/>
                <w:szCs w:val="22"/>
              </w:rPr>
            </w:pPr>
            <w:r w:rsidRPr="00CA79AD">
              <w:rPr>
                <w:rFonts w:ascii="Arial" w:hAnsi="Arial" w:cs="Arial"/>
                <w:sz w:val="22"/>
                <w:szCs w:val="22"/>
              </w:rPr>
              <w:t>Regionální (až na úroveň okresů)</w:t>
            </w:r>
          </w:p>
        </w:tc>
      </w:tr>
      <w:tr w:rsidR="006F0F09" w:rsidRPr="00CA79AD" w14:paraId="1764AB6A" w14:textId="77777777" w:rsidTr="008D14FE">
        <w:trPr>
          <w:trHeight w:val="70"/>
        </w:trPr>
        <w:tc>
          <w:tcPr>
            <w:tcW w:w="2802" w:type="dxa"/>
          </w:tcPr>
          <w:p w14:paraId="5B2002E2"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Mezinárodní srovnání:</w:t>
            </w:r>
          </w:p>
        </w:tc>
        <w:tc>
          <w:tcPr>
            <w:tcW w:w="6486" w:type="dxa"/>
          </w:tcPr>
          <w:p w14:paraId="761B7BAE" w14:textId="77777777" w:rsidR="006F0F09" w:rsidRPr="00CA79AD" w:rsidRDefault="006F0F09" w:rsidP="00653A6E">
            <w:pPr>
              <w:spacing w:line="276" w:lineRule="auto"/>
              <w:jc w:val="both"/>
              <w:rPr>
                <w:rFonts w:ascii="Arial" w:hAnsi="Arial" w:cs="Arial"/>
                <w:sz w:val="22"/>
                <w:szCs w:val="22"/>
              </w:rPr>
            </w:pPr>
            <w:proofErr w:type="spellStart"/>
            <w:r w:rsidRPr="00CA79AD">
              <w:rPr>
                <w:rFonts w:ascii="Arial" w:hAnsi="Arial" w:cs="Arial"/>
                <w:sz w:val="22"/>
                <w:szCs w:val="22"/>
              </w:rPr>
              <w:t>Eurostat</w:t>
            </w:r>
            <w:proofErr w:type="spellEnd"/>
          </w:p>
        </w:tc>
      </w:tr>
    </w:tbl>
    <w:p w14:paraId="0C10B5E3" w14:textId="77777777" w:rsidR="006F0F09" w:rsidRPr="009C6CA5" w:rsidRDefault="009C6CA5" w:rsidP="00653A6E">
      <w:pPr>
        <w:pStyle w:val="r2030podcle"/>
        <w:numPr>
          <w:ilvl w:val="1"/>
          <w:numId w:val="17"/>
        </w:numPr>
        <w:ind w:left="567" w:hanging="425"/>
      </w:pPr>
      <w:r>
        <w:t>Snižuje se míra ohrožení půdy vodní a větrnou erozí.</w:t>
      </w:r>
    </w:p>
    <w:tbl>
      <w:tblPr>
        <w:tblStyle w:val="Mkatabulky"/>
        <w:tblW w:w="0" w:type="auto"/>
        <w:tblLook w:val="04A0" w:firstRow="1" w:lastRow="0" w:firstColumn="1" w:lastColumn="0" w:noHBand="0" w:noVBand="1"/>
      </w:tblPr>
      <w:tblGrid>
        <w:gridCol w:w="2802"/>
        <w:gridCol w:w="6486"/>
      </w:tblGrid>
      <w:tr w:rsidR="006F0F09" w:rsidRPr="00CA79AD" w14:paraId="432D6708" w14:textId="77777777" w:rsidTr="008D14FE">
        <w:tc>
          <w:tcPr>
            <w:tcW w:w="2802" w:type="dxa"/>
          </w:tcPr>
          <w:p w14:paraId="781E77AA"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Název a označení indikátoru: </w:t>
            </w:r>
          </w:p>
        </w:tc>
        <w:tc>
          <w:tcPr>
            <w:tcW w:w="6486" w:type="dxa"/>
          </w:tcPr>
          <w:p w14:paraId="43E1A96C" w14:textId="5D16C5EA" w:rsidR="006F0F09" w:rsidRPr="00F53BA5" w:rsidRDefault="009C6CA5" w:rsidP="00C51B65">
            <w:pPr>
              <w:spacing w:line="276" w:lineRule="auto"/>
              <w:rPr>
                <w:rFonts w:ascii="Arial" w:eastAsia="Arial" w:hAnsi="Arial" w:cs="Arial"/>
                <w:b/>
                <w:sz w:val="22"/>
                <w:szCs w:val="22"/>
              </w:rPr>
            </w:pPr>
            <w:r>
              <w:rPr>
                <w:rFonts w:ascii="Arial" w:eastAsia="Calibri" w:hAnsi="Arial" w:cs="Arial"/>
                <w:b/>
                <w:noProof/>
                <w:sz w:val="22"/>
                <w:szCs w:val="22"/>
              </w:rPr>
              <w:t>15.2</w:t>
            </w:r>
            <w:r w:rsidR="006F0F09" w:rsidRPr="00F53BA5">
              <w:rPr>
                <w:rFonts w:ascii="Arial" w:eastAsia="Calibri" w:hAnsi="Arial" w:cs="Arial"/>
                <w:b/>
                <w:noProof/>
                <w:sz w:val="22"/>
                <w:szCs w:val="22"/>
              </w:rPr>
              <w:t>.1 Podíl půd významně ohrožených erozí</w:t>
            </w:r>
          </w:p>
        </w:tc>
      </w:tr>
      <w:tr w:rsidR="006F0F09" w:rsidRPr="00CA79AD" w14:paraId="0BB2C6EA" w14:textId="77777777" w:rsidTr="008D14FE">
        <w:tc>
          <w:tcPr>
            <w:tcW w:w="2802" w:type="dxa"/>
          </w:tcPr>
          <w:p w14:paraId="3FD66CBB"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Stručná definice: </w:t>
            </w:r>
          </w:p>
        </w:tc>
        <w:tc>
          <w:tcPr>
            <w:tcW w:w="6486" w:type="dxa"/>
          </w:tcPr>
          <w:p w14:paraId="20161F12" w14:textId="77777777" w:rsidR="006F0F09" w:rsidRPr="00CA79AD" w:rsidRDefault="006F0F09" w:rsidP="00653A6E">
            <w:pPr>
              <w:spacing w:line="276" w:lineRule="auto"/>
              <w:jc w:val="both"/>
              <w:rPr>
                <w:rFonts w:ascii="Arial" w:hAnsi="Arial" w:cs="Arial"/>
                <w:sz w:val="22"/>
                <w:szCs w:val="22"/>
              </w:rPr>
            </w:pPr>
            <w:r w:rsidRPr="00CA79AD">
              <w:rPr>
                <w:rFonts w:ascii="Arial" w:hAnsi="Arial" w:cs="Arial"/>
                <w:sz w:val="22"/>
                <w:szCs w:val="22"/>
              </w:rPr>
              <w:t xml:space="preserve">Indikátor se vypočítá jako podíl výměry půdy </w:t>
            </w:r>
            <w:r w:rsidRPr="00CA79AD">
              <w:rPr>
                <w:rFonts w:ascii="Arial" w:eastAsia="Calibri" w:hAnsi="Arial" w:cs="Arial"/>
                <w:noProof/>
                <w:sz w:val="22"/>
                <w:szCs w:val="22"/>
              </w:rPr>
              <w:t>významně ohrožené erozí</w:t>
            </w:r>
            <w:r w:rsidRPr="00CA79AD">
              <w:rPr>
                <w:rFonts w:ascii="Arial" w:hAnsi="Arial" w:cs="Arial"/>
                <w:sz w:val="22"/>
                <w:szCs w:val="22"/>
              </w:rPr>
              <w:t xml:space="preserve"> na celkové výměře zemědělské půdy v ČR.</w:t>
            </w:r>
          </w:p>
        </w:tc>
      </w:tr>
      <w:tr w:rsidR="006F0F09" w:rsidRPr="00CA79AD" w14:paraId="46F2A995" w14:textId="77777777" w:rsidTr="008D14FE">
        <w:tc>
          <w:tcPr>
            <w:tcW w:w="2802" w:type="dxa"/>
          </w:tcPr>
          <w:p w14:paraId="6485BC86"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Jednotka:</w:t>
            </w:r>
          </w:p>
        </w:tc>
        <w:tc>
          <w:tcPr>
            <w:tcW w:w="6486" w:type="dxa"/>
          </w:tcPr>
          <w:p w14:paraId="799E3F63" w14:textId="210B229E" w:rsidR="006F0F09" w:rsidRPr="00CA79AD" w:rsidRDefault="009C6CA5" w:rsidP="00653A6E">
            <w:pPr>
              <w:spacing w:line="276" w:lineRule="auto"/>
              <w:jc w:val="both"/>
              <w:rPr>
                <w:rFonts w:ascii="Arial" w:hAnsi="Arial" w:cs="Arial"/>
                <w:sz w:val="22"/>
                <w:szCs w:val="22"/>
              </w:rPr>
            </w:pPr>
            <w:r>
              <w:rPr>
                <w:rFonts w:ascii="Arial" w:hAnsi="Arial" w:cs="Arial"/>
                <w:sz w:val="22"/>
                <w:szCs w:val="22"/>
              </w:rPr>
              <w:t xml:space="preserve">Podíl (v </w:t>
            </w:r>
            <w:r w:rsidR="006F0F09" w:rsidRPr="00CA79AD">
              <w:rPr>
                <w:rFonts w:ascii="Arial" w:hAnsi="Arial" w:cs="Arial"/>
                <w:sz w:val="22"/>
                <w:szCs w:val="22"/>
              </w:rPr>
              <w:t>%</w:t>
            </w:r>
            <w:r>
              <w:rPr>
                <w:rFonts w:ascii="Arial" w:hAnsi="Arial" w:cs="Arial"/>
                <w:sz w:val="22"/>
                <w:szCs w:val="22"/>
              </w:rPr>
              <w:t>)</w:t>
            </w:r>
            <w:r w:rsidR="006F0F09" w:rsidRPr="00CA79AD">
              <w:rPr>
                <w:rFonts w:ascii="Arial" w:hAnsi="Arial" w:cs="Arial"/>
                <w:sz w:val="22"/>
                <w:szCs w:val="22"/>
              </w:rPr>
              <w:t xml:space="preserve">, </w:t>
            </w:r>
            <w:r w:rsidR="00E32651">
              <w:rPr>
                <w:rFonts w:ascii="Arial" w:hAnsi="Arial" w:cs="Arial"/>
                <w:sz w:val="22"/>
                <w:szCs w:val="22"/>
              </w:rPr>
              <w:t xml:space="preserve">plocha </w:t>
            </w:r>
            <w:r w:rsidR="00E32651" w:rsidRPr="00375C6C">
              <w:rPr>
                <w:rFonts w:ascii="Arial" w:hAnsi="Arial" w:cs="Arial"/>
                <w:sz w:val="22"/>
                <w:szCs w:val="22"/>
              </w:rPr>
              <w:t>[ha]</w:t>
            </w:r>
          </w:p>
        </w:tc>
      </w:tr>
      <w:tr w:rsidR="006F0F09" w:rsidRPr="00CA79AD" w14:paraId="3C4AB128" w14:textId="77777777" w:rsidTr="008D14FE">
        <w:tc>
          <w:tcPr>
            <w:tcW w:w="2802" w:type="dxa"/>
          </w:tcPr>
          <w:p w14:paraId="66609344"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Gestor: </w:t>
            </w:r>
          </w:p>
        </w:tc>
        <w:tc>
          <w:tcPr>
            <w:tcW w:w="6486" w:type="dxa"/>
          </w:tcPr>
          <w:p w14:paraId="21FE8540" w14:textId="77777777" w:rsidR="006F0F09" w:rsidRPr="00CA79AD" w:rsidRDefault="00A43F9D" w:rsidP="00653A6E">
            <w:pPr>
              <w:spacing w:line="276" w:lineRule="auto"/>
              <w:jc w:val="both"/>
              <w:rPr>
                <w:rFonts w:ascii="Arial" w:hAnsi="Arial" w:cs="Arial"/>
                <w:sz w:val="22"/>
                <w:szCs w:val="22"/>
              </w:rPr>
            </w:pPr>
            <w:r>
              <w:rPr>
                <w:rFonts w:ascii="Arial" w:hAnsi="Arial" w:cs="Arial"/>
                <w:sz w:val="22"/>
                <w:szCs w:val="22"/>
              </w:rPr>
              <w:t>Ministerstvo zemědělství</w:t>
            </w:r>
            <w:r w:rsidR="006F0F09" w:rsidRPr="00CA79AD">
              <w:rPr>
                <w:rFonts w:ascii="Arial" w:hAnsi="Arial" w:cs="Arial"/>
                <w:sz w:val="22"/>
                <w:szCs w:val="22"/>
              </w:rPr>
              <w:t xml:space="preserve"> (s využitím dat VÚMOP, </w:t>
            </w:r>
            <w:proofErr w:type="spellStart"/>
            <w:proofErr w:type="gramStart"/>
            <w:r w:rsidR="006F0F09" w:rsidRPr="00CA79AD">
              <w:rPr>
                <w:rFonts w:ascii="Arial" w:hAnsi="Arial" w:cs="Arial"/>
                <w:sz w:val="22"/>
                <w:szCs w:val="22"/>
              </w:rPr>
              <w:t>v.v.</w:t>
            </w:r>
            <w:proofErr w:type="gramEnd"/>
            <w:r w:rsidR="006F0F09" w:rsidRPr="00CA79AD">
              <w:rPr>
                <w:rFonts w:ascii="Arial" w:hAnsi="Arial" w:cs="Arial"/>
                <w:sz w:val="22"/>
                <w:szCs w:val="22"/>
              </w:rPr>
              <w:t>i</w:t>
            </w:r>
            <w:proofErr w:type="spellEnd"/>
            <w:r w:rsidR="006F0F09" w:rsidRPr="00CA79AD">
              <w:rPr>
                <w:rFonts w:ascii="Arial" w:hAnsi="Arial" w:cs="Arial"/>
                <w:sz w:val="22"/>
                <w:szCs w:val="22"/>
              </w:rPr>
              <w:t>.)</w:t>
            </w:r>
          </w:p>
        </w:tc>
      </w:tr>
      <w:tr w:rsidR="006F0F09" w:rsidRPr="00CA79AD" w14:paraId="0EDB303A" w14:textId="77777777" w:rsidTr="008D14FE">
        <w:tc>
          <w:tcPr>
            <w:tcW w:w="2802" w:type="dxa"/>
          </w:tcPr>
          <w:p w14:paraId="187B1B42"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Význam indikátoru: </w:t>
            </w:r>
          </w:p>
        </w:tc>
        <w:tc>
          <w:tcPr>
            <w:tcW w:w="6486" w:type="dxa"/>
          </w:tcPr>
          <w:p w14:paraId="45D170A4" w14:textId="77777777" w:rsidR="006F0F09" w:rsidRPr="00CA79AD" w:rsidRDefault="006F0F09" w:rsidP="00653A6E">
            <w:pPr>
              <w:spacing w:line="276" w:lineRule="auto"/>
              <w:jc w:val="both"/>
              <w:rPr>
                <w:rFonts w:ascii="Arial" w:hAnsi="Arial" w:cs="Arial"/>
                <w:sz w:val="22"/>
                <w:szCs w:val="22"/>
              </w:rPr>
            </w:pPr>
            <w:proofErr w:type="gramStart"/>
            <w:r w:rsidRPr="00CA79AD">
              <w:rPr>
                <w:rFonts w:ascii="Arial" w:hAnsi="Arial" w:cs="Arial"/>
                <w:sz w:val="22"/>
                <w:szCs w:val="22"/>
              </w:rPr>
              <w:t>Vodní</w:t>
            </w:r>
            <w:proofErr w:type="gramEnd"/>
            <w:r w:rsidRPr="00CA79AD">
              <w:rPr>
                <w:rFonts w:ascii="Arial" w:hAnsi="Arial" w:cs="Arial"/>
                <w:sz w:val="22"/>
                <w:szCs w:val="22"/>
              </w:rPr>
              <w:t xml:space="preserve"> (a v menší míře též větrnou) erozí dochází k odnosu půdy, která její základní složkou ekosystémů a nehraditelnou podmínkou jejich </w:t>
            </w:r>
            <w:proofErr w:type="gramStart"/>
            <w:r w:rsidRPr="00CA79AD">
              <w:rPr>
                <w:rFonts w:ascii="Arial" w:hAnsi="Arial" w:cs="Arial"/>
                <w:sz w:val="22"/>
                <w:szCs w:val="22"/>
              </w:rPr>
              <w:t>fungování.</w:t>
            </w:r>
            <w:proofErr w:type="gramEnd"/>
            <w:r w:rsidRPr="00CA79AD">
              <w:rPr>
                <w:rFonts w:ascii="Arial" w:hAnsi="Arial" w:cs="Arial"/>
                <w:sz w:val="22"/>
                <w:szCs w:val="22"/>
              </w:rPr>
              <w:t xml:space="preserve"> Půda vzniká zvětráváním hornin a činností živých organismů a tento proces je tak pomalý, že ji můžeme považovat za neobnovitelný zdroj.</w:t>
            </w:r>
          </w:p>
        </w:tc>
      </w:tr>
      <w:tr w:rsidR="006F0F09" w:rsidRPr="00CA79AD" w14:paraId="4E740995" w14:textId="77777777" w:rsidTr="008D14FE">
        <w:tc>
          <w:tcPr>
            <w:tcW w:w="2802" w:type="dxa"/>
          </w:tcPr>
          <w:p w14:paraId="09D5E316"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Časová řada: </w:t>
            </w:r>
          </w:p>
        </w:tc>
        <w:tc>
          <w:tcPr>
            <w:tcW w:w="6486" w:type="dxa"/>
          </w:tcPr>
          <w:p w14:paraId="6D757771" w14:textId="77777777" w:rsidR="006F0F09" w:rsidRPr="00CA79AD" w:rsidRDefault="006F0F09" w:rsidP="00653A6E">
            <w:pPr>
              <w:spacing w:line="276" w:lineRule="auto"/>
              <w:jc w:val="both"/>
              <w:rPr>
                <w:rFonts w:ascii="Arial" w:hAnsi="Arial" w:cs="Arial"/>
                <w:sz w:val="22"/>
                <w:szCs w:val="22"/>
              </w:rPr>
            </w:pPr>
            <w:r w:rsidRPr="00CA79AD">
              <w:rPr>
                <w:rFonts w:ascii="Arial" w:hAnsi="Arial" w:cs="Arial"/>
                <w:sz w:val="22"/>
                <w:szCs w:val="22"/>
              </w:rPr>
              <w:t>Od roku 2009</w:t>
            </w:r>
          </w:p>
        </w:tc>
      </w:tr>
      <w:tr w:rsidR="006F0F09" w:rsidRPr="00CA79AD" w14:paraId="4F55A85B" w14:textId="77777777" w:rsidTr="008D14FE">
        <w:tc>
          <w:tcPr>
            <w:tcW w:w="2802" w:type="dxa"/>
          </w:tcPr>
          <w:p w14:paraId="54A089BF"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Frekvence výstupu: </w:t>
            </w:r>
          </w:p>
        </w:tc>
        <w:tc>
          <w:tcPr>
            <w:tcW w:w="6486" w:type="dxa"/>
          </w:tcPr>
          <w:p w14:paraId="2DD13E74" w14:textId="77777777" w:rsidR="006F0F09" w:rsidRPr="00CA79AD" w:rsidRDefault="009C6CA5" w:rsidP="00653A6E">
            <w:pPr>
              <w:spacing w:line="276" w:lineRule="auto"/>
              <w:jc w:val="both"/>
              <w:rPr>
                <w:rFonts w:ascii="Arial" w:hAnsi="Arial" w:cs="Arial"/>
                <w:sz w:val="22"/>
                <w:szCs w:val="22"/>
              </w:rPr>
            </w:pPr>
            <w:r>
              <w:rPr>
                <w:rFonts w:ascii="Arial" w:hAnsi="Arial" w:cs="Arial"/>
                <w:sz w:val="22"/>
                <w:szCs w:val="22"/>
              </w:rPr>
              <w:t>Ročně</w:t>
            </w:r>
          </w:p>
        </w:tc>
      </w:tr>
      <w:tr w:rsidR="006F0F09" w:rsidRPr="00CA79AD" w14:paraId="2053F829" w14:textId="77777777" w:rsidTr="008D14FE">
        <w:trPr>
          <w:trHeight w:val="70"/>
        </w:trPr>
        <w:tc>
          <w:tcPr>
            <w:tcW w:w="2802" w:type="dxa"/>
          </w:tcPr>
          <w:p w14:paraId="24287816"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Členění indikátoru: </w:t>
            </w:r>
          </w:p>
        </w:tc>
        <w:tc>
          <w:tcPr>
            <w:tcW w:w="6486" w:type="dxa"/>
          </w:tcPr>
          <w:p w14:paraId="3F93B357" w14:textId="77777777" w:rsidR="006F0F09" w:rsidRPr="00CA79AD" w:rsidRDefault="006F0F09" w:rsidP="00653A6E">
            <w:pPr>
              <w:spacing w:line="276" w:lineRule="auto"/>
              <w:jc w:val="both"/>
              <w:rPr>
                <w:rFonts w:ascii="Arial" w:hAnsi="Arial" w:cs="Arial"/>
                <w:sz w:val="22"/>
                <w:szCs w:val="22"/>
              </w:rPr>
            </w:pPr>
            <w:r w:rsidRPr="00CA79AD">
              <w:rPr>
                <w:rFonts w:ascii="Arial" w:eastAsia="Calibri" w:hAnsi="Arial" w:cs="Arial"/>
                <w:noProof/>
                <w:sz w:val="22"/>
                <w:szCs w:val="22"/>
              </w:rPr>
              <w:t>Podíl půd středně, silně, velmi silně a extrémně ohrožených vodní erozí; podíl půd ohrožených, silně ohrožených a nejohroženějších větrnou erozí</w:t>
            </w:r>
          </w:p>
        </w:tc>
      </w:tr>
      <w:tr w:rsidR="006F0F09" w:rsidRPr="00CA79AD" w14:paraId="767D34EE" w14:textId="77777777" w:rsidTr="008D14FE">
        <w:trPr>
          <w:trHeight w:val="70"/>
        </w:trPr>
        <w:tc>
          <w:tcPr>
            <w:tcW w:w="2802" w:type="dxa"/>
          </w:tcPr>
          <w:p w14:paraId="5063F16B"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Mezinárodní srovnání:</w:t>
            </w:r>
          </w:p>
        </w:tc>
        <w:tc>
          <w:tcPr>
            <w:tcW w:w="6486" w:type="dxa"/>
          </w:tcPr>
          <w:p w14:paraId="25317C60" w14:textId="77777777" w:rsidR="006F0F09" w:rsidRPr="00CA79AD" w:rsidRDefault="009C6CA5" w:rsidP="00C51B65">
            <w:pPr>
              <w:spacing w:line="276" w:lineRule="auto"/>
              <w:rPr>
                <w:rFonts w:ascii="Arial" w:hAnsi="Arial" w:cs="Arial"/>
                <w:sz w:val="22"/>
                <w:szCs w:val="22"/>
              </w:rPr>
            </w:pPr>
            <w:r>
              <w:rPr>
                <w:rFonts w:ascii="Arial" w:hAnsi="Arial" w:cs="Arial"/>
                <w:sz w:val="22"/>
                <w:szCs w:val="22"/>
              </w:rPr>
              <w:t>-</w:t>
            </w:r>
          </w:p>
        </w:tc>
      </w:tr>
    </w:tbl>
    <w:p w14:paraId="3C64884B" w14:textId="77777777" w:rsidR="006F0F09" w:rsidRPr="00CA79AD" w:rsidRDefault="006F0F09" w:rsidP="00C51B65">
      <w:pPr>
        <w:tabs>
          <w:tab w:val="left" w:pos="0"/>
        </w:tabs>
        <w:spacing w:line="276" w:lineRule="auto"/>
        <w:rPr>
          <w:rFonts w:ascii="Arial" w:eastAsia="Calibri" w:hAnsi="Arial" w:cs="Arial"/>
          <w:sz w:val="22"/>
          <w:szCs w:val="22"/>
          <w:lang w:eastAsia="en-US"/>
        </w:rPr>
      </w:pPr>
    </w:p>
    <w:tbl>
      <w:tblPr>
        <w:tblStyle w:val="Mkatabulky"/>
        <w:tblW w:w="0" w:type="auto"/>
        <w:tblLook w:val="04A0" w:firstRow="1" w:lastRow="0" w:firstColumn="1" w:lastColumn="0" w:noHBand="0" w:noVBand="1"/>
      </w:tblPr>
      <w:tblGrid>
        <w:gridCol w:w="2802"/>
        <w:gridCol w:w="6486"/>
      </w:tblGrid>
      <w:tr w:rsidR="006F0F09" w:rsidRPr="00CA79AD" w14:paraId="514A0B45" w14:textId="77777777" w:rsidTr="008D14FE">
        <w:tc>
          <w:tcPr>
            <w:tcW w:w="2802" w:type="dxa"/>
          </w:tcPr>
          <w:p w14:paraId="77CD8C92"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Název a označení indikátoru: </w:t>
            </w:r>
          </w:p>
        </w:tc>
        <w:tc>
          <w:tcPr>
            <w:tcW w:w="6486" w:type="dxa"/>
          </w:tcPr>
          <w:p w14:paraId="2396A963" w14:textId="77777777" w:rsidR="006F0F09" w:rsidRPr="00F53BA5" w:rsidRDefault="008009A0" w:rsidP="00C51B65">
            <w:pPr>
              <w:spacing w:line="276" w:lineRule="auto"/>
              <w:rPr>
                <w:rFonts w:ascii="Arial" w:hAnsi="Arial" w:cs="Arial"/>
                <w:b/>
                <w:sz w:val="22"/>
                <w:szCs w:val="22"/>
              </w:rPr>
            </w:pPr>
            <w:r>
              <w:rPr>
                <w:rFonts w:ascii="Arial" w:hAnsi="Arial" w:cs="Arial"/>
                <w:b/>
                <w:sz w:val="22"/>
                <w:szCs w:val="22"/>
              </w:rPr>
              <w:t>15</w:t>
            </w:r>
            <w:r w:rsidR="006F0F09" w:rsidRPr="00F53BA5">
              <w:rPr>
                <w:rFonts w:ascii="Arial" w:hAnsi="Arial" w:cs="Arial"/>
                <w:b/>
                <w:sz w:val="22"/>
                <w:szCs w:val="22"/>
              </w:rPr>
              <w:t>.2.2 Průměrná velikost bloku orné půdy</w:t>
            </w:r>
          </w:p>
          <w:p w14:paraId="65ED079D" w14:textId="77777777" w:rsidR="006F0F09" w:rsidRPr="00CA79AD" w:rsidRDefault="006F0F09" w:rsidP="00C51B65">
            <w:pPr>
              <w:spacing w:line="276" w:lineRule="auto"/>
              <w:rPr>
                <w:rFonts w:ascii="Arial" w:eastAsia="Arial" w:hAnsi="Arial" w:cs="Arial"/>
                <w:sz w:val="22"/>
                <w:szCs w:val="22"/>
              </w:rPr>
            </w:pPr>
          </w:p>
        </w:tc>
      </w:tr>
      <w:tr w:rsidR="006F0F09" w:rsidRPr="00CA79AD" w14:paraId="7C6D1BEE" w14:textId="77777777" w:rsidTr="008D14FE">
        <w:tc>
          <w:tcPr>
            <w:tcW w:w="2802" w:type="dxa"/>
          </w:tcPr>
          <w:p w14:paraId="209F2BDD"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Stručná definice: </w:t>
            </w:r>
          </w:p>
        </w:tc>
        <w:tc>
          <w:tcPr>
            <w:tcW w:w="6486" w:type="dxa"/>
          </w:tcPr>
          <w:p w14:paraId="15626FF1" w14:textId="77777777" w:rsidR="006F0F09" w:rsidRPr="00CA79AD" w:rsidRDefault="006F0F09" w:rsidP="00653A6E">
            <w:pPr>
              <w:spacing w:line="276" w:lineRule="auto"/>
              <w:jc w:val="both"/>
              <w:rPr>
                <w:rFonts w:ascii="Arial" w:hAnsi="Arial" w:cs="Arial"/>
                <w:sz w:val="22"/>
                <w:szCs w:val="22"/>
              </w:rPr>
            </w:pPr>
            <w:r w:rsidRPr="00CA79AD">
              <w:rPr>
                <w:rFonts w:ascii="Arial" w:hAnsi="Arial" w:cs="Arial"/>
                <w:sz w:val="22"/>
                <w:szCs w:val="22"/>
              </w:rPr>
              <w:t>Indikátor se vypočítá jako průměrná velikost celistvého bloku orné půdy podle údajů veřejného registru půdy LPIS.</w:t>
            </w:r>
          </w:p>
        </w:tc>
      </w:tr>
      <w:tr w:rsidR="006F0F09" w:rsidRPr="00CA79AD" w14:paraId="2A0D5195" w14:textId="77777777" w:rsidTr="008D14FE">
        <w:tc>
          <w:tcPr>
            <w:tcW w:w="2802" w:type="dxa"/>
          </w:tcPr>
          <w:p w14:paraId="00D58030"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Jednotka:</w:t>
            </w:r>
          </w:p>
        </w:tc>
        <w:tc>
          <w:tcPr>
            <w:tcW w:w="6486" w:type="dxa"/>
          </w:tcPr>
          <w:p w14:paraId="19A35555" w14:textId="3F8C1AAF" w:rsidR="006F0F09" w:rsidRPr="00CA79AD" w:rsidRDefault="004136E4" w:rsidP="00653A6E">
            <w:pPr>
              <w:spacing w:line="276" w:lineRule="auto"/>
              <w:jc w:val="both"/>
              <w:rPr>
                <w:rFonts w:ascii="Arial" w:hAnsi="Arial" w:cs="Arial"/>
                <w:sz w:val="22"/>
                <w:szCs w:val="22"/>
              </w:rPr>
            </w:pPr>
            <w:r>
              <w:rPr>
                <w:rFonts w:ascii="Arial" w:hAnsi="Arial" w:cs="Arial"/>
                <w:sz w:val="22"/>
                <w:szCs w:val="22"/>
              </w:rPr>
              <w:t xml:space="preserve">Plocha </w:t>
            </w:r>
            <w:r w:rsidRPr="00375C6C">
              <w:rPr>
                <w:rFonts w:ascii="Arial" w:hAnsi="Arial" w:cs="Arial"/>
                <w:sz w:val="22"/>
                <w:szCs w:val="22"/>
              </w:rPr>
              <w:t>[ha]</w:t>
            </w:r>
          </w:p>
        </w:tc>
      </w:tr>
      <w:tr w:rsidR="006F0F09" w:rsidRPr="00CA79AD" w14:paraId="0B1D592B" w14:textId="77777777" w:rsidTr="008D14FE">
        <w:tc>
          <w:tcPr>
            <w:tcW w:w="2802" w:type="dxa"/>
          </w:tcPr>
          <w:p w14:paraId="5BFF8CD8"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Gestor: </w:t>
            </w:r>
          </w:p>
        </w:tc>
        <w:tc>
          <w:tcPr>
            <w:tcW w:w="6486" w:type="dxa"/>
          </w:tcPr>
          <w:p w14:paraId="75CB1624" w14:textId="77777777" w:rsidR="006F0F09" w:rsidRPr="00CA79AD" w:rsidRDefault="00A43F9D" w:rsidP="00653A6E">
            <w:pPr>
              <w:spacing w:line="276" w:lineRule="auto"/>
              <w:jc w:val="both"/>
              <w:rPr>
                <w:rFonts w:ascii="Arial" w:hAnsi="Arial" w:cs="Arial"/>
                <w:sz w:val="22"/>
                <w:szCs w:val="22"/>
              </w:rPr>
            </w:pPr>
            <w:r>
              <w:rPr>
                <w:rFonts w:ascii="Arial" w:hAnsi="Arial" w:cs="Arial"/>
                <w:sz w:val="22"/>
                <w:szCs w:val="22"/>
              </w:rPr>
              <w:t>Ministerstvo zemědělství</w:t>
            </w:r>
            <w:r w:rsidR="006F0F09" w:rsidRPr="00CA79AD">
              <w:rPr>
                <w:rFonts w:ascii="Arial" w:eastAsia="Calibri" w:hAnsi="Arial" w:cs="Arial"/>
                <w:noProof/>
                <w:sz w:val="22"/>
                <w:szCs w:val="22"/>
              </w:rPr>
              <w:t xml:space="preserve"> (</w:t>
            </w:r>
            <w:r w:rsidR="006F0F09" w:rsidRPr="00CA79AD">
              <w:rPr>
                <w:rFonts w:ascii="Arial" w:hAnsi="Arial" w:cs="Arial"/>
                <w:sz w:val="22"/>
                <w:szCs w:val="22"/>
              </w:rPr>
              <w:t xml:space="preserve">s využitím dat VÚMOP, </w:t>
            </w:r>
            <w:proofErr w:type="spellStart"/>
            <w:proofErr w:type="gramStart"/>
            <w:r w:rsidR="006F0F09" w:rsidRPr="00CA79AD">
              <w:rPr>
                <w:rFonts w:ascii="Arial" w:hAnsi="Arial" w:cs="Arial"/>
                <w:sz w:val="22"/>
                <w:szCs w:val="22"/>
              </w:rPr>
              <w:t>v.v.</w:t>
            </w:r>
            <w:proofErr w:type="gramEnd"/>
            <w:r w:rsidR="006F0F09" w:rsidRPr="00CA79AD">
              <w:rPr>
                <w:rFonts w:ascii="Arial" w:hAnsi="Arial" w:cs="Arial"/>
                <w:sz w:val="22"/>
                <w:szCs w:val="22"/>
              </w:rPr>
              <w:t>i</w:t>
            </w:r>
            <w:proofErr w:type="spellEnd"/>
            <w:r w:rsidR="006F0F09" w:rsidRPr="00CA79AD">
              <w:rPr>
                <w:rFonts w:ascii="Arial" w:hAnsi="Arial" w:cs="Arial"/>
                <w:sz w:val="22"/>
                <w:szCs w:val="22"/>
              </w:rPr>
              <w:t>.)</w:t>
            </w:r>
          </w:p>
        </w:tc>
      </w:tr>
      <w:tr w:rsidR="006F0F09" w:rsidRPr="00CA79AD" w14:paraId="7A6A20C8" w14:textId="77777777" w:rsidTr="008D14FE">
        <w:tc>
          <w:tcPr>
            <w:tcW w:w="2802" w:type="dxa"/>
          </w:tcPr>
          <w:p w14:paraId="7FF28449"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Význam indikátoru: </w:t>
            </w:r>
          </w:p>
        </w:tc>
        <w:tc>
          <w:tcPr>
            <w:tcW w:w="6486" w:type="dxa"/>
          </w:tcPr>
          <w:p w14:paraId="15C9D12B" w14:textId="77777777" w:rsidR="006F0F09" w:rsidRPr="00CA79AD" w:rsidRDefault="006F0F09" w:rsidP="00653A6E">
            <w:pPr>
              <w:spacing w:line="276" w:lineRule="auto"/>
              <w:jc w:val="both"/>
              <w:rPr>
                <w:rFonts w:ascii="Arial" w:hAnsi="Arial" w:cs="Arial"/>
                <w:sz w:val="22"/>
                <w:szCs w:val="22"/>
              </w:rPr>
            </w:pPr>
            <w:r w:rsidRPr="00CA79AD">
              <w:rPr>
                <w:rFonts w:ascii="Arial" w:hAnsi="Arial" w:cs="Arial"/>
                <w:sz w:val="22"/>
                <w:szCs w:val="22"/>
              </w:rPr>
              <w:t xml:space="preserve">Průměrná velikost celistvého bloku orné půdy koresponduje jak s náchylností půdy k erozi, tak dává představu o diverzitě krajiny. Česká republika má </w:t>
            </w:r>
            <w:r>
              <w:rPr>
                <w:rFonts w:ascii="Arial" w:hAnsi="Arial" w:cs="Arial"/>
                <w:sz w:val="22"/>
                <w:szCs w:val="22"/>
              </w:rPr>
              <w:t>velkou</w:t>
            </w:r>
            <w:r w:rsidRPr="00CA79AD">
              <w:rPr>
                <w:rFonts w:ascii="Arial" w:hAnsi="Arial" w:cs="Arial"/>
                <w:sz w:val="22"/>
                <w:szCs w:val="22"/>
              </w:rPr>
              <w:t xml:space="preserve"> průměrnou rozlohu půdního bloku, přitom její krajina je značně členitá a přes 50 % zemědělské půdy je tak ohroženo vodní erozí.</w:t>
            </w:r>
          </w:p>
        </w:tc>
      </w:tr>
      <w:tr w:rsidR="006F0F09" w:rsidRPr="00CA79AD" w14:paraId="35714593" w14:textId="77777777" w:rsidTr="008D14FE">
        <w:tc>
          <w:tcPr>
            <w:tcW w:w="2802" w:type="dxa"/>
          </w:tcPr>
          <w:p w14:paraId="54788168"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Časová řada: </w:t>
            </w:r>
          </w:p>
        </w:tc>
        <w:tc>
          <w:tcPr>
            <w:tcW w:w="6486" w:type="dxa"/>
          </w:tcPr>
          <w:p w14:paraId="2E094A39" w14:textId="77777777" w:rsidR="006F0F09" w:rsidRPr="00CA79AD" w:rsidRDefault="006F0F09" w:rsidP="00653A6E">
            <w:pPr>
              <w:spacing w:line="276" w:lineRule="auto"/>
              <w:jc w:val="both"/>
              <w:rPr>
                <w:rFonts w:ascii="Arial" w:hAnsi="Arial" w:cs="Arial"/>
                <w:sz w:val="22"/>
                <w:szCs w:val="22"/>
              </w:rPr>
            </w:pPr>
            <w:r w:rsidRPr="00CA79AD">
              <w:rPr>
                <w:rFonts w:ascii="Arial" w:hAnsi="Arial" w:cs="Arial"/>
                <w:sz w:val="22"/>
                <w:szCs w:val="22"/>
              </w:rPr>
              <w:t>Od roku 2004</w:t>
            </w:r>
          </w:p>
        </w:tc>
      </w:tr>
      <w:tr w:rsidR="006F0F09" w:rsidRPr="00CA79AD" w14:paraId="6B04E9B2" w14:textId="77777777" w:rsidTr="008D14FE">
        <w:tc>
          <w:tcPr>
            <w:tcW w:w="2802" w:type="dxa"/>
          </w:tcPr>
          <w:p w14:paraId="5586DC36"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Frekvence výstupu: </w:t>
            </w:r>
          </w:p>
        </w:tc>
        <w:tc>
          <w:tcPr>
            <w:tcW w:w="6486" w:type="dxa"/>
          </w:tcPr>
          <w:p w14:paraId="31BAEC38" w14:textId="77777777" w:rsidR="006F0F09" w:rsidRPr="00CA79AD" w:rsidRDefault="009C6CA5" w:rsidP="00653A6E">
            <w:pPr>
              <w:spacing w:line="276" w:lineRule="auto"/>
              <w:jc w:val="both"/>
              <w:rPr>
                <w:rFonts w:ascii="Arial" w:hAnsi="Arial" w:cs="Arial"/>
                <w:sz w:val="22"/>
                <w:szCs w:val="22"/>
              </w:rPr>
            </w:pPr>
            <w:r>
              <w:rPr>
                <w:rFonts w:ascii="Arial" w:hAnsi="Arial" w:cs="Arial"/>
                <w:sz w:val="22"/>
                <w:szCs w:val="22"/>
              </w:rPr>
              <w:t>R</w:t>
            </w:r>
            <w:r w:rsidR="006F0F09" w:rsidRPr="00CA79AD">
              <w:rPr>
                <w:rFonts w:ascii="Arial" w:hAnsi="Arial" w:cs="Arial"/>
                <w:sz w:val="22"/>
                <w:szCs w:val="22"/>
              </w:rPr>
              <w:t>očně</w:t>
            </w:r>
          </w:p>
        </w:tc>
      </w:tr>
      <w:tr w:rsidR="006F0F09" w:rsidRPr="00CA79AD" w14:paraId="63E8A9A6" w14:textId="77777777" w:rsidTr="008D14FE">
        <w:trPr>
          <w:trHeight w:val="70"/>
        </w:trPr>
        <w:tc>
          <w:tcPr>
            <w:tcW w:w="2802" w:type="dxa"/>
          </w:tcPr>
          <w:p w14:paraId="36864B33"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lastRenderedPageBreak/>
              <w:t xml:space="preserve">Členění indikátoru: </w:t>
            </w:r>
          </w:p>
        </w:tc>
        <w:tc>
          <w:tcPr>
            <w:tcW w:w="6486" w:type="dxa"/>
          </w:tcPr>
          <w:p w14:paraId="58FFAEFB" w14:textId="3F880596" w:rsidR="006F0F09" w:rsidRPr="00CA79AD" w:rsidRDefault="004136E4" w:rsidP="00653A6E">
            <w:pPr>
              <w:spacing w:line="276" w:lineRule="auto"/>
              <w:jc w:val="both"/>
              <w:rPr>
                <w:rFonts w:ascii="Arial" w:hAnsi="Arial" w:cs="Arial"/>
                <w:sz w:val="22"/>
                <w:szCs w:val="22"/>
              </w:rPr>
            </w:pPr>
            <w:r>
              <w:rPr>
                <w:rFonts w:ascii="Arial" w:hAnsi="Arial" w:cs="Arial"/>
                <w:sz w:val="22"/>
                <w:szCs w:val="22"/>
              </w:rPr>
              <w:t>Celostátně, dle krajů</w:t>
            </w:r>
          </w:p>
        </w:tc>
      </w:tr>
      <w:tr w:rsidR="006F0F09" w:rsidRPr="00CA79AD" w14:paraId="606D3397" w14:textId="77777777" w:rsidTr="008D14FE">
        <w:trPr>
          <w:trHeight w:val="70"/>
        </w:trPr>
        <w:tc>
          <w:tcPr>
            <w:tcW w:w="2802" w:type="dxa"/>
          </w:tcPr>
          <w:p w14:paraId="6FC136AB"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Mezinárodní srovnání:</w:t>
            </w:r>
          </w:p>
        </w:tc>
        <w:tc>
          <w:tcPr>
            <w:tcW w:w="6486" w:type="dxa"/>
          </w:tcPr>
          <w:p w14:paraId="625B3781" w14:textId="77777777" w:rsidR="006F0F09" w:rsidRPr="00CA79AD" w:rsidRDefault="006F0F09" w:rsidP="00653A6E">
            <w:pPr>
              <w:spacing w:line="276" w:lineRule="auto"/>
              <w:jc w:val="both"/>
              <w:rPr>
                <w:rFonts w:ascii="Arial" w:hAnsi="Arial" w:cs="Arial"/>
                <w:sz w:val="22"/>
                <w:szCs w:val="22"/>
              </w:rPr>
            </w:pPr>
            <w:proofErr w:type="spellStart"/>
            <w:r w:rsidRPr="00CA79AD">
              <w:rPr>
                <w:rFonts w:ascii="Arial" w:hAnsi="Arial" w:cs="Arial"/>
                <w:sz w:val="22"/>
                <w:szCs w:val="22"/>
              </w:rPr>
              <w:t>Eurostat</w:t>
            </w:r>
            <w:proofErr w:type="spellEnd"/>
          </w:p>
        </w:tc>
      </w:tr>
    </w:tbl>
    <w:p w14:paraId="43227A86" w14:textId="77777777" w:rsidR="00551E3A" w:rsidRPr="00551E3A" w:rsidRDefault="00551E3A" w:rsidP="00653A6E">
      <w:pPr>
        <w:pStyle w:val="r2030podcle"/>
        <w:numPr>
          <w:ilvl w:val="1"/>
          <w:numId w:val="17"/>
        </w:numPr>
        <w:ind w:left="567" w:hanging="425"/>
      </w:pPr>
      <w:r w:rsidRPr="00551E3A">
        <w:t xml:space="preserve">Druhová skladba vysazovaných lesních porostů odpovídá stanovištním poměrům a brání další degradaci lesních půd. </w:t>
      </w:r>
    </w:p>
    <w:tbl>
      <w:tblPr>
        <w:tblStyle w:val="Mkatabulky"/>
        <w:tblW w:w="0" w:type="auto"/>
        <w:tblLook w:val="04A0" w:firstRow="1" w:lastRow="0" w:firstColumn="1" w:lastColumn="0" w:noHBand="0" w:noVBand="1"/>
      </w:tblPr>
      <w:tblGrid>
        <w:gridCol w:w="2802"/>
        <w:gridCol w:w="6486"/>
      </w:tblGrid>
      <w:tr w:rsidR="006F0F09" w:rsidRPr="00CA79AD" w14:paraId="20A9D35C" w14:textId="77777777" w:rsidTr="008D14FE">
        <w:tc>
          <w:tcPr>
            <w:tcW w:w="2802" w:type="dxa"/>
          </w:tcPr>
          <w:p w14:paraId="20EEC8C6"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Název a označení indikátoru: </w:t>
            </w:r>
          </w:p>
        </w:tc>
        <w:tc>
          <w:tcPr>
            <w:tcW w:w="6486" w:type="dxa"/>
          </w:tcPr>
          <w:p w14:paraId="039906E3" w14:textId="5B993E74" w:rsidR="006F0F09" w:rsidRPr="00F53BA5" w:rsidRDefault="009C6CA5" w:rsidP="00C51B65">
            <w:pPr>
              <w:spacing w:line="276" w:lineRule="auto"/>
              <w:rPr>
                <w:rFonts w:ascii="Arial" w:eastAsia="Arial" w:hAnsi="Arial" w:cs="Arial"/>
                <w:b/>
                <w:sz w:val="22"/>
                <w:szCs w:val="22"/>
              </w:rPr>
            </w:pPr>
            <w:r>
              <w:rPr>
                <w:rFonts w:ascii="Arial" w:eastAsia="Calibri" w:hAnsi="Arial" w:cs="Arial"/>
                <w:b/>
                <w:noProof/>
                <w:sz w:val="22"/>
                <w:szCs w:val="22"/>
              </w:rPr>
              <w:t>15</w:t>
            </w:r>
            <w:r w:rsidR="006F0F09" w:rsidRPr="00F53BA5">
              <w:rPr>
                <w:rFonts w:ascii="Arial" w:eastAsia="Calibri" w:hAnsi="Arial" w:cs="Arial"/>
                <w:b/>
                <w:noProof/>
                <w:sz w:val="22"/>
                <w:szCs w:val="22"/>
              </w:rPr>
              <w:t>.3.1 Podíl jednotlivých druhů dřevin na obnově lesa</w:t>
            </w:r>
          </w:p>
        </w:tc>
      </w:tr>
      <w:tr w:rsidR="006F0F09" w:rsidRPr="00CA79AD" w14:paraId="54D84F05" w14:textId="77777777" w:rsidTr="008D14FE">
        <w:tc>
          <w:tcPr>
            <w:tcW w:w="2802" w:type="dxa"/>
          </w:tcPr>
          <w:p w14:paraId="2E1E404C"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Stručná definice: </w:t>
            </w:r>
          </w:p>
        </w:tc>
        <w:tc>
          <w:tcPr>
            <w:tcW w:w="6486" w:type="dxa"/>
          </w:tcPr>
          <w:p w14:paraId="59956F36" w14:textId="77777777" w:rsidR="006F0F09" w:rsidRPr="00CA79AD" w:rsidRDefault="006F0F09" w:rsidP="00653A6E">
            <w:pPr>
              <w:spacing w:line="276" w:lineRule="auto"/>
              <w:jc w:val="both"/>
              <w:rPr>
                <w:rFonts w:ascii="Arial" w:hAnsi="Arial" w:cs="Arial"/>
                <w:sz w:val="22"/>
                <w:szCs w:val="22"/>
              </w:rPr>
            </w:pPr>
            <w:r w:rsidRPr="00CA79AD">
              <w:rPr>
                <w:rFonts w:ascii="Arial" w:hAnsi="Arial" w:cs="Arial"/>
                <w:sz w:val="22"/>
                <w:szCs w:val="22"/>
              </w:rPr>
              <w:t xml:space="preserve">Indikátor se vypočítá jako podíl jednotlivých druhů dřevin na celkovém počtu sazenic použitých při umělé obnově lesa. </w:t>
            </w:r>
          </w:p>
        </w:tc>
      </w:tr>
      <w:tr w:rsidR="006F0F09" w:rsidRPr="00CA79AD" w14:paraId="2D59267A" w14:textId="77777777" w:rsidTr="008D14FE">
        <w:tc>
          <w:tcPr>
            <w:tcW w:w="2802" w:type="dxa"/>
          </w:tcPr>
          <w:p w14:paraId="095C5BF2"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Jednotka:</w:t>
            </w:r>
          </w:p>
        </w:tc>
        <w:tc>
          <w:tcPr>
            <w:tcW w:w="6486" w:type="dxa"/>
          </w:tcPr>
          <w:p w14:paraId="37400052" w14:textId="77777777" w:rsidR="006F0F09" w:rsidRPr="00CA79AD" w:rsidRDefault="009C6CA5" w:rsidP="00653A6E">
            <w:pPr>
              <w:spacing w:line="276" w:lineRule="auto"/>
              <w:jc w:val="both"/>
              <w:rPr>
                <w:rFonts w:ascii="Arial" w:hAnsi="Arial" w:cs="Arial"/>
                <w:sz w:val="22"/>
                <w:szCs w:val="22"/>
              </w:rPr>
            </w:pPr>
            <w:r>
              <w:rPr>
                <w:rFonts w:ascii="Arial" w:hAnsi="Arial" w:cs="Arial"/>
                <w:sz w:val="22"/>
                <w:szCs w:val="22"/>
              </w:rPr>
              <w:t xml:space="preserve">Podíl (v </w:t>
            </w:r>
            <w:r w:rsidR="006F0F09" w:rsidRPr="00CA79AD">
              <w:rPr>
                <w:rFonts w:ascii="Arial" w:hAnsi="Arial" w:cs="Arial"/>
                <w:sz w:val="22"/>
                <w:szCs w:val="22"/>
              </w:rPr>
              <w:t>%</w:t>
            </w:r>
            <w:r>
              <w:rPr>
                <w:rFonts w:ascii="Arial" w:hAnsi="Arial" w:cs="Arial"/>
                <w:sz w:val="22"/>
                <w:szCs w:val="22"/>
              </w:rPr>
              <w:t>)</w:t>
            </w:r>
          </w:p>
        </w:tc>
      </w:tr>
      <w:tr w:rsidR="006F0F09" w:rsidRPr="00CA79AD" w14:paraId="43C79D73" w14:textId="77777777" w:rsidTr="008D14FE">
        <w:tc>
          <w:tcPr>
            <w:tcW w:w="2802" w:type="dxa"/>
          </w:tcPr>
          <w:p w14:paraId="5025E43F"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Gestor: </w:t>
            </w:r>
          </w:p>
        </w:tc>
        <w:tc>
          <w:tcPr>
            <w:tcW w:w="6486" w:type="dxa"/>
          </w:tcPr>
          <w:p w14:paraId="58B21B21" w14:textId="77777777" w:rsidR="006F0F09" w:rsidRPr="00CA79AD" w:rsidRDefault="00A43F9D" w:rsidP="00653A6E">
            <w:pPr>
              <w:spacing w:line="276" w:lineRule="auto"/>
              <w:jc w:val="both"/>
              <w:rPr>
                <w:rFonts w:ascii="Arial" w:hAnsi="Arial" w:cs="Arial"/>
                <w:sz w:val="22"/>
                <w:szCs w:val="22"/>
              </w:rPr>
            </w:pPr>
            <w:r>
              <w:rPr>
                <w:rFonts w:ascii="Arial" w:hAnsi="Arial" w:cs="Arial"/>
                <w:sz w:val="22"/>
                <w:szCs w:val="22"/>
              </w:rPr>
              <w:t>Ministerstvo zemědělství</w:t>
            </w:r>
          </w:p>
        </w:tc>
      </w:tr>
      <w:tr w:rsidR="006F0F09" w:rsidRPr="00CA79AD" w14:paraId="1A33D8D7" w14:textId="77777777" w:rsidTr="008D14FE">
        <w:tc>
          <w:tcPr>
            <w:tcW w:w="2802" w:type="dxa"/>
          </w:tcPr>
          <w:p w14:paraId="5BF02429"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Význam indikátoru: </w:t>
            </w:r>
          </w:p>
        </w:tc>
        <w:tc>
          <w:tcPr>
            <w:tcW w:w="6486" w:type="dxa"/>
          </w:tcPr>
          <w:p w14:paraId="26A81B81" w14:textId="77777777" w:rsidR="006F0F09" w:rsidRPr="00CA79AD" w:rsidRDefault="006F0F09" w:rsidP="00653A6E">
            <w:pPr>
              <w:spacing w:line="276" w:lineRule="auto"/>
              <w:jc w:val="both"/>
              <w:rPr>
                <w:rFonts w:ascii="Arial" w:hAnsi="Arial" w:cs="Arial"/>
                <w:sz w:val="22"/>
                <w:szCs w:val="22"/>
              </w:rPr>
            </w:pPr>
            <w:r w:rsidRPr="00CA79AD">
              <w:rPr>
                <w:rFonts w:ascii="Arial" w:hAnsi="Arial" w:cs="Arial"/>
                <w:sz w:val="22"/>
                <w:szCs w:val="22"/>
              </w:rPr>
              <w:t>Porovnání podílu jednotlivých druhů dřevin, použitých při (plošně převažující) obnově lesa výsadbou sazenic, s rekonstruovanou přirozenou druhovou skladbou lesních porostů na našem území dává základní přehled, nakolik se daří zvyšovat stabilitu porostů výsadbou druhů nejlépe přizpůsobených stanovištním poměrům.</w:t>
            </w:r>
          </w:p>
        </w:tc>
      </w:tr>
      <w:tr w:rsidR="006F0F09" w:rsidRPr="00CA79AD" w14:paraId="2C17AC5B" w14:textId="77777777" w:rsidTr="008D14FE">
        <w:tc>
          <w:tcPr>
            <w:tcW w:w="2802" w:type="dxa"/>
          </w:tcPr>
          <w:p w14:paraId="521273B1"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Časová řada: </w:t>
            </w:r>
          </w:p>
        </w:tc>
        <w:tc>
          <w:tcPr>
            <w:tcW w:w="6486" w:type="dxa"/>
          </w:tcPr>
          <w:p w14:paraId="28ED20FF" w14:textId="77777777" w:rsidR="006F0F09" w:rsidRPr="00CA79AD" w:rsidRDefault="009C6CA5" w:rsidP="00653A6E">
            <w:pPr>
              <w:spacing w:line="276" w:lineRule="auto"/>
              <w:jc w:val="both"/>
              <w:rPr>
                <w:rFonts w:ascii="Arial" w:hAnsi="Arial" w:cs="Arial"/>
                <w:sz w:val="22"/>
                <w:szCs w:val="22"/>
              </w:rPr>
            </w:pPr>
            <w:r>
              <w:rPr>
                <w:rFonts w:ascii="Arial" w:hAnsi="Arial" w:cs="Arial"/>
                <w:sz w:val="22"/>
                <w:szCs w:val="22"/>
              </w:rPr>
              <w:t>-</w:t>
            </w:r>
          </w:p>
        </w:tc>
      </w:tr>
      <w:tr w:rsidR="006F0F09" w:rsidRPr="00CA79AD" w14:paraId="2BABC2D5" w14:textId="77777777" w:rsidTr="008D14FE">
        <w:tc>
          <w:tcPr>
            <w:tcW w:w="2802" w:type="dxa"/>
          </w:tcPr>
          <w:p w14:paraId="233BF11B"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Frekvence výstupu: </w:t>
            </w:r>
          </w:p>
        </w:tc>
        <w:tc>
          <w:tcPr>
            <w:tcW w:w="6486" w:type="dxa"/>
          </w:tcPr>
          <w:p w14:paraId="4D9D6EAD" w14:textId="77777777" w:rsidR="006F0F09" w:rsidRPr="00CA79AD" w:rsidRDefault="009C6CA5" w:rsidP="00653A6E">
            <w:pPr>
              <w:spacing w:line="276" w:lineRule="auto"/>
              <w:jc w:val="both"/>
              <w:rPr>
                <w:rFonts w:ascii="Arial" w:hAnsi="Arial" w:cs="Arial"/>
                <w:sz w:val="22"/>
                <w:szCs w:val="22"/>
              </w:rPr>
            </w:pPr>
            <w:r>
              <w:rPr>
                <w:rFonts w:ascii="Arial" w:hAnsi="Arial" w:cs="Arial"/>
                <w:sz w:val="22"/>
                <w:szCs w:val="22"/>
              </w:rPr>
              <w:t>R</w:t>
            </w:r>
            <w:r w:rsidR="006F0F09" w:rsidRPr="00CA79AD">
              <w:rPr>
                <w:rFonts w:ascii="Arial" w:hAnsi="Arial" w:cs="Arial"/>
                <w:sz w:val="22"/>
                <w:szCs w:val="22"/>
              </w:rPr>
              <w:t>očně</w:t>
            </w:r>
          </w:p>
        </w:tc>
      </w:tr>
      <w:tr w:rsidR="006F0F09" w:rsidRPr="00CA79AD" w14:paraId="2F731BBE" w14:textId="77777777" w:rsidTr="008D14FE">
        <w:trPr>
          <w:trHeight w:val="70"/>
        </w:trPr>
        <w:tc>
          <w:tcPr>
            <w:tcW w:w="2802" w:type="dxa"/>
          </w:tcPr>
          <w:p w14:paraId="775E3300"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 xml:space="preserve">Členění indikátoru: </w:t>
            </w:r>
          </w:p>
        </w:tc>
        <w:tc>
          <w:tcPr>
            <w:tcW w:w="6486" w:type="dxa"/>
          </w:tcPr>
          <w:p w14:paraId="73D78E18" w14:textId="77777777" w:rsidR="006F0F09" w:rsidRPr="00CA79AD" w:rsidRDefault="006F0F09" w:rsidP="00653A6E">
            <w:pPr>
              <w:spacing w:line="276" w:lineRule="auto"/>
              <w:jc w:val="both"/>
              <w:rPr>
                <w:rFonts w:ascii="Arial" w:hAnsi="Arial" w:cs="Arial"/>
                <w:sz w:val="22"/>
                <w:szCs w:val="22"/>
              </w:rPr>
            </w:pPr>
            <w:r w:rsidRPr="00CA79AD">
              <w:rPr>
                <w:rFonts w:ascii="Arial" w:hAnsi="Arial" w:cs="Arial"/>
                <w:sz w:val="22"/>
                <w:szCs w:val="22"/>
              </w:rPr>
              <w:t>Po jednotlivých druzích lesních dřevin</w:t>
            </w:r>
          </w:p>
        </w:tc>
      </w:tr>
      <w:tr w:rsidR="006F0F09" w:rsidRPr="00CA79AD" w14:paraId="1E8FBC58" w14:textId="77777777" w:rsidTr="008D14FE">
        <w:trPr>
          <w:trHeight w:val="70"/>
        </w:trPr>
        <w:tc>
          <w:tcPr>
            <w:tcW w:w="2802" w:type="dxa"/>
          </w:tcPr>
          <w:p w14:paraId="6DFC0696" w14:textId="77777777" w:rsidR="006F0F09" w:rsidRPr="00CA79AD" w:rsidRDefault="006F0F09" w:rsidP="00C51B65">
            <w:pPr>
              <w:spacing w:line="276" w:lineRule="auto"/>
              <w:rPr>
                <w:rFonts w:ascii="Arial" w:hAnsi="Arial" w:cs="Arial"/>
                <w:sz w:val="22"/>
                <w:szCs w:val="22"/>
              </w:rPr>
            </w:pPr>
            <w:r w:rsidRPr="00CA79AD">
              <w:rPr>
                <w:rFonts w:ascii="Arial" w:hAnsi="Arial" w:cs="Arial"/>
                <w:sz w:val="22"/>
                <w:szCs w:val="22"/>
              </w:rPr>
              <w:t>Mezinárodní srovnání:</w:t>
            </w:r>
          </w:p>
        </w:tc>
        <w:tc>
          <w:tcPr>
            <w:tcW w:w="6486" w:type="dxa"/>
          </w:tcPr>
          <w:p w14:paraId="78959C07" w14:textId="77777777" w:rsidR="006F0F09" w:rsidRPr="00CA79AD" w:rsidRDefault="009C6CA5" w:rsidP="00653A6E">
            <w:pPr>
              <w:spacing w:line="276" w:lineRule="auto"/>
              <w:jc w:val="both"/>
              <w:rPr>
                <w:rFonts w:ascii="Arial" w:hAnsi="Arial" w:cs="Arial"/>
                <w:sz w:val="22"/>
                <w:szCs w:val="22"/>
              </w:rPr>
            </w:pPr>
            <w:r>
              <w:rPr>
                <w:rFonts w:ascii="Arial" w:hAnsi="Arial" w:cs="Arial"/>
                <w:sz w:val="22"/>
                <w:szCs w:val="22"/>
              </w:rPr>
              <w:t>-</w:t>
            </w:r>
          </w:p>
        </w:tc>
      </w:tr>
    </w:tbl>
    <w:p w14:paraId="58310FA7" w14:textId="71146DA4" w:rsidR="00267BA8" w:rsidRDefault="00267BA8" w:rsidP="00267BA8">
      <w:pPr>
        <w:pStyle w:val="Nadpis1"/>
        <w:numPr>
          <w:ilvl w:val="0"/>
          <w:numId w:val="0"/>
        </w:numPr>
        <w:ind w:left="567"/>
      </w:pPr>
    </w:p>
    <w:p w14:paraId="37BF19D3" w14:textId="77777777" w:rsidR="00267BA8" w:rsidRDefault="00267BA8">
      <w:pPr>
        <w:spacing w:after="200" w:line="276" w:lineRule="auto"/>
        <w:rPr>
          <w:rFonts w:ascii="Arial" w:eastAsiaTheme="majorEastAsia" w:hAnsi="Arial" w:cs="Arial"/>
          <w:b/>
          <w:bCs/>
          <w:kern w:val="32"/>
          <w:sz w:val="28"/>
          <w:szCs w:val="32"/>
          <w:lang w:eastAsia="en-US"/>
        </w:rPr>
      </w:pPr>
      <w:r>
        <w:br w:type="page"/>
      </w:r>
    </w:p>
    <w:p w14:paraId="0B3942EE" w14:textId="77777777" w:rsidR="00EA2748" w:rsidRDefault="00EA2748" w:rsidP="00295222">
      <w:pPr>
        <w:pStyle w:val="Nadpis1"/>
      </w:pPr>
      <w:bookmarkStart w:id="4" w:name="_Toc476663538"/>
      <w:r w:rsidRPr="00F677C3">
        <w:lastRenderedPageBreak/>
        <w:t>Obce a regiony</w:t>
      </w:r>
      <w:bookmarkEnd w:id="4"/>
    </w:p>
    <w:p w14:paraId="2EC95876" w14:textId="77777777" w:rsidR="00EA2748" w:rsidRPr="00F677C3" w:rsidRDefault="009C6CA5" w:rsidP="00653A6E">
      <w:pPr>
        <w:pStyle w:val="r2030cle"/>
        <w:numPr>
          <w:ilvl w:val="0"/>
          <w:numId w:val="17"/>
        </w:numPr>
        <w:ind w:left="567" w:hanging="425"/>
        <w:rPr>
          <w:szCs w:val="22"/>
        </w:rPr>
      </w:pPr>
      <w:r>
        <w:t>Veřejné služby v území jsou pro všechny obyvatele lépe dostupné</w:t>
      </w:r>
    </w:p>
    <w:p w14:paraId="7D5382F3" w14:textId="77777777" w:rsidR="00EA2748" w:rsidRPr="009C6CA5" w:rsidRDefault="009C6CA5" w:rsidP="00653A6E">
      <w:pPr>
        <w:pStyle w:val="r2030podcle"/>
        <w:numPr>
          <w:ilvl w:val="1"/>
          <w:numId w:val="17"/>
        </w:numPr>
        <w:ind w:left="567" w:hanging="425"/>
      </w:pPr>
      <w:r>
        <w:t>Strategické a územní plánování je na všech úrovních koordinováno.</w:t>
      </w:r>
    </w:p>
    <w:tbl>
      <w:tblPr>
        <w:tblStyle w:val="Mkatabulky"/>
        <w:tblW w:w="0" w:type="auto"/>
        <w:tblLook w:val="04A0" w:firstRow="1" w:lastRow="0" w:firstColumn="1" w:lastColumn="0" w:noHBand="0" w:noVBand="1"/>
      </w:tblPr>
      <w:tblGrid>
        <w:gridCol w:w="2802"/>
        <w:gridCol w:w="6486"/>
      </w:tblGrid>
      <w:tr w:rsidR="00EA2748" w:rsidRPr="00E83145" w14:paraId="3A42728A" w14:textId="77777777" w:rsidTr="00B460D5">
        <w:tc>
          <w:tcPr>
            <w:tcW w:w="2802" w:type="dxa"/>
          </w:tcPr>
          <w:p w14:paraId="5EB5A4B5" w14:textId="77777777" w:rsidR="00EA2748" w:rsidRPr="00E83145" w:rsidRDefault="00EA2748" w:rsidP="00C51B65">
            <w:pPr>
              <w:spacing w:line="276" w:lineRule="auto"/>
              <w:rPr>
                <w:rFonts w:ascii="Arial" w:hAnsi="Arial" w:cs="Arial"/>
                <w:sz w:val="22"/>
                <w:szCs w:val="22"/>
              </w:rPr>
            </w:pPr>
            <w:r w:rsidRPr="00E83145">
              <w:rPr>
                <w:rFonts w:ascii="Arial" w:hAnsi="Arial" w:cs="Arial"/>
                <w:sz w:val="22"/>
                <w:szCs w:val="22"/>
              </w:rPr>
              <w:t xml:space="preserve">Název a označení indikátoru: </w:t>
            </w:r>
          </w:p>
        </w:tc>
        <w:tc>
          <w:tcPr>
            <w:tcW w:w="6486" w:type="dxa"/>
          </w:tcPr>
          <w:p w14:paraId="797C8D37" w14:textId="77777777" w:rsidR="00EA2748" w:rsidRPr="00E83145" w:rsidRDefault="009C6CA5" w:rsidP="00C51B65">
            <w:pPr>
              <w:spacing w:line="276" w:lineRule="auto"/>
              <w:rPr>
                <w:rFonts w:ascii="Arial" w:eastAsia="Arial" w:hAnsi="Arial" w:cs="Arial"/>
                <w:b/>
                <w:color w:val="000000"/>
                <w:sz w:val="22"/>
                <w:szCs w:val="22"/>
              </w:rPr>
            </w:pPr>
            <w:r>
              <w:rPr>
                <w:rFonts w:ascii="Arial" w:eastAsia="Calibri" w:hAnsi="Arial" w:cs="Arial"/>
                <w:b/>
                <w:sz w:val="22"/>
                <w:szCs w:val="22"/>
              </w:rPr>
              <w:t>16</w:t>
            </w:r>
            <w:r w:rsidR="00EA2748" w:rsidRPr="00E83145">
              <w:rPr>
                <w:rFonts w:ascii="Arial" w:eastAsia="Calibri" w:hAnsi="Arial" w:cs="Arial"/>
                <w:b/>
                <w:sz w:val="22"/>
                <w:szCs w:val="22"/>
              </w:rPr>
              <w:t>.1.1 Existence metodiky pro koordinaci územního a strategického plánování na úrovni státu, krajů a obcí</w:t>
            </w:r>
            <w:r w:rsidR="00EA2748" w:rsidRPr="00E83145">
              <w:rPr>
                <w:rFonts w:ascii="Arial" w:eastAsia="Arial" w:hAnsi="Arial" w:cs="Arial"/>
                <w:b/>
                <w:color w:val="000000"/>
                <w:sz w:val="22"/>
                <w:szCs w:val="22"/>
              </w:rPr>
              <w:t xml:space="preserve"> </w:t>
            </w:r>
          </w:p>
        </w:tc>
      </w:tr>
      <w:tr w:rsidR="00EA2748" w:rsidRPr="00E83145" w14:paraId="781E44D6" w14:textId="77777777" w:rsidTr="00B460D5">
        <w:tc>
          <w:tcPr>
            <w:tcW w:w="2802" w:type="dxa"/>
          </w:tcPr>
          <w:p w14:paraId="2230DFD7" w14:textId="77777777" w:rsidR="00EA2748" w:rsidRPr="00E83145" w:rsidRDefault="00EA2748" w:rsidP="00C51B65">
            <w:pPr>
              <w:spacing w:line="276" w:lineRule="auto"/>
              <w:rPr>
                <w:rFonts w:ascii="Arial" w:hAnsi="Arial" w:cs="Arial"/>
                <w:sz w:val="22"/>
                <w:szCs w:val="22"/>
              </w:rPr>
            </w:pPr>
            <w:r w:rsidRPr="00E83145">
              <w:rPr>
                <w:rFonts w:ascii="Arial" w:hAnsi="Arial" w:cs="Arial"/>
                <w:sz w:val="22"/>
                <w:szCs w:val="22"/>
              </w:rPr>
              <w:t xml:space="preserve">Stručná definice: </w:t>
            </w:r>
          </w:p>
        </w:tc>
        <w:tc>
          <w:tcPr>
            <w:tcW w:w="6486" w:type="dxa"/>
          </w:tcPr>
          <w:p w14:paraId="48080E6D" w14:textId="77777777" w:rsidR="00EA2748" w:rsidRPr="00E83145" w:rsidRDefault="00EA2748" w:rsidP="000511A8">
            <w:pPr>
              <w:spacing w:line="276" w:lineRule="auto"/>
              <w:jc w:val="both"/>
              <w:rPr>
                <w:rFonts w:ascii="Arial" w:hAnsi="Arial" w:cs="Arial"/>
                <w:sz w:val="22"/>
                <w:szCs w:val="22"/>
              </w:rPr>
            </w:pPr>
            <w:r w:rsidRPr="00E83145">
              <w:rPr>
                <w:rFonts w:ascii="Arial" w:hAnsi="Arial" w:cs="Arial"/>
                <w:sz w:val="22"/>
                <w:szCs w:val="22"/>
              </w:rPr>
              <w:t>Indikátor sleduje, zda existuje aktuální metodika (nebo metodiky), určující způsoby vzájemné koordinace mezi dokumenty územního plánování a strategického plánování, a to na národní, krajské i obecní úrovni</w:t>
            </w:r>
          </w:p>
        </w:tc>
      </w:tr>
      <w:tr w:rsidR="00EA2748" w:rsidRPr="00E83145" w14:paraId="35F754E8" w14:textId="77777777" w:rsidTr="00B460D5">
        <w:tc>
          <w:tcPr>
            <w:tcW w:w="2802" w:type="dxa"/>
          </w:tcPr>
          <w:p w14:paraId="3C43AC65" w14:textId="77777777" w:rsidR="00EA2748" w:rsidRPr="00E83145" w:rsidRDefault="00EA2748" w:rsidP="00C51B65">
            <w:pPr>
              <w:spacing w:line="276" w:lineRule="auto"/>
              <w:rPr>
                <w:rFonts w:ascii="Arial" w:hAnsi="Arial" w:cs="Arial"/>
                <w:sz w:val="22"/>
                <w:szCs w:val="22"/>
              </w:rPr>
            </w:pPr>
            <w:r w:rsidRPr="00E83145">
              <w:rPr>
                <w:rFonts w:ascii="Arial" w:hAnsi="Arial" w:cs="Arial"/>
                <w:sz w:val="22"/>
                <w:szCs w:val="22"/>
              </w:rPr>
              <w:t>Jednotka:</w:t>
            </w:r>
          </w:p>
        </w:tc>
        <w:tc>
          <w:tcPr>
            <w:tcW w:w="6486" w:type="dxa"/>
          </w:tcPr>
          <w:p w14:paraId="0B3972D7" w14:textId="77777777" w:rsidR="00EA2748" w:rsidRPr="00E83145" w:rsidRDefault="00D27214" w:rsidP="000511A8">
            <w:pPr>
              <w:spacing w:line="276" w:lineRule="auto"/>
              <w:jc w:val="both"/>
              <w:rPr>
                <w:rFonts w:ascii="Arial" w:hAnsi="Arial" w:cs="Arial"/>
                <w:sz w:val="22"/>
                <w:szCs w:val="22"/>
              </w:rPr>
            </w:pPr>
            <w:r>
              <w:rPr>
                <w:rFonts w:ascii="Arial" w:hAnsi="Arial" w:cs="Arial"/>
                <w:sz w:val="22"/>
                <w:szCs w:val="22"/>
              </w:rPr>
              <w:t>Počet metodik</w:t>
            </w:r>
          </w:p>
        </w:tc>
      </w:tr>
      <w:tr w:rsidR="00EA2748" w:rsidRPr="00E83145" w14:paraId="06FE7DB0" w14:textId="77777777" w:rsidTr="00B460D5">
        <w:tc>
          <w:tcPr>
            <w:tcW w:w="2802" w:type="dxa"/>
          </w:tcPr>
          <w:p w14:paraId="6C8127F6" w14:textId="77777777" w:rsidR="00EA2748" w:rsidRPr="00E83145" w:rsidRDefault="00EA2748" w:rsidP="00C51B65">
            <w:pPr>
              <w:spacing w:line="276" w:lineRule="auto"/>
              <w:rPr>
                <w:rFonts w:ascii="Arial" w:hAnsi="Arial" w:cs="Arial"/>
                <w:sz w:val="22"/>
                <w:szCs w:val="22"/>
              </w:rPr>
            </w:pPr>
            <w:r w:rsidRPr="00E83145">
              <w:rPr>
                <w:rFonts w:ascii="Arial" w:hAnsi="Arial" w:cs="Arial"/>
                <w:sz w:val="22"/>
                <w:szCs w:val="22"/>
              </w:rPr>
              <w:t xml:space="preserve">Gestor: </w:t>
            </w:r>
          </w:p>
        </w:tc>
        <w:tc>
          <w:tcPr>
            <w:tcW w:w="6486" w:type="dxa"/>
          </w:tcPr>
          <w:p w14:paraId="31E706D9" w14:textId="77777777" w:rsidR="00EA2748" w:rsidRPr="00E83145" w:rsidRDefault="00D27214" w:rsidP="000511A8">
            <w:pPr>
              <w:spacing w:line="276" w:lineRule="auto"/>
              <w:jc w:val="both"/>
              <w:rPr>
                <w:rFonts w:ascii="Arial" w:hAnsi="Arial" w:cs="Arial"/>
                <w:sz w:val="22"/>
                <w:szCs w:val="22"/>
              </w:rPr>
            </w:pPr>
            <w:r>
              <w:rPr>
                <w:rFonts w:ascii="Arial" w:hAnsi="Arial" w:cs="Arial"/>
                <w:sz w:val="22"/>
                <w:szCs w:val="22"/>
              </w:rPr>
              <w:t>Ministerstvo pro místní rozvoj</w:t>
            </w:r>
          </w:p>
        </w:tc>
      </w:tr>
      <w:tr w:rsidR="00EA2748" w:rsidRPr="00E83145" w14:paraId="4531B27B" w14:textId="77777777" w:rsidTr="00B460D5">
        <w:tc>
          <w:tcPr>
            <w:tcW w:w="2802" w:type="dxa"/>
          </w:tcPr>
          <w:p w14:paraId="6C288E05" w14:textId="77777777" w:rsidR="00EA2748" w:rsidRPr="00E83145" w:rsidRDefault="00EA2748" w:rsidP="00C51B65">
            <w:pPr>
              <w:spacing w:line="276" w:lineRule="auto"/>
              <w:rPr>
                <w:rFonts w:ascii="Arial" w:hAnsi="Arial" w:cs="Arial"/>
                <w:sz w:val="22"/>
                <w:szCs w:val="22"/>
              </w:rPr>
            </w:pPr>
            <w:r w:rsidRPr="00E83145">
              <w:rPr>
                <w:rFonts w:ascii="Arial" w:hAnsi="Arial" w:cs="Arial"/>
                <w:sz w:val="22"/>
                <w:szCs w:val="22"/>
              </w:rPr>
              <w:t xml:space="preserve">Význam indikátoru: </w:t>
            </w:r>
          </w:p>
        </w:tc>
        <w:tc>
          <w:tcPr>
            <w:tcW w:w="6486" w:type="dxa"/>
          </w:tcPr>
          <w:p w14:paraId="6ADD41C9" w14:textId="77777777" w:rsidR="00EA2748" w:rsidRPr="00E83145" w:rsidRDefault="00EA2748" w:rsidP="000511A8">
            <w:pPr>
              <w:spacing w:line="276" w:lineRule="auto"/>
              <w:jc w:val="both"/>
              <w:rPr>
                <w:rFonts w:ascii="Arial" w:hAnsi="Arial" w:cs="Arial"/>
                <w:sz w:val="22"/>
                <w:szCs w:val="22"/>
              </w:rPr>
            </w:pPr>
            <w:r w:rsidRPr="00E83145">
              <w:rPr>
                <w:rFonts w:ascii="Arial" w:hAnsi="Arial" w:cs="Arial"/>
                <w:sz w:val="22"/>
                <w:szCs w:val="22"/>
              </w:rPr>
              <w:t>Existence metodiky je předpokladem pro vzájemnou koordinaci územního a strategického plánování</w:t>
            </w:r>
            <w:r w:rsidR="009C6CA5">
              <w:rPr>
                <w:rFonts w:ascii="Arial" w:hAnsi="Arial" w:cs="Arial"/>
                <w:sz w:val="22"/>
                <w:szCs w:val="22"/>
              </w:rPr>
              <w:t>.</w:t>
            </w:r>
          </w:p>
        </w:tc>
      </w:tr>
      <w:tr w:rsidR="00EA2748" w:rsidRPr="00E83145" w14:paraId="1BB3203F" w14:textId="77777777" w:rsidTr="00B460D5">
        <w:tc>
          <w:tcPr>
            <w:tcW w:w="2802" w:type="dxa"/>
          </w:tcPr>
          <w:p w14:paraId="1E98F945" w14:textId="77777777" w:rsidR="00EA2748" w:rsidRPr="00E83145" w:rsidRDefault="00EA2748" w:rsidP="00C51B65">
            <w:pPr>
              <w:spacing w:line="276" w:lineRule="auto"/>
              <w:rPr>
                <w:rFonts w:ascii="Arial" w:hAnsi="Arial" w:cs="Arial"/>
                <w:sz w:val="22"/>
                <w:szCs w:val="22"/>
              </w:rPr>
            </w:pPr>
            <w:r w:rsidRPr="00E83145">
              <w:rPr>
                <w:rFonts w:ascii="Arial" w:hAnsi="Arial" w:cs="Arial"/>
                <w:sz w:val="22"/>
                <w:szCs w:val="22"/>
              </w:rPr>
              <w:t xml:space="preserve">Časová řada: </w:t>
            </w:r>
          </w:p>
        </w:tc>
        <w:tc>
          <w:tcPr>
            <w:tcW w:w="6486" w:type="dxa"/>
          </w:tcPr>
          <w:p w14:paraId="6D9F84B6" w14:textId="77777777" w:rsidR="00EA2748" w:rsidRPr="00E83145" w:rsidRDefault="009C6CA5" w:rsidP="000511A8">
            <w:pPr>
              <w:spacing w:line="276" w:lineRule="auto"/>
              <w:jc w:val="both"/>
              <w:rPr>
                <w:rFonts w:ascii="Arial" w:hAnsi="Arial" w:cs="Arial"/>
                <w:sz w:val="22"/>
                <w:szCs w:val="22"/>
              </w:rPr>
            </w:pPr>
            <w:r>
              <w:rPr>
                <w:rFonts w:ascii="Arial" w:hAnsi="Arial" w:cs="Arial"/>
                <w:sz w:val="22"/>
                <w:szCs w:val="22"/>
              </w:rPr>
              <w:t>-</w:t>
            </w:r>
          </w:p>
        </w:tc>
      </w:tr>
      <w:tr w:rsidR="00EA2748" w:rsidRPr="00E83145" w14:paraId="425CD288" w14:textId="77777777" w:rsidTr="00B460D5">
        <w:tc>
          <w:tcPr>
            <w:tcW w:w="2802" w:type="dxa"/>
          </w:tcPr>
          <w:p w14:paraId="41E8DA8B" w14:textId="77777777" w:rsidR="00EA2748" w:rsidRPr="00E83145" w:rsidRDefault="00EA2748" w:rsidP="00C51B65">
            <w:pPr>
              <w:spacing w:line="276" w:lineRule="auto"/>
              <w:rPr>
                <w:rFonts w:ascii="Arial" w:hAnsi="Arial" w:cs="Arial"/>
                <w:sz w:val="22"/>
                <w:szCs w:val="22"/>
              </w:rPr>
            </w:pPr>
            <w:r w:rsidRPr="00E83145">
              <w:rPr>
                <w:rFonts w:ascii="Arial" w:hAnsi="Arial" w:cs="Arial"/>
                <w:sz w:val="22"/>
                <w:szCs w:val="22"/>
              </w:rPr>
              <w:t xml:space="preserve">Frekvence výstupu: </w:t>
            </w:r>
          </w:p>
        </w:tc>
        <w:tc>
          <w:tcPr>
            <w:tcW w:w="6486" w:type="dxa"/>
          </w:tcPr>
          <w:p w14:paraId="1D14CF2E" w14:textId="77777777" w:rsidR="00EA2748" w:rsidRPr="00E83145" w:rsidRDefault="00EA2748" w:rsidP="000511A8">
            <w:pPr>
              <w:spacing w:line="276" w:lineRule="auto"/>
              <w:jc w:val="both"/>
              <w:rPr>
                <w:rFonts w:ascii="Arial" w:hAnsi="Arial" w:cs="Arial"/>
                <w:sz w:val="22"/>
                <w:szCs w:val="22"/>
              </w:rPr>
            </w:pPr>
            <w:r w:rsidRPr="00E83145">
              <w:rPr>
                <w:rFonts w:ascii="Arial" w:hAnsi="Arial" w:cs="Arial"/>
                <w:sz w:val="22"/>
                <w:szCs w:val="22"/>
              </w:rPr>
              <w:t>Ověření existence aktuální metodiky pravidelně v periodě průběžného vyhodnocení strategie ČR 2030</w:t>
            </w:r>
          </w:p>
        </w:tc>
      </w:tr>
      <w:tr w:rsidR="00EA2748" w:rsidRPr="00E83145" w14:paraId="1C81677C" w14:textId="77777777" w:rsidTr="00B460D5">
        <w:trPr>
          <w:trHeight w:val="70"/>
        </w:trPr>
        <w:tc>
          <w:tcPr>
            <w:tcW w:w="2802" w:type="dxa"/>
          </w:tcPr>
          <w:p w14:paraId="7E05756F" w14:textId="77777777" w:rsidR="00EA2748" w:rsidRPr="00E83145" w:rsidRDefault="00EA2748" w:rsidP="00C51B65">
            <w:pPr>
              <w:spacing w:line="276" w:lineRule="auto"/>
              <w:rPr>
                <w:rFonts w:ascii="Arial" w:hAnsi="Arial" w:cs="Arial"/>
                <w:sz w:val="22"/>
                <w:szCs w:val="22"/>
              </w:rPr>
            </w:pPr>
            <w:r w:rsidRPr="00E83145">
              <w:rPr>
                <w:rFonts w:ascii="Arial" w:hAnsi="Arial" w:cs="Arial"/>
                <w:sz w:val="22"/>
                <w:szCs w:val="22"/>
              </w:rPr>
              <w:t xml:space="preserve">Členění indikátoru: </w:t>
            </w:r>
          </w:p>
        </w:tc>
        <w:tc>
          <w:tcPr>
            <w:tcW w:w="6486" w:type="dxa"/>
          </w:tcPr>
          <w:p w14:paraId="32770ED9" w14:textId="3268766F" w:rsidR="00EA2748" w:rsidRPr="00E83145" w:rsidRDefault="004136E4" w:rsidP="000511A8">
            <w:pPr>
              <w:spacing w:line="276" w:lineRule="auto"/>
              <w:jc w:val="both"/>
              <w:rPr>
                <w:rFonts w:ascii="Arial" w:hAnsi="Arial" w:cs="Arial"/>
                <w:sz w:val="22"/>
                <w:szCs w:val="22"/>
              </w:rPr>
            </w:pPr>
            <w:r>
              <w:rPr>
                <w:rFonts w:ascii="Arial" w:hAnsi="Arial" w:cs="Arial"/>
                <w:sz w:val="22"/>
                <w:szCs w:val="22"/>
              </w:rPr>
              <w:t>Celostátně</w:t>
            </w:r>
            <w:r w:rsidR="009C6CA5">
              <w:rPr>
                <w:rFonts w:ascii="Arial" w:hAnsi="Arial" w:cs="Arial"/>
                <w:sz w:val="22"/>
                <w:szCs w:val="22"/>
              </w:rPr>
              <w:t xml:space="preserve">, </w:t>
            </w:r>
            <w:r>
              <w:rPr>
                <w:rFonts w:ascii="Arial" w:hAnsi="Arial" w:cs="Arial"/>
                <w:sz w:val="22"/>
                <w:szCs w:val="22"/>
              </w:rPr>
              <w:t>dle krajů</w:t>
            </w:r>
            <w:r w:rsidR="009C6CA5">
              <w:rPr>
                <w:rFonts w:ascii="Arial" w:hAnsi="Arial" w:cs="Arial"/>
                <w:sz w:val="22"/>
                <w:szCs w:val="22"/>
              </w:rPr>
              <w:t>,</w:t>
            </w:r>
            <w:r>
              <w:rPr>
                <w:rFonts w:ascii="Arial" w:hAnsi="Arial" w:cs="Arial"/>
                <w:sz w:val="22"/>
                <w:szCs w:val="22"/>
              </w:rPr>
              <w:t xml:space="preserve"> obcí</w:t>
            </w:r>
          </w:p>
        </w:tc>
      </w:tr>
      <w:tr w:rsidR="00EA2748" w:rsidRPr="00E83145" w14:paraId="7D27BF45" w14:textId="77777777" w:rsidTr="00B460D5">
        <w:trPr>
          <w:trHeight w:val="70"/>
        </w:trPr>
        <w:tc>
          <w:tcPr>
            <w:tcW w:w="2802" w:type="dxa"/>
          </w:tcPr>
          <w:p w14:paraId="2B6BD2EB" w14:textId="77777777" w:rsidR="00EA2748" w:rsidRPr="00E83145" w:rsidRDefault="00EA2748" w:rsidP="00C51B65">
            <w:pPr>
              <w:spacing w:line="276" w:lineRule="auto"/>
              <w:rPr>
                <w:rFonts w:ascii="Arial" w:hAnsi="Arial" w:cs="Arial"/>
                <w:sz w:val="22"/>
                <w:szCs w:val="22"/>
              </w:rPr>
            </w:pPr>
            <w:r w:rsidRPr="00E83145">
              <w:rPr>
                <w:rFonts w:ascii="Arial" w:hAnsi="Arial" w:cs="Arial"/>
                <w:sz w:val="22"/>
                <w:szCs w:val="22"/>
              </w:rPr>
              <w:t>Mezinárodní srovnání:</w:t>
            </w:r>
          </w:p>
        </w:tc>
        <w:tc>
          <w:tcPr>
            <w:tcW w:w="6486" w:type="dxa"/>
          </w:tcPr>
          <w:p w14:paraId="6287572A" w14:textId="77777777" w:rsidR="00EA2748" w:rsidRPr="00E83145" w:rsidRDefault="009C6CA5" w:rsidP="00C51B65">
            <w:pPr>
              <w:spacing w:line="276" w:lineRule="auto"/>
              <w:rPr>
                <w:rFonts w:ascii="Arial" w:hAnsi="Arial" w:cs="Arial"/>
                <w:sz w:val="22"/>
                <w:szCs w:val="22"/>
              </w:rPr>
            </w:pPr>
            <w:r>
              <w:rPr>
                <w:rFonts w:ascii="Arial" w:hAnsi="Arial" w:cs="Arial"/>
                <w:sz w:val="22"/>
                <w:szCs w:val="22"/>
              </w:rPr>
              <w:t>-</w:t>
            </w:r>
          </w:p>
        </w:tc>
      </w:tr>
    </w:tbl>
    <w:p w14:paraId="78E1B22C" w14:textId="77777777" w:rsidR="00EA2748" w:rsidRPr="00E83145" w:rsidRDefault="00EA2748" w:rsidP="00C51B65">
      <w:pPr>
        <w:spacing w:line="276" w:lineRule="auto"/>
        <w:ind w:left="709"/>
        <w:jc w:val="both"/>
        <w:rPr>
          <w:rFonts w:ascii="Arial" w:eastAsia="Calibri" w:hAnsi="Arial" w:cs="Arial"/>
          <w:sz w:val="22"/>
          <w:szCs w:val="22"/>
        </w:rPr>
      </w:pPr>
    </w:p>
    <w:tbl>
      <w:tblPr>
        <w:tblStyle w:val="Mkatabulky"/>
        <w:tblW w:w="0" w:type="auto"/>
        <w:tblLook w:val="04A0" w:firstRow="1" w:lastRow="0" w:firstColumn="1" w:lastColumn="0" w:noHBand="0" w:noVBand="1"/>
      </w:tblPr>
      <w:tblGrid>
        <w:gridCol w:w="2802"/>
        <w:gridCol w:w="6486"/>
      </w:tblGrid>
      <w:tr w:rsidR="00EA2748" w:rsidRPr="00E83145" w14:paraId="2B670246" w14:textId="77777777" w:rsidTr="00B460D5">
        <w:tc>
          <w:tcPr>
            <w:tcW w:w="2802" w:type="dxa"/>
          </w:tcPr>
          <w:p w14:paraId="057D48C9" w14:textId="77777777" w:rsidR="00EA2748" w:rsidRPr="00E83145" w:rsidRDefault="00EA2748" w:rsidP="00C51B65">
            <w:pPr>
              <w:spacing w:line="276" w:lineRule="auto"/>
              <w:rPr>
                <w:rFonts w:ascii="Arial" w:hAnsi="Arial" w:cs="Arial"/>
                <w:sz w:val="22"/>
                <w:szCs w:val="22"/>
              </w:rPr>
            </w:pPr>
            <w:r w:rsidRPr="00E83145">
              <w:rPr>
                <w:rFonts w:ascii="Arial" w:eastAsia="Calibri" w:hAnsi="Arial" w:cs="Arial"/>
                <w:i/>
                <w:sz w:val="22"/>
                <w:szCs w:val="22"/>
              </w:rPr>
              <w:t xml:space="preserve"> </w:t>
            </w:r>
            <w:r w:rsidRPr="00E83145">
              <w:rPr>
                <w:rFonts w:ascii="Arial" w:hAnsi="Arial" w:cs="Arial"/>
                <w:sz w:val="22"/>
                <w:szCs w:val="22"/>
              </w:rPr>
              <w:t xml:space="preserve">Název a označení indikátoru: </w:t>
            </w:r>
          </w:p>
        </w:tc>
        <w:tc>
          <w:tcPr>
            <w:tcW w:w="6486" w:type="dxa"/>
          </w:tcPr>
          <w:p w14:paraId="325DF1CE" w14:textId="77777777" w:rsidR="00EA2748" w:rsidRPr="00E83145" w:rsidRDefault="009C6CA5" w:rsidP="00C51B65">
            <w:pPr>
              <w:spacing w:line="276" w:lineRule="auto"/>
              <w:rPr>
                <w:rFonts w:ascii="Arial" w:eastAsia="Arial" w:hAnsi="Arial" w:cs="Arial"/>
                <w:b/>
                <w:color w:val="000000"/>
                <w:sz w:val="22"/>
                <w:szCs w:val="22"/>
              </w:rPr>
            </w:pPr>
            <w:r>
              <w:rPr>
                <w:rFonts w:ascii="Arial" w:eastAsia="Calibri" w:hAnsi="Arial" w:cs="Arial"/>
                <w:b/>
                <w:sz w:val="22"/>
                <w:szCs w:val="22"/>
              </w:rPr>
              <w:t>16</w:t>
            </w:r>
            <w:r w:rsidR="00EA2748" w:rsidRPr="00E83145">
              <w:rPr>
                <w:rFonts w:ascii="Arial" w:eastAsia="Calibri" w:hAnsi="Arial" w:cs="Arial"/>
                <w:b/>
                <w:sz w:val="22"/>
                <w:szCs w:val="22"/>
              </w:rPr>
              <w:t xml:space="preserve">.1.2 </w:t>
            </w:r>
            <w:r w:rsidR="00EA2748" w:rsidRPr="00E83145">
              <w:rPr>
                <w:rFonts w:ascii="Arial" w:eastAsia="Arial" w:hAnsi="Arial" w:cs="Arial"/>
                <w:b/>
                <w:color w:val="000000"/>
                <w:sz w:val="22"/>
                <w:szCs w:val="22"/>
              </w:rPr>
              <w:t>Počet projektů realizovaných v rámci strategií CLLD</w:t>
            </w:r>
          </w:p>
          <w:p w14:paraId="59123ACF" w14:textId="77777777" w:rsidR="00EA2748" w:rsidRPr="00E83145" w:rsidRDefault="00EA2748" w:rsidP="00C51B65">
            <w:pPr>
              <w:spacing w:line="276" w:lineRule="auto"/>
              <w:rPr>
                <w:rFonts w:ascii="Arial" w:eastAsia="Arial" w:hAnsi="Arial" w:cs="Arial"/>
                <w:color w:val="000000"/>
                <w:sz w:val="22"/>
                <w:szCs w:val="22"/>
              </w:rPr>
            </w:pPr>
          </w:p>
        </w:tc>
      </w:tr>
      <w:tr w:rsidR="00EA2748" w:rsidRPr="00E83145" w14:paraId="354DCF6F" w14:textId="77777777" w:rsidTr="00B460D5">
        <w:tc>
          <w:tcPr>
            <w:tcW w:w="2802" w:type="dxa"/>
          </w:tcPr>
          <w:p w14:paraId="29CF0090" w14:textId="77777777" w:rsidR="00EA2748" w:rsidRPr="00E83145" w:rsidRDefault="00EA2748" w:rsidP="00C51B65">
            <w:pPr>
              <w:spacing w:line="276" w:lineRule="auto"/>
              <w:rPr>
                <w:rFonts w:ascii="Arial" w:hAnsi="Arial" w:cs="Arial"/>
                <w:sz w:val="22"/>
                <w:szCs w:val="22"/>
              </w:rPr>
            </w:pPr>
            <w:r w:rsidRPr="00E83145">
              <w:rPr>
                <w:rFonts w:ascii="Arial" w:hAnsi="Arial" w:cs="Arial"/>
                <w:sz w:val="22"/>
                <w:szCs w:val="22"/>
              </w:rPr>
              <w:t xml:space="preserve">Stručná definice: </w:t>
            </w:r>
          </w:p>
        </w:tc>
        <w:tc>
          <w:tcPr>
            <w:tcW w:w="6486" w:type="dxa"/>
          </w:tcPr>
          <w:p w14:paraId="05555295" w14:textId="77777777" w:rsidR="00EA2748" w:rsidRPr="00E83145" w:rsidRDefault="00EA2748" w:rsidP="000511A8">
            <w:pPr>
              <w:spacing w:line="276" w:lineRule="auto"/>
              <w:jc w:val="both"/>
              <w:rPr>
                <w:rFonts w:ascii="Arial" w:hAnsi="Arial" w:cs="Arial"/>
                <w:sz w:val="22"/>
                <w:szCs w:val="22"/>
              </w:rPr>
            </w:pPr>
            <w:r w:rsidRPr="00E83145">
              <w:rPr>
                <w:rFonts w:ascii="Arial" w:hAnsi="Arial" w:cs="Arial"/>
                <w:sz w:val="22"/>
                <w:szCs w:val="22"/>
              </w:rPr>
              <w:t>Počet projektů realizovaných v rámci strategií CLLD</w:t>
            </w:r>
          </w:p>
        </w:tc>
      </w:tr>
      <w:tr w:rsidR="00EA2748" w:rsidRPr="00E83145" w14:paraId="538F55BF" w14:textId="77777777" w:rsidTr="00B460D5">
        <w:tc>
          <w:tcPr>
            <w:tcW w:w="2802" w:type="dxa"/>
          </w:tcPr>
          <w:p w14:paraId="051B9CBC" w14:textId="77777777" w:rsidR="00EA2748" w:rsidRPr="00E83145" w:rsidRDefault="00EA2748" w:rsidP="00C51B65">
            <w:pPr>
              <w:spacing w:line="276" w:lineRule="auto"/>
              <w:rPr>
                <w:rFonts w:ascii="Arial" w:hAnsi="Arial" w:cs="Arial"/>
                <w:sz w:val="22"/>
                <w:szCs w:val="22"/>
              </w:rPr>
            </w:pPr>
            <w:r w:rsidRPr="00E83145">
              <w:rPr>
                <w:rFonts w:ascii="Arial" w:hAnsi="Arial" w:cs="Arial"/>
                <w:sz w:val="22"/>
                <w:szCs w:val="22"/>
              </w:rPr>
              <w:t>Jednotka:</w:t>
            </w:r>
          </w:p>
        </w:tc>
        <w:tc>
          <w:tcPr>
            <w:tcW w:w="6486" w:type="dxa"/>
          </w:tcPr>
          <w:p w14:paraId="0F588FBF" w14:textId="77777777" w:rsidR="00EA2748" w:rsidRPr="00E83145" w:rsidRDefault="00EA2748" w:rsidP="000511A8">
            <w:pPr>
              <w:spacing w:line="276" w:lineRule="auto"/>
              <w:jc w:val="both"/>
              <w:rPr>
                <w:rFonts w:ascii="Arial" w:hAnsi="Arial" w:cs="Arial"/>
                <w:sz w:val="22"/>
                <w:szCs w:val="22"/>
              </w:rPr>
            </w:pPr>
            <w:r w:rsidRPr="00E83145">
              <w:rPr>
                <w:rFonts w:ascii="Arial" w:hAnsi="Arial" w:cs="Arial"/>
                <w:sz w:val="22"/>
                <w:szCs w:val="22"/>
              </w:rPr>
              <w:t>Počet</w:t>
            </w:r>
            <w:r w:rsidR="00D27214">
              <w:rPr>
                <w:rFonts w:ascii="Arial" w:hAnsi="Arial" w:cs="Arial"/>
                <w:sz w:val="22"/>
                <w:szCs w:val="22"/>
              </w:rPr>
              <w:t xml:space="preserve"> projektů</w:t>
            </w:r>
          </w:p>
        </w:tc>
      </w:tr>
      <w:tr w:rsidR="00EA2748" w:rsidRPr="00E83145" w14:paraId="12E7ABE8" w14:textId="77777777" w:rsidTr="00B460D5">
        <w:tc>
          <w:tcPr>
            <w:tcW w:w="2802" w:type="dxa"/>
          </w:tcPr>
          <w:p w14:paraId="3CD9658A" w14:textId="77777777" w:rsidR="00EA2748" w:rsidRPr="00E83145" w:rsidRDefault="00EA2748" w:rsidP="00C51B65">
            <w:pPr>
              <w:spacing w:line="276" w:lineRule="auto"/>
              <w:rPr>
                <w:rFonts w:ascii="Arial" w:hAnsi="Arial" w:cs="Arial"/>
                <w:sz w:val="22"/>
                <w:szCs w:val="22"/>
              </w:rPr>
            </w:pPr>
            <w:r w:rsidRPr="00E83145">
              <w:rPr>
                <w:rFonts w:ascii="Arial" w:hAnsi="Arial" w:cs="Arial"/>
                <w:sz w:val="22"/>
                <w:szCs w:val="22"/>
              </w:rPr>
              <w:t xml:space="preserve">Gestor: </w:t>
            </w:r>
          </w:p>
        </w:tc>
        <w:tc>
          <w:tcPr>
            <w:tcW w:w="6486" w:type="dxa"/>
          </w:tcPr>
          <w:p w14:paraId="7B194136" w14:textId="77777777" w:rsidR="00EA2748" w:rsidRPr="00E83145" w:rsidRDefault="00D27214" w:rsidP="000511A8">
            <w:pPr>
              <w:spacing w:line="276" w:lineRule="auto"/>
              <w:jc w:val="both"/>
              <w:rPr>
                <w:rFonts w:ascii="Arial" w:hAnsi="Arial" w:cs="Arial"/>
                <w:sz w:val="22"/>
                <w:szCs w:val="22"/>
              </w:rPr>
            </w:pPr>
            <w:r>
              <w:rPr>
                <w:rFonts w:ascii="Arial" w:hAnsi="Arial" w:cs="Arial"/>
                <w:sz w:val="22"/>
                <w:szCs w:val="22"/>
              </w:rPr>
              <w:t>Ministerstvo pro místní rozvoj</w:t>
            </w:r>
          </w:p>
        </w:tc>
      </w:tr>
      <w:tr w:rsidR="00EA2748" w:rsidRPr="00E83145" w14:paraId="12948B93" w14:textId="77777777" w:rsidTr="00B460D5">
        <w:tc>
          <w:tcPr>
            <w:tcW w:w="2802" w:type="dxa"/>
          </w:tcPr>
          <w:p w14:paraId="5CBA9D59" w14:textId="77777777" w:rsidR="00EA2748" w:rsidRPr="00E83145" w:rsidRDefault="00EA2748" w:rsidP="00C51B65">
            <w:pPr>
              <w:spacing w:line="276" w:lineRule="auto"/>
              <w:rPr>
                <w:rFonts w:ascii="Arial" w:hAnsi="Arial" w:cs="Arial"/>
                <w:sz w:val="22"/>
                <w:szCs w:val="22"/>
              </w:rPr>
            </w:pPr>
            <w:r w:rsidRPr="00E83145">
              <w:rPr>
                <w:rFonts w:ascii="Arial" w:hAnsi="Arial" w:cs="Arial"/>
                <w:sz w:val="22"/>
                <w:szCs w:val="22"/>
              </w:rPr>
              <w:t xml:space="preserve">Význam indikátoru: </w:t>
            </w:r>
          </w:p>
        </w:tc>
        <w:tc>
          <w:tcPr>
            <w:tcW w:w="6486" w:type="dxa"/>
          </w:tcPr>
          <w:p w14:paraId="7E3356C4" w14:textId="77777777" w:rsidR="00EA2748" w:rsidRPr="00E83145" w:rsidRDefault="00EA2748" w:rsidP="000511A8">
            <w:pPr>
              <w:spacing w:line="276" w:lineRule="auto"/>
              <w:jc w:val="both"/>
              <w:rPr>
                <w:rFonts w:ascii="Arial" w:hAnsi="Arial" w:cs="Arial"/>
                <w:sz w:val="22"/>
                <w:szCs w:val="22"/>
              </w:rPr>
            </w:pPr>
            <w:r w:rsidRPr="007C0164">
              <w:rPr>
                <w:rFonts w:ascii="Arial" w:hAnsi="Arial" w:cs="Arial"/>
                <w:sz w:val="22"/>
                <w:szCs w:val="22"/>
              </w:rPr>
              <w:t>Počet projektů realizovaných v rámci strategií CLLD vypovídá o míře využívání integrovaného přístupu k regionálnímu rozvoji.</w:t>
            </w:r>
          </w:p>
        </w:tc>
      </w:tr>
      <w:tr w:rsidR="00EA2748" w:rsidRPr="00E83145" w14:paraId="48196843" w14:textId="77777777" w:rsidTr="00B460D5">
        <w:tc>
          <w:tcPr>
            <w:tcW w:w="2802" w:type="dxa"/>
          </w:tcPr>
          <w:p w14:paraId="67BB4F4E" w14:textId="77777777" w:rsidR="00EA2748" w:rsidRPr="00E83145" w:rsidRDefault="00EA2748" w:rsidP="00C51B65">
            <w:pPr>
              <w:spacing w:line="276" w:lineRule="auto"/>
              <w:rPr>
                <w:rFonts w:ascii="Arial" w:hAnsi="Arial" w:cs="Arial"/>
                <w:sz w:val="22"/>
                <w:szCs w:val="22"/>
              </w:rPr>
            </w:pPr>
            <w:r w:rsidRPr="00E83145">
              <w:rPr>
                <w:rFonts w:ascii="Arial" w:hAnsi="Arial" w:cs="Arial"/>
                <w:sz w:val="22"/>
                <w:szCs w:val="22"/>
              </w:rPr>
              <w:t xml:space="preserve">Časová řada: </w:t>
            </w:r>
          </w:p>
        </w:tc>
        <w:tc>
          <w:tcPr>
            <w:tcW w:w="6486" w:type="dxa"/>
          </w:tcPr>
          <w:p w14:paraId="17DE596D" w14:textId="77777777" w:rsidR="00EA2748" w:rsidRPr="00E83145" w:rsidRDefault="009C6CA5" w:rsidP="000511A8">
            <w:pPr>
              <w:spacing w:line="276" w:lineRule="auto"/>
              <w:jc w:val="both"/>
              <w:rPr>
                <w:rFonts w:ascii="Arial" w:hAnsi="Arial" w:cs="Arial"/>
                <w:sz w:val="22"/>
                <w:szCs w:val="22"/>
              </w:rPr>
            </w:pPr>
            <w:r>
              <w:rPr>
                <w:rFonts w:ascii="Arial" w:hAnsi="Arial" w:cs="Arial"/>
                <w:sz w:val="22"/>
                <w:szCs w:val="22"/>
              </w:rPr>
              <w:t>O</w:t>
            </w:r>
            <w:r w:rsidR="00EA2748">
              <w:rPr>
                <w:rFonts w:ascii="Arial" w:hAnsi="Arial" w:cs="Arial"/>
                <w:sz w:val="22"/>
                <w:szCs w:val="22"/>
              </w:rPr>
              <w:t>d roku 2017</w:t>
            </w:r>
          </w:p>
        </w:tc>
      </w:tr>
      <w:tr w:rsidR="00EA2748" w:rsidRPr="00E83145" w14:paraId="3E5E858C" w14:textId="77777777" w:rsidTr="00B460D5">
        <w:tc>
          <w:tcPr>
            <w:tcW w:w="2802" w:type="dxa"/>
          </w:tcPr>
          <w:p w14:paraId="11C1BEFD" w14:textId="77777777" w:rsidR="00EA2748" w:rsidRPr="00E83145" w:rsidRDefault="00EA2748" w:rsidP="00C51B65">
            <w:pPr>
              <w:spacing w:line="276" w:lineRule="auto"/>
              <w:rPr>
                <w:rFonts w:ascii="Arial" w:hAnsi="Arial" w:cs="Arial"/>
                <w:sz w:val="22"/>
                <w:szCs w:val="22"/>
              </w:rPr>
            </w:pPr>
            <w:r w:rsidRPr="00E83145">
              <w:rPr>
                <w:rFonts w:ascii="Arial" w:hAnsi="Arial" w:cs="Arial"/>
                <w:sz w:val="22"/>
                <w:szCs w:val="22"/>
              </w:rPr>
              <w:t xml:space="preserve">Frekvence výstupu: </w:t>
            </w:r>
          </w:p>
        </w:tc>
        <w:tc>
          <w:tcPr>
            <w:tcW w:w="6486" w:type="dxa"/>
          </w:tcPr>
          <w:p w14:paraId="50C8B1EC" w14:textId="77777777" w:rsidR="00EA2748" w:rsidRPr="00E83145" w:rsidRDefault="009C6CA5" w:rsidP="000511A8">
            <w:pPr>
              <w:spacing w:line="276" w:lineRule="auto"/>
              <w:jc w:val="both"/>
              <w:rPr>
                <w:rFonts w:ascii="Arial" w:hAnsi="Arial" w:cs="Arial"/>
                <w:sz w:val="22"/>
                <w:szCs w:val="22"/>
              </w:rPr>
            </w:pPr>
            <w:r>
              <w:rPr>
                <w:rFonts w:ascii="Arial" w:hAnsi="Arial" w:cs="Arial"/>
                <w:sz w:val="22"/>
                <w:szCs w:val="22"/>
              </w:rPr>
              <w:t>Ročně</w:t>
            </w:r>
          </w:p>
        </w:tc>
      </w:tr>
      <w:tr w:rsidR="00EA2748" w:rsidRPr="00E83145" w14:paraId="39A1BD1C" w14:textId="77777777" w:rsidTr="00B460D5">
        <w:trPr>
          <w:trHeight w:val="70"/>
        </w:trPr>
        <w:tc>
          <w:tcPr>
            <w:tcW w:w="2802" w:type="dxa"/>
          </w:tcPr>
          <w:p w14:paraId="4B362B65" w14:textId="77777777" w:rsidR="00EA2748" w:rsidRPr="00E83145" w:rsidRDefault="00EA2748" w:rsidP="00C51B65">
            <w:pPr>
              <w:spacing w:line="276" w:lineRule="auto"/>
              <w:rPr>
                <w:rFonts w:ascii="Arial" w:hAnsi="Arial" w:cs="Arial"/>
                <w:sz w:val="22"/>
                <w:szCs w:val="22"/>
              </w:rPr>
            </w:pPr>
            <w:r w:rsidRPr="00E83145">
              <w:rPr>
                <w:rFonts w:ascii="Arial" w:hAnsi="Arial" w:cs="Arial"/>
                <w:sz w:val="22"/>
                <w:szCs w:val="22"/>
              </w:rPr>
              <w:t xml:space="preserve">Členění indikátoru: </w:t>
            </w:r>
          </w:p>
        </w:tc>
        <w:tc>
          <w:tcPr>
            <w:tcW w:w="6486" w:type="dxa"/>
          </w:tcPr>
          <w:p w14:paraId="782B8BDE" w14:textId="77777777" w:rsidR="00EA2748" w:rsidRPr="00E83145" w:rsidRDefault="00EA2748" w:rsidP="000511A8">
            <w:pPr>
              <w:spacing w:line="276" w:lineRule="auto"/>
              <w:jc w:val="both"/>
              <w:rPr>
                <w:rFonts w:ascii="Arial" w:hAnsi="Arial" w:cs="Arial"/>
                <w:sz w:val="22"/>
                <w:szCs w:val="22"/>
              </w:rPr>
            </w:pPr>
            <w:r w:rsidRPr="007C0164">
              <w:rPr>
                <w:rFonts w:ascii="Arial" w:hAnsi="Arial" w:cs="Arial"/>
                <w:sz w:val="22"/>
                <w:szCs w:val="22"/>
              </w:rPr>
              <w:t xml:space="preserve">Dle jednotlivých MAS (MAS často pokrývají území více než jednoho kraje) </w:t>
            </w:r>
          </w:p>
        </w:tc>
      </w:tr>
      <w:tr w:rsidR="00EA2748" w:rsidRPr="00E83145" w14:paraId="41789680" w14:textId="77777777" w:rsidTr="00B460D5">
        <w:trPr>
          <w:trHeight w:val="70"/>
        </w:trPr>
        <w:tc>
          <w:tcPr>
            <w:tcW w:w="2802" w:type="dxa"/>
          </w:tcPr>
          <w:p w14:paraId="0CE09F96" w14:textId="77777777" w:rsidR="00EA2748" w:rsidRPr="00E83145" w:rsidRDefault="00EA2748" w:rsidP="00C51B65">
            <w:pPr>
              <w:spacing w:line="276" w:lineRule="auto"/>
              <w:rPr>
                <w:rFonts w:ascii="Arial" w:hAnsi="Arial" w:cs="Arial"/>
                <w:sz w:val="22"/>
                <w:szCs w:val="22"/>
              </w:rPr>
            </w:pPr>
            <w:r w:rsidRPr="00E83145">
              <w:rPr>
                <w:rFonts w:ascii="Arial" w:hAnsi="Arial" w:cs="Arial"/>
                <w:sz w:val="22"/>
                <w:szCs w:val="22"/>
              </w:rPr>
              <w:t>Mezinárodní srovnání:</w:t>
            </w:r>
          </w:p>
        </w:tc>
        <w:tc>
          <w:tcPr>
            <w:tcW w:w="6486" w:type="dxa"/>
          </w:tcPr>
          <w:p w14:paraId="2056EAC0" w14:textId="77777777" w:rsidR="00EA2748" w:rsidRPr="00E83145" w:rsidRDefault="009C6CA5" w:rsidP="00C51B65">
            <w:pPr>
              <w:spacing w:line="276" w:lineRule="auto"/>
              <w:rPr>
                <w:rFonts w:ascii="Arial" w:hAnsi="Arial" w:cs="Arial"/>
                <w:sz w:val="22"/>
                <w:szCs w:val="22"/>
              </w:rPr>
            </w:pPr>
            <w:r>
              <w:rPr>
                <w:rFonts w:ascii="Arial" w:hAnsi="Arial" w:cs="Arial"/>
                <w:sz w:val="22"/>
                <w:szCs w:val="22"/>
              </w:rPr>
              <w:t>-</w:t>
            </w:r>
          </w:p>
        </w:tc>
      </w:tr>
    </w:tbl>
    <w:p w14:paraId="4A3282AB" w14:textId="77777777" w:rsidR="00EA2748" w:rsidRPr="00E83145" w:rsidRDefault="00EA2748" w:rsidP="00C51B65">
      <w:pPr>
        <w:spacing w:line="276" w:lineRule="auto"/>
        <w:ind w:left="709"/>
        <w:jc w:val="both"/>
        <w:rPr>
          <w:rFonts w:ascii="Arial" w:eastAsia="Calibri" w:hAnsi="Arial" w:cs="Arial"/>
          <w:i/>
          <w:sz w:val="22"/>
          <w:szCs w:val="22"/>
        </w:rPr>
      </w:pPr>
    </w:p>
    <w:tbl>
      <w:tblPr>
        <w:tblStyle w:val="Mkatabulky"/>
        <w:tblW w:w="0" w:type="auto"/>
        <w:tblLook w:val="04A0" w:firstRow="1" w:lastRow="0" w:firstColumn="1" w:lastColumn="0" w:noHBand="0" w:noVBand="1"/>
      </w:tblPr>
      <w:tblGrid>
        <w:gridCol w:w="2802"/>
        <w:gridCol w:w="6486"/>
      </w:tblGrid>
      <w:tr w:rsidR="00EA2748" w:rsidRPr="00E83145" w14:paraId="6E37795C" w14:textId="77777777" w:rsidTr="00B460D5">
        <w:tc>
          <w:tcPr>
            <w:tcW w:w="2802" w:type="dxa"/>
          </w:tcPr>
          <w:p w14:paraId="0ECBAF9E" w14:textId="77777777" w:rsidR="00EA2748" w:rsidRPr="00E83145" w:rsidRDefault="00EA2748" w:rsidP="00C51B65">
            <w:pPr>
              <w:spacing w:line="276" w:lineRule="auto"/>
              <w:rPr>
                <w:rFonts w:ascii="Arial" w:hAnsi="Arial" w:cs="Arial"/>
                <w:sz w:val="22"/>
                <w:szCs w:val="22"/>
              </w:rPr>
            </w:pPr>
            <w:r w:rsidRPr="00E83145">
              <w:rPr>
                <w:rFonts w:ascii="Arial" w:hAnsi="Arial" w:cs="Arial"/>
                <w:sz w:val="22"/>
                <w:szCs w:val="22"/>
              </w:rPr>
              <w:t xml:space="preserve">Název a označení indikátoru: </w:t>
            </w:r>
          </w:p>
        </w:tc>
        <w:tc>
          <w:tcPr>
            <w:tcW w:w="6486" w:type="dxa"/>
          </w:tcPr>
          <w:p w14:paraId="371CFD8A" w14:textId="77777777" w:rsidR="00EA2748" w:rsidRPr="00E83145" w:rsidRDefault="009C6CA5" w:rsidP="00C51B65">
            <w:pPr>
              <w:spacing w:line="276" w:lineRule="auto"/>
              <w:rPr>
                <w:rFonts w:ascii="Arial" w:eastAsia="Arial" w:hAnsi="Arial" w:cs="Arial"/>
                <w:b/>
                <w:color w:val="000000"/>
                <w:sz w:val="22"/>
                <w:szCs w:val="22"/>
              </w:rPr>
            </w:pPr>
            <w:r>
              <w:rPr>
                <w:rFonts w:ascii="Arial" w:eastAsia="Calibri" w:hAnsi="Arial" w:cs="Arial"/>
                <w:b/>
                <w:sz w:val="22"/>
                <w:szCs w:val="22"/>
              </w:rPr>
              <w:t>16</w:t>
            </w:r>
            <w:r w:rsidR="00EA2748" w:rsidRPr="00E83145">
              <w:rPr>
                <w:rFonts w:ascii="Arial" w:eastAsia="Calibri" w:hAnsi="Arial" w:cs="Arial"/>
                <w:b/>
                <w:sz w:val="22"/>
                <w:szCs w:val="22"/>
              </w:rPr>
              <w:t xml:space="preserve">.1.3 </w:t>
            </w:r>
            <w:r w:rsidR="00EA2748" w:rsidRPr="00E83145">
              <w:rPr>
                <w:rFonts w:ascii="Arial" w:eastAsia="Arial" w:hAnsi="Arial" w:cs="Arial"/>
                <w:b/>
                <w:color w:val="000000"/>
                <w:sz w:val="22"/>
                <w:szCs w:val="22"/>
              </w:rPr>
              <w:t xml:space="preserve">Počet projektů realizovaných v rámci strategických dokumentů pro území aglomerace </w:t>
            </w:r>
          </w:p>
        </w:tc>
      </w:tr>
      <w:tr w:rsidR="00EA2748" w:rsidRPr="00E83145" w14:paraId="0828CEEB" w14:textId="77777777" w:rsidTr="00B460D5">
        <w:tc>
          <w:tcPr>
            <w:tcW w:w="2802" w:type="dxa"/>
          </w:tcPr>
          <w:p w14:paraId="6137C3A5" w14:textId="77777777" w:rsidR="00EA2748" w:rsidRPr="00E83145" w:rsidRDefault="00EA2748" w:rsidP="00C51B65">
            <w:pPr>
              <w:spacing w:line="276" w:lineRule="auto"/>
              <w:rPr>
                <w:rFonts w:ascii="Arial" w:hAnsi="Arial" w:cs="Arial"/>
                <w:sz w:val="22"/>
                <w:szCs w:val="22"/>
              </w:rPr>
            </w:pPr>
            <w:r w:rsidRPr="00E83145">
              <w:rPr>
                <w:rFonts w:ascii="Arial" w:hAnsi="Arial" w:cs="Arial"/>
                <w:sz w:val="22"/>
                <w:szCs w:val="22"/>
              </w:rPr>
              <w:t xml:space="preserve">Stručná definice: </w:t>
            </w:r>
          </w:p>
        </w:tc>
        <w:tc>
          <w:tcPr>
            <w:tcW w:w="6486" w:type="dxa"/>
          </w:tcPr>
          <w:p w14:paraId="33596948" w14:textId="77777777" w:rsidR="00EA2748" w:rsidRPr="00E83145" w:rsidRDefault="00EA2748" w:rsidP="00D226B2">
            <w:pPr>
              <w:spacing w:line="276" w:lineRule="auto"/>
              <w:jc w:val="both"/>
              <w:rPr>
                <w:rFonts w:ascii="Arial" w:hAnsi="Arial" w:cs="Arial"/>
                <w:sz w:val="22"/>
                <w:szCs w:val="22"/>
              </w:rPr>
            </w:pPr>
            <w:r w:rsidRPr="00E83145">
              <w:rPr>
                <w:rFonts w:ascii="Arial" w:hAnsi="Arial" w:cs="Arial"/>
                <w:sz w:val="22"/>
                <w:szCs w:val="22"/>
              </w:rPr>
              <w:t>Počet projektů realizovaných v rámci strategií ITI, IPRÚ.</w:t>
            </w:r>
          </w:p>
        </w:tc>
      </w:tr>
      <w:tr w:rsidR="00EA2748" w:rsidRPr="00E83145" w14:paraId="7EBA2098" w14:textId="77777777" w:rsidTr="00B460D5">
        <w:tc>
          <w:tcPr>
            <w:tcW w:w="2802" w:type="dxa"/>
          </w:tcPr>
          <w:p w14:paraId="2096C618" w14:textId="77777777" w:rsidR="00EA2748" w:rsidRPr="00E83145" w:rsidRDefault="00EA2748" w:rsidP="00C51B65">
            <w:pPr>
              <w:spacing w:line="276" w:lineRule="auto"/>
              <w:rPr>
                <w:rFonts w:ascii="Arial" w:hAnsi="Arial" w:cs="Arial"/>
                <w:sz w:val="22"/>
                <w:szCs w:val="22"/>
              </w:rPr>
            </w:pPr>
            <w:r w:rsidRPr="00E83145">
              <w:rPr>
                <w:rFonts w:ascii="Arial" w:hAnsi="Arial" w:cs="Arial"/>
                <w:sz w:val="22"/>
                <w:szCs w:val="22"/>
              </w:rPr>
              <w:t>Jednotka:</w:t>
            </w:r>
          </w:p>
        </w:tc>
        <w:tc>
          <w:tcPr>
            <w:tcW w:w="6486" w:type="dxa"/>
          </w:tcPr>
          <w:p w14:paraId="533A4D73" w14:textId="77777777" w:rsidR="00EA2748" w:rsidRPr="00E83145" w:rsidRDefault="00EA2748" w:rsidP="00D226B2">
            <w:pPr>
              <w:spacing w:line="276" w:lineRule="auto"/>
              <w:jc w:val="both"/>
              <w:rPr>
                <w:rFonts w:ascii="Arial" w:hAnsi="Arial" w:cs="Arial"/>
                <w:sz w:val="22"/>
                <w:szCs w:val="22"/>
              </w:rPr>
            </w:pPr>
            <w:r w:rsidRPr="00E83145">
              <w:rPr>
                <w:rFonts w:ascii="Arial" w:hAnsi="Arial" w:cs="Arial"/>
                <w:sz w:val="22"/>
                <w:szCs w:val="22"/>
              </w:rPr>
              <w:t>Počet</w:t>
            </w:r>
            <w:r w:rsidR="00D27214">
              <w:rPr>
                <w:rFonts w:ascii="Arial" w:hAnsi="Arial" w:cs="Arial"/>
                <w:sz w:val="22"/>
                <w:szCs w:val="22"/>
              </w:rPr>
              <w:t xml:space="preserve"> projektů</w:t>
            </w:r>
          </w:p>
        </w:tc>
      </w:tr>
      <w:tr w:rsidR="00EA2748" w:rsidRPr="00E83145" w14:paraId="3705E518" w14:textId="77777777" w:rsidTr="00B460D5">
        <w:tc>
          <w:tcPr>
            <w:tcW w:w="2802" w:type="dxa"/>
          </w:tcPr>
          <w:p w14:paraId="45817608" w14:textId="77777777" w:rsidR="00EA2748" w:rsidRPr="00E83145" w:rsidRDefault="00EA2748" w:rsidP="00C51B65">
            <w:pPr>
              <w:spacing w:line="276" w:lineRule="auto"/>
              <w:rPr>
                <w:rFonts w:ascii="Arial" w:hAnsi="Arial" w:cs="Arial"/>
                <w:sz w:val="22"/>
                <w:szCs w:val="22"/>
              </w:rPr>
            </w:pPr>
            <w:r w:rsidRPr="00E83145">
              <w:rPr>
                <w:rFonts w:ascii="Arial" w:hAnsi="Arial" w:cs="Arial"/>
                <w:sz w:val="22"/>
                <w:szCs w:val="22"/>
              </w:rPr>
              <w:t xml:space="preserve">Gestor: </w:t>
            </w:r>
          </w:p>
        </w:tc>
        <w:tc>
          <w:tcPr>
            <w:tcW w:w="6486" w:type="dxa"/>
          </w:tcPr>
          <w:p w14:paraId="1299F2D7" w14:textId="77777777" w:rsidR="00EA2748" w:rsidRPr="00E83145" w:rsidRDefault="00D27214" w:rsidP="00D226B2">
            <w:pPr>
              <w:spacing w:line="276" w:lineRule="auto"/>
              <w:jc w:val="both"/>
              <w:rPr>
                <w:rFonts w:ascii="Arial" w:hAnsi="Arial" w:cs="Arial"/>
                <w:sz w:val="22"/>
                <w:szCs w:val="22"/>
              </w:rPr>
            </w:pPr>
            <w:r>
              <w:rPr>
                <w:rFonts w:ascii="Arial" w:hAnsi="Arial" w:cs="Arial"/>
                <w:sz w:val="22"/>
                <w:szCs w:val="22"/>
              </w:rPr>
              <w:t>Ministerstvo pro místní rozvoj</w:t>
            </w:r>
          </w:p>
        </w:tc>
      </w:tr>
      <w:tr w:rsidR="00EA2748" w:rsidRPr="00E83145" w14:paraId="28AAA97C" w14:textId="77777777" w:rsidTr="00B460D5">
        <w:tc>
          <w:tcPr>
            <w:tcW w:w="2802" w:type="dxa"/>
          </w:tcPr>
          <w:p w14:paraId="78328C07" w14:textId="77777777" w:rsidR="00EA2748" w:rsidRPr="00E83145" w:rsidRDefault="00EA2748" w:rsidP="00C51B65">
            <w:pPr>
              <w:spacing w:line="276" w:lineRule="auto"/>
              <w:rPr>
                <w:rFonts w:ascii="Arial" w:hAnsi="Arial" w:cs="Arial"/>
                <w:sz w:val="22"/>
                <w:szCs w:val="22"/>
              </w:rPr>
            </w:pPr>
            <w:r w:rsidRPr="00E83145">
              <w:rPr>
                <w:rFonts w:ascii="Arial" w:hAnsi="Arial" w:cs="Arial"/>
                <w:sz w:val="22"/>
                <w:szCs w:val="22"/>
              </w:rPr>
              <w:t xml:space="preserve">Význam indikátoru: </w:t>
            </w:r>
          </w:p>
        </w:tc>
        <w:tc>
          <w:tcPr>
            <w:tcW w:w="6486" w:type="dxa"/>
          </w:tcPr>
          <w:p w14:paraId="4632DF3B" w14:textId="77777777" w:rsidR="00EA2748" w:rsidRPr="004861E5" w:rsidRDefault="00EA2748" w:rsidP="00D226B2">
            <w:pPr>
              <w:spacing w:line="276" w:lineRule="auto"/>
              <w:jc w:val="both"/>
              <w:rPr>
                <w:rFonts w:ascii="Arial" w:hAnsi="Arial" w:cs="Arial"/>
                <w:sz w:val="22"/>
                <w:szCs w:val="22"/>
              </w:rPr>
            </w:pPr>
            <w:r w:rsidRPr="004861E5">
              <w:rPr>
                <w:rFonts w:ascii="Arial" w:hAnsi="Arial" w:cs="Arial"/>
                <w:sz w:val="22"/>
                <w:szCs w:val="22"/>
              </w:rPr>
              <w:t xml:space="preserve">Počet projektů realizovaných v rámci strategií ITI a IPRÚ vypovídá o míře </w:t>
            </w:r>
            <w:proofErr w:type="spellStart"/>
            <w:r w:rsidRPr="004861E5">
              <w:rPr>
                <w:rFonts w:ascii="Arial" w:hAnsi="Arial" w:cs="Arial"/>
                <w:sz w:val="22"/>
                <w:szCs w:val="22"/>
              </w:rPr>
              <w:t>integrovanosti</w:t>
            </w:r>
            <w:proofErr w:type="spellEnd"/>
            <w:r w:rsidRPr="004861E5">
              <w:rPr>
                <w:rFonts w:ascii="Arial" w:hAnsi="Arial" w:cs="Arial"/>
                <w:sz w:val="22"/>
                <w:szCs w:val="22"/>
              </w:rPr>
              <w:t xml:space="preserve"> (územní i věcné) projektů realizovaných v území.  </w:t>
            </w:r>
          </w:p>
        </w:tc>
      </w:tr>
      <w:tr w:rsidR="00EA2748" w:rsidRPr="00E83145" w14:paraId="011E53C6" w14:textId="77777777" w:rsidTr="00B460D5">
        <w:tc>
          <w:tcPr>
            <w:tcW w:w="2802" w:type="dxa"/>
          </w:tcPr>
          <w:p w14:paraId="3634C5BA" w14:textId="77777777" w:rsidR="00EA2748" w:rsidRPr="00E83145" w:rsidRDefault="00EA2748" w:rsidP="00C51B65">
            <w:pPr>
              <w:spacing w:line="276" w:lineRule="auto"/>
              <w:rPr>
                <w:rFonts w:ascii="Arial" w:hAnsi="Arial" w:cs="Arial"/>
                <w:sz w:val="22"/>
                <w:szCs w:val="22"/>
              </w:rPr>
            </w:pPr>
            <w:r w:rsidRPr="00E83145">
              <w:rPr>
                <w:rFonts w:ascii="Arial" w:hAnsi="Arial" w:cs="Arial"/>
                <w:sz w:val="22"/>
                <w:szCs w:val="22"/>
              </w:rPr>
              <w:t xml:space="preserve">Časová řada: </w:t>
            </w:r>
          </w:p>
        </w:tc>
        <w:tc>
          <w:tcPr>
            <w:tcW w:w="6486" w:type="dxa"/>
          </w:tcPr>
          <w:p w14:paraId="21923595" w14:textId="77777777" w:rsidR="00EA2748" w:rsidRPr="004861E5" w:rsidRDefault="009C6CA5" w:rsidP="00D226B2">
            <w:pPr>
              <w:spacing w:line="276" w:lineRule="auto"/>
              <w:jc w:val="both"/>
              <w:rPr>
                <w:rFonts w:ascii="Arial" w:hAnsi="Arial" w:cs="Arial"/>
                <w:sz w:val="22"/>
                <w:szCs w:val="22"/>
              </w:rPr>
            </w:pPr>
            <w:r>
              <w:rPr>
                <w:rFonts w:ascii="Arial" w:hAnsi="Arial" w:cs="Arial"/>
                <w:sz w:val="22"/>
                <w:szCs w:val="22"/>
              </w:rPr>
              <w:t>O</w:t>
            </w:r>
            <w:r w:rsidR="00EA2748">
              <w:rPr>
                <w:rFonts w:ascii="Arial" w:hAnsi="Arial" w:cs="Arial"/>
                <w:sz w:val="22"/>
                <w:szCs w:val="22"/>
              </w:rPr>
              <w:t>d roku 2017</w:t>
            </w:r>
          </w:p>
        </w:tc>
      </w:tr>
      <w:tr w:rsidR="00EA2748" w:rsidRPr="00E83145" w14:paraId="0BA97857" w14:textId="77777777" w:rsidTr="00B460D5">
        <w:tc>
          <w:tcPr>
            <w:tcW w:w="2802" w:type="dxa"/>
          </w:tcPr>
          <w:p w14:paraId="038080B7" w14:textId="77777777" w:rsidR="00EA2748" w:rsidRPr="00E83145" w:rsidRDefault="00EA2748" w:rsidP="00C51B65">
            <w:pPr>
              <w:spacing w:line="276" w:lineRule="auto"/>
              <w:rPr>
                <w:rFonts w:ascii="Arial" w:hAnsi="Arial" w:cs="Arial"/>
                <w:sz w:val="22"/>
                <w:szCs w:val="22"/>
              </w:rPr>
            </w:pPr>
            <w:r w:rsidRPr="00E83145">
              <w:rPr>
                <w:rFonts w:ascii="Arial" w:hAnsi="Arial" w:cs="Arial"/>
                <w:sz w:val="22"/>
                <w:szCs w:val="22"/>
              </w:rPr>
              <w:t xml:space="preserve">Frekvence výstupu: </w:t>
            </w:r>
          </w:p>
        </w:tc>
        <w:tc>
          <w:tcPr>
            <w:tcW w:w="6486" w:type="dxa"/>
          </w:tcPr>
          <w:p w14:paraId="73D69F48" w14:textId="77777777" w:rsidR="00EA2748" w:rsidRPr="004861E5" w:rsidRDefault="009C6CA5" w:rsidP="00D226B2">
            <w:pPr>
              <w:spacing w:line="276" w:lineRule="auto"/>
              <w:jc w:val="both"/>
              <w:rPr>
                <w:rFonts w:ascii="Arial" w:hAnsi="Arial" w:cs="Arial"/>
                <w:sz w:val="22"/>
                <w:szCs w:val="22"/>
              </w:rPr>
            </w:pPr>
            <w:r>
              <w:rPr>
                <w:rFonts w:ascii="Arial" w:hAnsi="Arial" w:cs="Arial"/>
                <w:sz w:val="22"/>
                <w:szCs w:val="22"/>
              </w:rPr>
              <w:t>Ročně</w:t>
            </w:r>
          </w:p>
        </w:tc>
      </w:tr>
      <w:tr w:rsidR="00EA2748" w:rsidRPr="00E83145" w14:paraId="252AA3A4" w14:textId="77777777" w:rsidTr="00B460D5">
        <w:trPr>
          <w:trHeight w:val="70"/>
        </w:trPr>
        <w:tc>
          <w:tcPr>
            <w:tcW w:w="2802" w:type="dxa"/>
          </w:tcPr>
          <w:p w14:paraId="7F7A5A79" w14:textId="77777777" w:rsidR="00EA2748" w:rsidRPr="00E83145" w:rsidRDefault="00EA2748" w:rsidP="00C51B65">
            <w:pPr>
              <w:spacing w:line="276" w:lineRule="auto"/>
              <w:rPr>
                <w:rFonts w:ascii="Arial" w:hAnsi="Arial" w:cs="Arial"/>
                <w:sz w:val="22"/>
                <w:szCs w:val="22"/>
              </w:rPr>
            </w:pPr>
            <w:r w:rsidRPr="00E83145">
              <w:rPr>
                <w:rFonts w:ascii="Arial" w:hAnsi="Arial" w:cs="Arial"/>
                <w:sz w:val="22"/>
                <w:szCs w:val="22"/>
              </w:rPr>
              <w:lastRenderedPageBreak/>
              <w:t xml:space="preserve">Členění indikátoru: </w:t>
            </w:r>
          </w:p>
        </w:tc>
        <w:tc>
          <w:tcPr>
            <w:tcW w:w="6486" w:type="dxa"/>
          </w:tcPr>
          <w:p w14:paraId="13EDCEFE" w14:textId="3CB06D64" w:rsidR="00EA2748" w:rsidRPr="004861E5" w:rsidRDefault="004136E4" w:rsidP="00C51B65">
            <w:pPr>
              <w:spacing w:line="276" w:lineRule="auto"/>
              <w:rPr>
                <w:rFonts w:ascii="Arial" w:hAnsi="Arial" w:cs="Arial"/>
                <w:sz w:val="22"/>
                <w:szCs w:val="22"/>
              </w:rPr>
            </w:pPr>
            <w:r>
              <w:rPr>
                <w:rFonts w:ascii="Arial" w:hAnsi="Arial" w:cs="Arial"/>
                <w:sz w:val="22"/>
                <w:szCs w:val="22"/>
              </w:rPr>
              <w:t>Dle krajů</w:t>
            </w:r>
          </w:p>
        </w:tc>
      </w:tr>
      <w:tr w:rsidR="00EA2748" w:rsidRPr="00E83145" w14:paraId="44B99731" w14:textId="77777777" w:rsidTr="00B460D5">
        <w:trPr>
          <w:trHeight w:val="70"/>
        </w:trPr>
        <w:tc>
          <w:tcPr>
            <w:tcW w:w="2802" w:type="dxa"/>
          </w:tcPr>
          <w:p w14:paraId="6FD49B59" w14:textId="77777777" w:rsidR="00EA2748" w:rsidRPr="00E83145" w:rsidRDefault="00EA2748" w:rsidP="00C51B65">
            <w:pPr>
              <w:spacing w:line="276" w:lineRule="auto"/>
              <w:rPr>
                <w:rFonts w:ascii="Arial" w:hAnsi="Arial" w:cs="Arial"/>
                <w:sz w:val="22"/>
                <w:szCs w:val="22"/>
              </w:rPr>
            </w:pPr>
            <w:r w:rsidRPr="00E83145">
              <w:rPr>
                <w:rFonts w:ascii="Arial" w:hAnsi="Arial" w:cs="Arial"/>
                <w:sz w:val="22"/>
                <w:szCs w:val="22"/>
              </w:rPr>
              <w:t>Mezinárodní srovnání:</w:t>
            </w:r>
          </w:p>
        </w:tc>
        <w:tc>
          <w:tcPr>
            <w:tcW w:w="6486" w:type="dxa"/>
          </w:tcPr>
          <w:p w14:paraId="4A589E31" w14:textId="77777777" w:rsidR="00EA2748" w:rsidRPr="004861E5" w:rsidRDefault="009C6CA5" w:rsidP="00C51B65">
            <w:pPr>
              <w:spacing w:line="276" w:lineRule="auto"/>
              <w:rPr>
                <w:rFonts w:ascii="Arial" w:hAnsi="Arial" w:cs="Arial"/>
                <w:sz w:val="22"/>
                <w:szCs w:val="22"/>
              </w:rPr>
            </w:pPr>
            <w:r>
              <w:rPr>
                <w:rFonts w:ascii="Arial" w:hAnsi="Arial" w:cs="Arial"/>
                <w:sz w:val="22"/>
                <w:szCs w:val="22"/>
              </w:rPr>
              <w:t>-</w:t>
            </w:r>
          </w:p>
        </w:tc>
      </w:tr>
    </w:tbl>
    <w:p w14:paraId="1EEA0107" w14:textId="77777777" w:rsidR="002E6D9C" w:rsidRPr="002E6D9C" w:rsidRDefault="002E6D9C" w:rsidP="00D226B2">
      <w:pPr>
        <w:pStyle w:val="r2030podcle"/>
        <w:numPr>
          <w:ilvl w:val="1"/>
          <w:numId w:val="17"/>
        </w:numPr>
        <w:ind w:left="567" w:hanging="425"/>
        <w:jc w:val="both"/>
      </w:pPr>
      <w:r w:rsidRPr="002E6D9C">
        <w:t>Jsou stanoveny závazné standardy základních veřejných služeb a jim odpovídající veřejné infrastruktury občanského vybavení a jsou platné pro veškerou zástavbu.</w:t>
      </w:r>
    </w:p>
    <w:tbl>
      <w:tblPr>
        <w:tblStyle w:val="Mkatabulky"/>
        <w:tblW w:w="0" w:type="auto"/>
        <w:tblLook w:val="04A0" w:firstRow="1" w:lastRow="0" w:firstColumn="1" w:lastColumn="0" w:noHBand="0" w:noVBand="1"/>
      </w:tblPr>
      <w:tblGrid>
        <w:gridCol w:w="2802"/>
        <w:gridCol w:w="6486"/>
      </w:tblGrid>
      <w:tr w:rsidR="00EA2748" w:rsidRPr="0007074B" w14:paraId="66970B5F" w14:textId="77777777" w:rsidTr="00B460D5">
        <w:tc>
          <w:tcPr>
            <w:tcW w:w="2802" w:type="dxa"/>
          </w:tcPr>
          <w:p w14:paraId="1236354C"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Název a označení indikátoru: </w:t>
            </w:r>
          </w:p>
        </w:tc>
        <w:tc>
          <w:tcPr>
            <w:tcW w:w="6486" w:type="dxa"/>
          </w:tcPr>
          <w:p w14:paraId="44A77096" w14:textId="77777777" w:rsidR="00EA2748" w:rsidRPr="0007074B" w:rsidRDefault="002E6D9C" w:rsidP="00C51B65">
            <w:pPr>
              <w:spacing w:line="276" w:lineRule="auto"/>
              <w:rPr>
                <w:rFonts w:ascii="Arial" w:eastAsia="Arial" w:hAnsi="Arial" w:cs="Arial"/>
                <w:b/>
                <w:color w:val="000000"/>
                <w:sz w:val="22"/>
                <w:szCs w:val="22"/>
              </w:rPr>
            </w:pPr>
            <w:r>
              <w:rPr>
                <w:rFonts w:ascii="Arial" w:eastAsia="Arial" w:hAnsi="Arial" w:cs="Arial"/>
                <w:b/>
                <w:color w:val="000000"/>
                <w:sz w:val="22"/>
                <w:szCs w:val="22"/>
              </w:rPr>
              <w:t>16</w:t>
            </w:r>
            <w:r w:rsidR="00EA2748" w:rsidRPr="0007074B">
              <w:rPr>
                <w:rFonts w:ascii="Arial" w:eastAsia="Arial" w:hAnsi="Arial" w:cs="Arial"/>
                <w:b/>
                <w:color w:val="000000"/>
                <w:sz w:val="22"/>
                <w:szCs w:val="22"/>
              </w:rPr>
              <w:t>.2.1 Existence standardů dostupnosti veřejných služeb</w:t>
            </w:r>
          </w:p>
        </w:tc>
      </w:tr>
      <w:tr w:rsidR="00EA2748" w:rsidRPr="0007074B" w14:paraId="16972C53" w14:textId="77777777" w:rsidTr="00B460D5">
        <w:tc>
          <w:tcPr>
            <w:tcW w:w="2802" w:type="dxa"/>
          </w:tcPr>
          <w:p w14:paraId="4B9C3665"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Stručná definice: </w:t>
            </w:r>
          </w:p>
        </w:tc>
        <w:tc>
          <w:tcPr>
            <w:tcW w:w="6486" w:type="dxa"/>
          </w:tcPr>
          <w:p w14:paraId="42DF9656" w14:textId="77777777" w:rsidR="00EA2748" w:rsidRPr="0007074B" w:rsidRDefault="00EA2748" w:rsidP="00D226B2">
            <w:pPr>
              <w:spacing w:line="276" w:lineRule="auto"/>
              <w:jc w:val="both"/>
              <w:rPr>
                <w:rFonts w:ascii="Arial" w:hAnsi="Arial" w:cs="Arial"/>
                <w:sz w:val="22"/>
                <w:szCs w:val="22"/>
              </w:rPr>
            </w:pPr>
            <w:r w:rsidRPr="0007074B">
              <w:rPr>
                <w:rFonts w:ascii="Arial" w:hAnsi="Arial" w:cs="Arial"/>
                <w:sz w:val="22"/>
                <w:szCs w:val="22"/>
              </w:rPr>
              <w:t xml:space="preserve">Jsou stanoveny a pilotně otestovány standardy dostupnosti veřejných služeb v různých typech území. Jimi se řídí nově vznikající strategická i územně plánovací dokumentace. </w:t>
            </w:r>
          </w:p>
        </w:tc>
      </w:tr>
      <w:tr w:rsidR="00EA2748" w:rsidRPr="0007074B" w14:paraId="11DF1312" w14:textId="77777777" w:rsidTr="00B460D5">
        <w:tc>
          <w:tcPr>
            <w:tcW w:w="2802" w:type="dxa"/>
          </w:tcPr>
          <w:p w14:paraId="408C1FC7"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Jednotka:</w:t>
            </w:r>
          </w:p>
        </w:tc>
        <w:tc>
          <w:tcPr>
            <w:tcW w:w="6486" w:type="dxa"/>
          </w:tcPr>
          <w:p w14:paraId="5AABF4E6" w14:textId="77777777" w:rsidR="00EA2748" w:rsidRPr="0007074B" w:rsidRDefault="00F86372" w:rsidP="00D226B2">
            <w:pPr>
              <w:spacing w:line="276" w:lineRule="auto"/>
              <w:jc w:val="both"/>
              <w:rPr>
                <w:rFonts w:ascii="Arial" w:hAnsi="Arial" w:cs="Arial"/>
                <w:sz w:val="22"/>
                <w:szCs w:val="22"/>
              </w:rPr>
            </w:pPr>
            <w:r>
              <w:rPr>
                <w:rFonts w:ascii="Arial" w:hAnsi="Arial" w:cs="Arial"/>
                <w:sz w:val="22"/>
                <w:szCs w:val="22"/>
              </w:rPr>
              <w:t>-</w:t>
            </w:r>
          </w:p>
        </w:tc>
      </w:tr>
      <w:tr w:rsidR="00EA2748" w:rsidRPr="0007074B" w14:paraId="7789FEDD" w14:textId="77777777" w:rsidTr="00B460D5">
        <w:tc>
          <w:tcPr>
            <w:tcW w:w="2802" w:type="dxa"/>
          </w:tcPr>
          <w:p w14:paraId="35EB4227"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Gestor: </w:t>
            </w:r>
          </w:p>
        </w:tc>
        <w:tc>
          <w:tcPr>
            <w:tcW w:w="6486" w:type="dxa"/>
          </w:tcPr>
          <w:p w14:paraId="1D5596E1" w14:textId="77777777" w:rsidR="00EA2748" w:rsidRPr="0007074B" w:rsidRDefault="002E6D9C" w:rsidP="00D226B2">
            <w:pPr>
              <w:spacing w:line="276" w:lineRule="auto"/>
              <w:jc w:val="both"/>
              <w:rPr>
                <w:rFonts w:ascii="Arial" w:hAnsi="Arial" w:cs="Arial"/>
                <w:sz w:val="22"/>
                <w:szCs w:val="22"/>
              </w:rPr>
            </w:pPr>
            <w:r>
              <w:rPr>
                <w:rFonts w:ascii="Arial" w:hAnsi="Arial" w:cs="Arial"/>
                <w:sz w:val="22"/>
                <w:szCs w:val="22"/>
              </w:rPr>
              <w:t>Úřad vlády ve spolupráci s Ministerstvem pro místní rozvoj a Ministerstvem vnitra</w:t>
            </w:r>
          </w:p>
        </w:tc>
      </w:tr>
      <w:tr w:rsidR="00EA2748" w:rsidRPr="0007074B" w14:paraId="6F902C24" w14:textId="77777777" w:rsidTr="00B460D5">
        <w:tc>
          <w:tcPr>
            <w:tcW w:w="2802" w:type="dxa"/>
          </w:tcPr>
          <w:p w14:paraId="04036F48"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Význam indikátoru: </w:t>
            </w:r>
          </w:p>
        </w:tc>
        <w:tc>
          <w:tcPr>
            <w:tcW w:w="6486" w:type="dxa"/>
          </w:tcPr>
          <w:p w14:paraId="12D0CE89" w14:textId="77777777" w:rsidR="00EA2748" w:rsidRPr="0007074B" w:rsidRDefault="00EA2748" w:rsidP="00D226B2">
            <w:pPr>
              <w:spacing w:line="276" w:lineRule="auto"/>
              <w:jc w:val="both"/>
              <w:rPr>
                <w:rFonts w:ascii="Arial" w:hAnsi="Arial" w:cs="Arial"/>
                <w:sz w:val="22"/>
                <w:szCs w:val="22"/>
              </w:rPr>
            </w:pPr>
            <w:r w:rsidRPr="0007074B">
              <w:rPr>
                <w:rFonts w:ascii="Arial" w:hAnsi="Arial" w:cs="Arial"/>
                <w:sz w:val="22"/>
                <w:szCs w:val="22"/>
              </w:rPr>
              <w:t>Metodické nastavení zajištění dostupnosti veřejných služeb ve všech typech území.</w:t>
            </w:r>
          </w:p>
        </w:tc>
      </w:tr>
      <w:tr w:rsidR="00EA2748" w:rsidRPr="0007074B" w14:paraId="5C6B227E" w14:textId="77777777" w:rsidTr="00B460D5">
        <w:tc>
          <w:tcPr>
            <w:tcW w:w="2802" w:type="dxa"/>
          </w:tcPr>
          <w:p w14:paraId="08FA6122"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Časová řada: </w:t>
            </w:r>
          </w:p>
        </w:tc>
        <w:tc>
          <w:tcPr>
            <w:tcW w:w="6486" w:type="dxa"/>
          </w:tcPr>
          <w:p w14:paraId="086D192A" w14:textId="77777777" w:rsidR="00EA2748" w:rsidRPr="0007074B" w:rsidRDefault="002E6D9C" w:rsidP="00D226B2">
            <w:pPr>
              <w:spacing w:line="276" w:lineRule="auto"/>
              <w:jc w:val="both"/>
              <w:rPr>
                <w:rFonts w:ascii="Arial" w:hAnsi="Arial" w:cs="Arial"/>
                <w:sz w:val="22"/>
                <w:szCs w:val="22"/>
              </w:rPr>
            </w:pPr>
            <w:r>
              <w:rPr>
                <w:rFonts w:ascii="Arial" w:hAnsi="Arial" w:cs="Arial"/>
                <w:sz w:val="22"/>
                <w:szCs w:val="22"/>
              </w:rPr>
              <w:t>-</w:t>
            </w:r>
          </w:p>
        </w:tc>
      </w:tr>
      <w:tr w:rsidR="00EA2748" w:rsidRPr="0007074B" w14:paraId="695D3637" w14:textId="77777777" w:rsidTr="00B460D5">
        <w:tc>
          <w:tcPr>
            <w:tcW w:w="2802" w:type="dxa"/>
          </w:tcPr>
          <w:p w14:paraId="15172B7F"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Frekvence výstupu: </w:t>
            </w:r>
          </w:p>
        </w:tc>
        <w:tc>
          <w:tcPr>
            <w:tcW w:w="6486" w:type="dxa"/>
          </w:tcPr>
          <w:p w14:paraId="34EC53F2" w14:textId="77777777" w:rsidR="00EA2748" w:rsidRPr="0007074B" w:rsidRDefault="002E6D9C" w:rsidP="00653A6E">
            <w:pPr>
              <w:spacing w:line="276" w:lineRule="auto"/>
              <w:jc w:val="both"/>
              <w:rPr>
                <w:rFonts w:ascii="Arial" w:hAnsi="Arial" w:cs="Arial"/>
                <w:sz w:val="22"/>
                <w:szCs w:val="22"/>
              </w:rPr>
            </w:pPr>
            <w:r>
              <w:rPr>
                <w:rFonts w:ascii="Arial" w:hAnsi="Arial" w:cs="Arial"/>
                <w:sz w:val="22"/>
                <w:szCs w:val="22"/>
              </w:rPr>
              <w:t>-</w:t>
            </w:r>
          </w:p>
        </w:tc>
      </w:tr>
      <w:tr w:rsidR="00EA2748" w:rsidRPr="0007074B" w14:paraId="79F49408" w14:textId="77777777" w:rsidTr="00B460D5">
        <w:trPr>
          <w:trHeight w:val="70"/>
        </w:trPr>
        <w:tc>
          <w:tcPr>
            <w:tcW w:w="2802" w:type="dxa"/>
          </w:tcPr>
          <w:p w14:paraId="37F5CAE0"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Členění indikátoru: </w:t>
            </w:r>
          </w:p>
        </w:tc>
        <w:tc>
          <w:tcPr>
            <w:tcW w:w="6486" w:type="dxa"/>
          </w:tcPr>
          <w:p w14:paraId="6B74C69E" w14:textId="6B443A6A" w:rsidR="00EA2748" w:rsidRPr="0007074B" w:rsidRDefault="004136E4" w:rsidP="00653A6E">
            <w:pPr>
              <w:spacing w:line="276" w:lineRule="auto"/>
              <w:jc w:val="both"/>
              <w:rPr>
                <w:rFonts w:ascii="Arial" w:hAnsi="Arial" w:cs="Arial"/>
                <w:sz w:val="22"/>
                <w:szCs w:val="22"/>
              </w:rPr>
            </w:pPr>
            <w:r>
              <w:rPr>
                <w:rFonts w:ascii="Arial" w:hAnsi="Arial" w:cs="Arial"/>
                <w:sz w:val="22"/>
                <w:szCs w:val="22"/>
              </w:rPr>
              <w:t>-</w:t>
            </w:r>
          </w:p>
        </w:tc>
      </w:tr>
      <w:tr w:rsidR="00EA2748" w:rsidRPr="0007074B" w14:paraId="58E6A4C8" w14:textId="77777777" w:rsidTr="00B460D5">
        <w:trPr>
          <w:trHeight w:val="70"/>
        </w:trPr>
        <w:tc>
          <w:tcPr>
            <w:tcW w:w="2802" w:type="dxa"/>
          </w:tcPr>
          <w:p w14:paraId="36DFE1D4"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Mezinárodní srovnání:</w:t>
            </w:r>
          </w:p>
        </w:tc>
        <w:tc>
          <w:tcPr>
            <w:tcW w:w="6486" w:type="dxa"/>
          </w:tcPr>
          <w:p w14:paraId="45E763A6" w14:textId="77777777" w:rsidR="00EA2748" w:rsidRPr="0007074B" w:rsidRDefault="002E7719" w:rsidP="00653A6E">
            <w:pPr>
              <w:spacing w:line="276" w:lineRule="auto"/>
              <w:jc w:val="both"/>
              <w:rPr>
                <w:rFonts w:ascii="Arial" w:hAnsi="Arial" w:cs="Arial"/>
                <w:sz w:val="22"/>
                <w:szCs w:val="22"/>
              </w:rPr>
            </w:pPr>
            <w:r>
              <w:rPr>
                <w:rFonts w:ascii="Arial" w:hAnsi="Arial" w:cs="Arial"/>
                <w:sz w:val="22"/>
                <w:szCs w:val="22"/>
              </w:rPr>
              <w:t>-</w:t>
            </w:r>
          </w:p>
        </w:tc>
      </w:tr>
    </w:tbl>
    <w:p w14:paraId="234C5F74" w14:textId="77777777" w:rsidR="002E6D9C" w:rsidRPr="00882A57" w:rsidRDefault="00882A57" w:rsidP="00653A6E">
      <w:pPr>
        <w:pStyle w:val="r2030podcle"/>
        <w:numPr>
          <w:ilvl w:val="1"/>
          <w:numId w:val="17"/>
        </w:numPr>
        <w:ind w:left="567" w:hanging="425"/>
      </w:pPr>
      <w:r w:rsidRPr="00882A57">
        <w:t>Předpoklady pro dostupnost základních veřejných služeb jsou zajištěny již ve fázi územního a strategického plánování.</w:t>
      </w:r>
    </w:p>
    <w:tbl>
      <w:tblPr>
        <w:tblStyle w:val="Mkatabulky"/>
        <w:tblW w:w="0" w:type="auto"/>
        <w:tblLook w:val="04A0" w:firstRow="1" w:lastRow="0" w:firstColumn="1" w:lastColumn="0" w:noHBand="0" w:noVBand="1"/>
      </w:tblPr>
      <w:tblGrid>
        <w:gridCol w:w="2802"/>
        <w:gridCol w:w="6486"/>
      </w:tblGrid>
      <w:tr w:rsidR="000E2B81" w:rsidRPr="0007074B" w14:paraId="1101495D" w14:textId="77777777" w:rsidTr="00336AB8">
        <w:tc>
          <w:tcPr>
            <w:tcW w:w="2802" w:type="dxa"/>
          </w:tcPr>
          <w:p w14:paraId="20B80741" w14:textId="77777777" w:rsidR="000E2B81" w:rsidRPr="0007074B" w:rsidRDefault="000E2B81" w:rsidP="00336AB8">
            <w:pPr>
              <w:spacing w:line="276" w:lineRule="auto"/>
              <w:rPr>
                <w:rFonts w:ascii="Arial" w:hAnsi="Arial" w:cs="Arial"/>
                <w:sz w:val="22"/>
                <w:szCs w:val="22"/>
              </w:rPr>
            </w:pPr>
            <w:r w:rsidRPr="0007074B">
              <w:rPr>
                <w:rFonts w:ascii="Arial" w:hAnsi="Arial" w:cs="Arial"/>
                <w:sz w:val="22"/>
                <w:szCs w:val="22"/>
              </w:rPr>
              <w:t xml:space="preserve">Název a označení indikátoru: </w:t>
            </w:r>
          </w:p>
        </w:tc>
        <w:tc>
          <w:tcPr>
            <w:tcW w:w="6486" w:type="dxa"/>
          </w:tcPr>
          <w:p w14:paraId="4EFB127E" w14:textId="2FA1501C" w:rsidR="000E2B81" w:rsidRPr="00457014" w:rsidRDefault="000E2B81" w:rsidP="000E2B81">
            <w:pPr>
              <w:spacing w:line="276" w:lineRule="auto"/>
              <w:rPr>
                <w:rFonts w:ascii="Arial" w:eastAsia="Arial" w:hAnsi="Arial" w:cs="Arial"/>
                <w:b/>
                <w:color w:val="000000"/>
                <w:sz w:val="22"/>
                <w:szCs w:val="22"/>
              </w:rPr>
            </w:pPr>
            <w:r>
              <w:rPr>
                <w:rFonts w:ascii="Arial" w:eastAsia="Calibri" w:hAnsi="Arial" w:cs="Arial"/>
                <w:b/>
                <w:sz w:val="22"/>
                <w:szCs w:val="22"/>
              </w:rPr>
              <w:t>16.3.1</w:t>
            </w:r>
            <w:r w:rsidRPr="00457014">
              <w:rPr>
                <w:rFonts w:ascii="Arial" w:eastAsia="Calibri" w:hAnsi="Arial" w:cs="Arial"/>
                <w:b/>
                <w:sz w:val="22"/>
                <w:szCs w:val="22"/>
              </w:rPr>
              <w:t xml:space="preserve"> Počet </w:t>
            </w:r>
            <w:r>
              <w:rPr>
                <w:rFonts w:ascii="Arial" w:eastAsia="Calibri" w:hAnsi="Arial" w:cs="Arial"/>
                <w:b/>
                <w:sz w:val="22"/>
                <w:szCs w:val="22"/>
              </w:rPr>
              <w:t xml:space="preserve">municipalit naplňujících požadavky metodiky </w:t>
            </w:r>
            <w:r w:rsidRPr="00061D6F">
              <w:rPr>
                <w:rFonts w:ascii="Arial" w:eastAsia="Calibri" w:hAnsi="Arial" w:cs="Arial"/>
                <w:b/>
                <w:sz w:val="22"/>
                <w:szCs w:val="22"/>
              </w:rPr>
              <w:t>"Standardy dostupnosti veřejné infrastruktury"</w:t>
            </w:r>
          </w:p>
        </w:tc>
      </w:tr>
      <w:tr w:rsidR="000E2B81" w:rsidRPr="0007074B" w14:paraId="0AE4E9E2" w14:textId="77777777" w:rsidTr="00336AB8">
        <w:tc>
          <w:tcPr>
            <w:tcW w:w="2802" w:type="dxa"/>
          </w:tcPr>
          <w:p w14:paraId="7968233D" w14:textId="77777777" w:rsidR="000E2B81" w:rsidRPr="0007074B" w:rsidRDefault="000E2B81" w:rsidP="00336AB8">
            <w:pPr>
              <w:spacing w:line="276" w:lineRule="auto"/>
              <w:rPr>
                <w:rFonts w:ascii="Arial" w:hAnsi="Arial" w:cs="Arial"/>
                <w:sz w:val="22"/>
                <w:szCs w:val="22"/>
              </w:rPr>
            </w:pPr>
            <w:r w:rsidRPr="0007074B">
              <w:rPr>
                <w:rFonts w:ascii="Arial" w:hAnsi="Arial" w:cs="Arial"/>
                <w:sz w:val="22"/>
                <w:szCs w:val="22"/>
              </w:rPr>
              <w:t xml:space="preserve">Stručná definice: </w:t>
            </w:r>
          </w:p>
        </w:tc>
        <w:tc>
          <w:tcPr>
            <w:tcW w:w="6486" w:type="dxa"/>
          </w:tcPr>
          <w:p w14:paraId="2B1CCCAE" w14:textId="77777777" w:rsidR="000E2B81" w:rsidRPr="00061D6F" w:rsidRDefault="000E2B81" w:rsidP="00653A6E">
            <w:pPr>
              <w:spacing w:line="276" w:lineRule="auto"/>
              <w:jc w:val="both"/>
              <w:rPr>
                <w:rFonts w:ascii="Arial" w:hAnsi="Arial" w:cs="Arial"/>
                <w:sz w:val="22"/>
                <w:szCs w:val="22"/>
              </w:rPr>
            </w:pPr>
            <w:r w:rsidRPr="00061D6F">
              <w:rPr>
                <w:rFonts w:ascii="Arial" w:eastAsia="Calibri" w:hAnsi="Arial" w:cs="Arial"/>
                <w:sz w:val="22"/>
                <w:szCs w:val="22"/>
              </w:rPr>
              <w:t xml:space="preserve">Počet </w:t>
            </w:r>
            <w:r>
              <w:rPr>
                <w:rFonts w:ascii="Arial" w:eastAsia="Calibri" w:hAnsi="Arial" w:cs="Arial"/>
                <w:sz w:val="22"/>
                <w:szCs w:val="22"/>
              </w:rPr>
              <w:t>ORP</w:t>
            </w:r>
            <w:r w:rsidRPr="00061D6F">
              <w:rPr>
                <w:rFonts w:ascii="Arial" w:eastAsia="Calibri" w:hAnsi="Arial" w:cs="Arial"/>
                <w:sz w:val="22"/>
                <w:szCs w:val="22"/>
              </w:rPr>
              <w:t xml:space="preserve"> naplňujících požadavky metodiky "Standardy dostupnosti veřejné infrastruktury"</w:t>
            </w:r>
            <w:r>
              <w:rPr>
                <w:rFonts w:ascii="Arial" w:eastAsia="Calibri" w:hAnsi="Arial" w:cs="Arial"/>
                <w:sz w:val="22"/>
                <w:szCs w:val="22"/>
              </w:rPr>
              <w:t xml:space="preserve"> </w:t>
            </w:r>
          </w:p>
        </w:tc>
      </w:tr>
      <w:tr w:rsidR="000E2B81" w:rsidRPr="0007074B" w14:paraId="316D3C81" w14:textId="77777777" w:rsidTr="00336AB8">
        <w:tc>
          <w:tcPr>
            <w:tcW w:w="2802" w:type="dxa"/>
          </w:tcPr>
          <w:p w14:paraId="0AED3F33" w14:textId="77777777" w:rsidR="000E2B81" w:rsidRPr="0007074B" w:rsidRDefault="000E2B81" w:rsidP="00336AB8">
            <w:pPr>
              <w:spacing w:line="276" w:lineRule="auto"/>
              <w:rPr>
                <w:rFonts w:ascii="Arial" w:hAnsi="Arial" w:cs="Arial"/>
                <w:sz w:val="22"/>
                <w:szCs w:val="22"/>
              </w:rPr>
            </w:pPr>
            <w:r w:rsidRPr="0007074B">
              <w:rPr>
                <w:rFonts w:ascii="Arial" w:hAnsi="Arial" w:cs="Arial"/>
                <w:sz w:val="22"/>
                <w:szCs w:val="22"/>
              </w:rPr>
              <w:t>Jednotka:</w:t>
            </w:r>
          </w:p>
        </w:tc>
        <w:tc>
          <w:tcPr>
            <w:tcW w:w="6486" w:type="dxa"/>
          </w:tcPr>
          <w:p w14:paraId="4A9E2E91" w14:textId="77777777" w:rsidR="000E2B81" w:rsidRPr="0007074B" w:rsidRDefault="000E2B81" w:rsidP="00653A6E">
            <w:pPr>
              <w:spacing w:line="276" w:lineRule="auto"/>
              <w:jc w:val="both"/>
              <w:rPr>
                <w:rFonts w:ascii="Arial" w:hAnsi="Arial" w:cs="Arial"/>
                <w:sz w:val="22"/>
                <w:szCs w:val="22"/>
              </w:rPr>
            </w:pPr>
            <w:r>
              <w:rPr>
                <w:rFonts w:ascii="Arial" w:hAnsi="Arial" w:cs="Arial"/>
                <w:sz w:val="22"/>
                <w:szCs w:val="22"/>
              </w:rPr>
              <w:t>Počet</w:t>
            </w:r>
          </w:p>
        </w:tc>
      </w:tr>
      <w:tr w:rsidR="000E2B81" w:rsidRPr="0007074B" w14:paraId="61943A42" w14:textId="77777777" w:rsidTr="00336AB8">
        <w:tc>
          <w:tcPr>
            <w:tcW w:w="2802" w:type="dxa"/>
          </w:tcPr>
          <w:p w14:paraId="46B6F3CF" w14:textId="77777777" w:rsidR="000E2B81" w:rsidRPr="0007074B" w:rsidRDefault="000E2B81" w:rsidP="00336AB8">
            <w:pPr>
              <w:spacing w:line="276" w:lineRule="auto"/>
              <w:rPr>
                <w:rFonts w:ascii="Arial" w:hAnsi="Arial" w:cs="Arial"/>
                <w:sz w:val="22"/>
                <w:szCs w:val="22"/>
              </w:rPr>
            </w:pPr>
            <w:r w:rsidRPr="0007074B">
              <w:rPr>
                <w:rFonts w:ascii="Arial" w:hAnsi="Arial" w:cs="Arial"/>
                <w:sz w:val="22"/>
                <w:szCs w:val="22"/>
              </w:rPr>
              <w:t xml:space="preserve">Gestor: </w:t>
            </w:r>
          </w:p>
        </w:tc>
        <w:tc>
          <w:tcPr>
            <w:tcW w:w="6486" w:type="dxa"/>
          </w:tcPr>
          <w:p w14:paraId="73B428F5" w14:textId="77777777" w:rsidR="000E2B81" w:rsidRPr="0007074B" w:rsidRDefault="000E2B81" w:rsidP="00653A6E">
            <w:pPr>
              <w:spacing w:line="276" w:lineRule="auto"/>
              <w:jc w:val="both"/>
              <w:rPr>
                <w:rFonts w:ascii="Arial" w:hAnsi="Arial" w:cs="Arial"/>
                <w:sz w:val="22"/>
                <w:szCs w:val="22"/>
              </w:rPr>
            </w:pPr>
            <w:r>
              <w:rPr>
                <w:rFonts w:ascii="Arial" w:hAnsi="Arial" w:cs="Arial"/>
                <w:sz w:val="22"/>
                <w:szCs w:val="22"/>
              </w:rPr>
              <w:t>Ministerstvo pro místní rozvoj</w:t>
            </w:r>
          </w:p>
        </w:tc>
      </w:tr>
      <w:tr w:rsidR="000E2B81" w:rsidRPr="0007074B" w14:paraId="38BC9C25" w14:textId="77777777" w:rsidTr="00336AB8">
        <w:tc>
          <w:tcPr>
            <w:tcW w:w="2802" w:type="dxa"/>
          </w:tcPr>
          <w:p w14:paraId="0E8BEE8A" w14:textId="77777777" w:rsidR="000E2B81" w:rsidRPr="0007074B" w:rsidRDefault="000E2B81" w:rsidP="00336AB8">
            <w:pPr>
              <w:spacing w:line="276" w:lineRule="auto"/>
              <w:rPr>
                <w:rFonts w:ascii="Arial" w:hAnsi="Arial" w:cs="Arial"/>
                <w:sz w:val="22"/>
                <w:szCs w:val="22"/>
              </w:rPr>
            </w:pPr>
            <w:r w:rsidRPr="0007074B">
              <w:rPr>
                <w:rFonts w:ascii="Arial" w:hAnsi="Arial" w:cs="Arial"/>
                <w:sz w:val="22"/>
                <w:szCs w:val="22"/>
              </w:rPr>
              <w:t xml:space="preserve">Význam indikátoru: </w:t>
            </w:r>
          </w:p>
        </w:tc>
        <w:tc>
          <w:tcPr>
            <w:tcW w:w="6486" w:type="dxa"/>
          </w:tcPr>
          <w:p w14:paraId="294AE193" w14:textId="42DD8EFC" w:rsidR="000E2B81" w:rsidRPr="0007074B" w:rsidRDefault="000E2B81" w:rsidP="00653A6E">
            <w:pPr>
              <w:spacing w:line="276" w:lineRule="auto"/>
              <w:jc w:val="both"/>
              <w:rPr>
                <w:rFonts w:ascii="Arial" w:hAnsi="Arial" w:cs="Arial"/>
                <w:sz w:val="22"/>
                <w:szCs w:val="22"/>
              </w:rPr>
            </w:pPr>
            <w:r>
              <w:rPr>
                <w:rFonts w:ascii="Arial" w:hAnsi="Arial" w:cs="Arial"/>
                <w:sz w:val="22"/>
                <w:szCs w:val="22"/>
              </w:rPr>
              <w:t xml:space="preserve">Metodika </w:t>
            </w:r>
            <w:r w:rsidRPr="00061D6F">
              <w:rPr>
                <w:rFonts w:ascii="Arial" w:eastAsia="Calibri" w:hAnsi="Arial" w:cs="Arial"/>
                <w:sz w:val="22"/>
                <w:szCs w:val="22"/>
              </w:rPr>
              <w:t>"Standardy dostupnosti veřejné infrastruktury"</w:t>
            </w:r>
            <w:r>
              <w:rPr>
                <w:rFonts w:ascii="Arial" w:eastAsia="Calibri" w:hAnsi="Arial" w:cs="Arial"/>
                <w:sz w:val="22"/>
                <w:szCs w:val="22"/>
              </w:rPr>
              <w:t xml:space="preserve"> </w:t>
            </w:r>
            <w:r>
              <w:rPr>
                <w:rFonts w:ascii="Arial" w:hAnsi="Arial" w:cs="Arial"/>
                <w:sz w:val="22"/>
                <w:szCs w:val="22"/>
              </w:rPr>
              <w:t>stanovuje</w:t>
            </w:r>
            <w:r w:rsidRPr="00061D6F">
              <w:rPr>
                <w:rFonts w:ascii="Arial" w:hAnsi="Arial" w:cs="Arial"/>
                <w:sz w:val="22"/>
                <w:szCs w:val="22"/>
              </w:rPr>
              <w:t xml:space="preserve"> </w:t>
            </w:r>
            <w:r>
              <w:rPr>
                <w:rFonts w:ascii="Arial" w:hAnsi="Arial" w:cs="Arial"/>
                <w:sz w:val="22"/>
                <w:szCs w:val="22"/>
              </w:rPr>
              <w:t xml:space="preserve">pro různé typy municipalit </w:t>
            </w:r>
            <w:r w:rsidRPr="00061D6F">
              <w:rPr>
                <w:rFonts w:ascii="Arial" w:hAnsi="Arial" w:cs="Arial"/>
                <w:sz w:val="22"/>
                <w:szCs w:val="22"/>
              </w:rPr>
              <w:t>dostupnost zařízení pro vzdělávání a výchovu (</w:t>
            </w:r>
            <w:r w:rsidR="00EB2BE3">
              <w:rPr>
                <w:rFonts w:ascii="Arial" w:hAnsi="Arial" w:cs="Arial"/>
                <w:sz w:val="22"/>
                <w:szCs w:val="22"/>
              </w:rPr>
              <w:t>mateřské, základní, základní umělecké a střední školy</w:t>
            </w:r>
            <w:r w:rsidRPr="00061D6F">
              <w:rPr>
                <w:rFonts w:ascii="Arial" w:hAnsi="Arial" w:cs="Arial"/>
                <w:sz w:val="22"/>
                <w:szCs w:val="22"/>
              </w:rPr>
              <w:t>), pro sociální péči a péči o rodinu, zdravotnictví (včetně ambulantní péče a nemocnic), kulturu, veřejnou správu (pošta), ochranu obyvatelstva, hřiště, parkování, zastávky hromadné dopravy, nakládání s odpady, zásobování vodou a napojení na veřejnou kanalizaci a veřejná prostranství.</w:t>
            </w:r>
            <w:r>
              <w:rPr>
                <w:rFonts w:ascii="Arial" w:hAnsi="Arial" w:cs="Arial"/>
                <w:sz w:val="22"/>
                <w:szCs w:val="22"/>
              </w:rPr>
              <w:t xml:space="preserve"> Municipality řídící se touto metodikou, by se měly vyznačovat snadno dostupnou veřejnou infrastrukturou a tedy i přátelskostí ke všem věkovým skupinám.</w:t>
            </w:r>
          </w:p>
        </w:tc>
      </w:tr>
      <w:tr w:rsidR="000E2B81" w:rsidRPr="0007074B" w14:paraId="463DFD22" w14:textId="77777777" w:rsidTr="00336AB8">
        <w:tc>
          <w:tcPr>
            <w:tcW w:w="2802" w:type="dxa"/>
          </w:tcPr>
          <w:p w14:paraId="36BF05D1" w14:textId="77777777" w:rsidR="000E2B81" w:rsidRPr="0007074B" w:rsidRDefault="000E2B81" w:rsidP="00336AB8">
            <w:pPr>
              <w:spacing w:line="276" w:lineRule="auto"/>
              <w:rPr>
                <w:rFonts w:ascii="Arial" w:hAnsi="Arial" w:cs="Arial"/>
                <w:sz w:val="22"/>
                <w:szCs w:val="22"/>
              </w:rPr>
            </w:pPr>
            <w:r w:rsidRPr="0007074B">
              <w:rPr>
                <w:rFonts w:ascii="Arial" w:hAnsi="Arial" w:cs="Arial"/>
                <w:sz w:val="22"/>
                <w:szCs w:val="22"/>
              </w:rPr>
              <w:t xml:space="preserve">Časová řada: </w:t>
            </w:r>
          </w:p>
        </w:tc>
        <w:tc>
          <w:tcPr>
            <w:tcW w:w="6486" w:type="dxa"/>
          </w:tcPr>
          <w:p w14:paraId="594EFC9D" w14:textId="77777777" w:rsidR="000E2B81" w:rsidRPr="0007074B" w:rsidRDefault="000E2B81" w:rsidP="00653A6E">
            <w:pPr>
              <w:spacing w:line="276" w:lineRule="auto"/>
              <w:jc w:val="both"/>
              <w:rPr>
                <w:rFonts w:ascii="Arial" w:hAnsi="Arial" w:cs="Arial"/>
                <w:sz w:val="22"/>
                <w:szCs w:val="22"/>
              </w:rPr>
            </w:pPr>
            <w:r>
              <w:rPr>
                <w:rFonts w:ascii="Arial" w:hAnsi="Arial" w:cs="Arial"/>
                <w:sz w:val="22"/>
                <w:szCs w:val="22"/>
              </w:rPr>
              <w:t>Od roku 2017</w:t>
            </w:r>
          </w:p>
        </w:tc>
      </w:tr>
      <w:tr w:rsidR="000E2B81" w:rsidRPr="0007074B" w14:paraId="1EC1D7FA" w14:textId="77777777" w:rsidTr="00336AB8">
        <w:tc>
          <w:tcPr>
            <w:tcW w:w="2802" w:type="dxa"/>
          </w:tcPr>
          <w:p w14:paraId="5324E2FB" w14:textId="77777777" w:rsidR="000E2B81" w:rsidRPr="0007074B" w:rsidRDefault="000E2B81" w:rsidP="00336AB8">
            <w:pPr>
              <w:spacing w:line="276" w:lineRule="auto"/>
              <w:rPr>
                <w:rFonts w:ascii="Arial" w:hAnsi="Arial" w:cs="Arial"/>
                <w:sz w:val="22"/>
                <w:szCs w:val="22"/>
              </w:rPr>
            </w:pPr>
            <w:r w:rsidRPr="0007074B">
              <w:rPr>
                <w:rFonts w:ascii="Arial" w:hAnsi="Arial" w:cs="Arial"/>
                <w:sz w:val="22"/>
                <w:szCs w:val="22"/>
              </w:rPr>
              <w:t xml:space="preserve">Frekvence výstupu: </w:t>
            </w:r>
          </w:p>
        </w:tc>
        <w:tc>
          <w:tcPr>
            <w:tcW w:w="6486" w:type="dxa"/>
          </w:tcPr>
          <w:p w14:paraId="4924AB06" w14:textId="77777777" w:rsidR="000E2B81" w:rsidRPr="0007074B" w:rsidRDefault="000E2B81" w:rsidP="00653A6E">
            <w:pPr>
              <w:spacing w:line="276" w:lineRule="auto"/>
              <w:jc w:val="both"/>
              <w:rPr>
                <w:rFonts w:ascii="Arial" w:hAnsi="Arial" w:cs="Arial"/>
                <w:sz w:val="22"/>
                <w:szCs w:val="22"/>
              </w:rPr>
            </w:pPr>
            <w:r>
              <w:rPr>
                <w:rFonts w:ascii="Arial" w:hAnsi="Arial" w:cs="Arial"/>
                <w:sz w:val="22"/>
                <w:szCs w:val="22"/>
              </w:rPr>
              <w:t>Jednou za 4 roky (první výstupy k roku 2020)</w:t>
            </w:r>
          </w:p>
        </w:tc>
      </w:tr>
      <w:tr w:rsidR="000E2B81" w:rsidRPr="0007074B" w14:paraId="3D4C0BA3" w14:textId="77777777" w:rsidTr="00336AB8">
        <w:trPr>
          <w:trHeight w:val="70"/>
        </w:trPr>
        <w:tc>
          <w:tcPr>
            <w:tcW w:w="2802" w:type="dxa"/>
          </w:tcPr>
          <w:p w14:paraId="0D8760A6" w14:textId="77777777" w:rsidR="000E2B81" w:rsidRPr="0007074B" w:rsidRDefault="000E2B81" w:rsidP="00336AB8">
            <w:pPr>
              <w:spacing w:line="276" w:lineRule="auto"/>
              <w:rPr>
                <w:rFonts w:ascii="Arial" w:hAnsi="Arial" w:cs="Arial"/>
                <w:sz w:val="22"/>
                <w:szCs w:val="22"/>
              </w:rPr>
            </w:pPr>
            <w:r w:rsidRPr="0007074B">
              <w:rPr>
                <w:rFonts w:ascii="Arial" w:hAnsi="Arial" w:cs="Arial"/>
                <w:sz w:val="22"/>
                <w:szCs w:val="22"/>
              </w:rPr>
              <w:t xml:space="preserve">Členění indikátoru: </w:t>
            </w:r>
          </w:p>
        </w:tc>
        <w:tc>
          <w:tcPr>
            <w:tcW w:w="6486" w:type="dxa"/>
          </w:tcPr>
          <w:p w14:paraId="1D937714" w14:textId="77777777" w:rsidR="000E2B81" w:rsidRPr="0007074B" w:rsidRDefault="000E2B81" w:rsidP="00336AB8">
            <w:pPr>
              <w:spacing w:line="276" w:lineRule="auto"/>
              <w:rPr>
                <w:rFonts w:ascii="Arial" w:hAnsi="Arial" w:cs="Arial"/>
                <w:sz w:val="22"/>
                <w:szCs w:val="22"/>
              </w:rPr>
            </w:pPr>
            <w:r>
              <w:rPr>
                <w:rFonts w:ascii="Arial" w:hAnsi="Arial" w:cs="Arial"/>
                <w:sz w:val="22"/>
                <w:szCs w:val="22"/>
              </w:rPr>
              <w:t>-</w:t>
            </w:r>
          </w:p>
        </w:tc>
      </w:tr>
      <w:tr w:rsidR="000E2B81" w:rsidRPr="0007074B" w14:paraId="59F05137" w14:textId="77777777" w:rsidTr="00336AB8">
        <w:trPr>
          <w:trHeight w:val="70"/>
        </w:trPr>
        <w:tc>
          <w:tcPr>
            <w:tcW w:w="2802" w:type="dxa"/>
          </w:tcPr>
          <w:p w14:paraId="29675019" w14:textId="77777777" w:rsidR="000E2B81" w:rsidRPr="0007074B" w:rsidRDefault="000E2B81" w:rsidP="00336AB8">
            <w:pPr>
              <w:spacing w:line="276" w:lineRule="auto"/>
              <w:rPr>
                <w:rFonts w:ascii="Arial" w:hAnsi="Arial" w:cs="Arial"/>
                <w:sz w:val="22"/>
                <w:szCs w:val="22"/>
              </w:rPr>
            </w:pPr>
            <w:r w:rsidRPr="0007074B">
              <w:rPr>
                <w:rFonts w:ascii="Arial" w:hAnsi="Arial" w:cs="Arial"/>
                <w:sz w:val="22"/>
                <w:szCs w:val="22"/>
              </w:rPr>
              <w:t>Mezinárodní srovnání:</w:t>
            </w:r>
          </w:p>
        </w:tc>
        <w:tc>
          <w:tcPr>
            <w:tcW w:w="6486" w:type="dxa"/>
          </w:tcPr>
          <w:p w14:paraId="7B78876D" w14:textId="77777777" w:rsidR="000E2B81" w:rsidRPr="0007074B" w:rsidRDefault="000E2B81" w:rsidP="00336AB8">
            <w:pPr>
              <w:spacing w:line="276" w:lineRule="auto"/>
              <w:rPr>
                <w:rFonts w:ascii="Arial" w:hAnsi="Arial" w:cs="Arial"/>
                <w:sz w:val="22"/>
                <w:szCs w:val="22"/>
              </w:rPr>
            </w:pPr>
            <w:r>
              <w:rPr>
                <w:rFonts w:ascii="Arial" w:hAnsi="Arial" w:cs="Arial"/>
                <w:sz w:val="22"/>
                <w:szCs w:val="22"/>
              </w:rPr>
              <w:t>-</w:t>
            </w:r>
          </w:p>
        </w:tc>
      </w:tr>
    </w:tbl>
    <w:p w14:paraId="775BA0D2" w14:textId="77777777" w:rsidR="002E6D9C" w:rsidRPr="002E6D9C" w:rsidRDefault="002E6D9C" w:rsidP="00D64E3A">
      <w:pPr>
        <w:pStyle w:val="r2030podcle"/>
        <w:numPr>
          <w:ilvl w:val="1"/>
          <w:numId w:val="17"/>
        </w:numPr>
      </w:pPr>
      <w:r w:rsidRPr="002E6D9C">
        <w:lastRenderedPageBreak/>
        <w:t>Postupy strategického a územního plánování jsou koordinovány na úrovni přesahující úroveň jednotlivých obcí.</w:t>
      </w:r>
    </w:p>
    <w:tbl>
      <w:tblPr>
        <w:tblStyle w:val="Mkatabulky"/>
        <w:tblW w:w="0" w:type="auto"/>
        <w:tblLook w:val="04A0" w:firstRow="1" w:lastRow="0" w:firstColumn="1" w:lastColumn="0" w:noHBand="0" w:noVBand="1"/>
      </w:tblPr>
      <w:tblGrid>
        <w:gridCol w:w="2802"/>
        <w:gridCol w:w="6486"/>
      </w:tblGrid>
      <w:tr w:rsidR="00EA2748" w:rsidRPr="0007074B" w14:paraId="0AE9CBEE" w14:textId="77777777" w:rsidTr="00B460D5">
        <w:tc>
          <w:tcPr>
            <w:tcW w:w="2802" w:type="dxa"/>
          </w:tcPr>
          <w:p w14:paraId="113599B2"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Název a označení indikátoru: </w:t>
            </w:r>
          </w:p>
        </w:tc>
        <w:tc>
          <w:tcPr>
            <w:tcW w:w="6486" w:type="dxa"/>
          </w:tcPr>
          <w:p w14:paraId="5055E973" w14:textId="77777777" w:rsidR="00EA2748" w:rsidRPr="00DF3422" w:rsidRDefault="002E6D9C" w:rsidP="00D226B2">
            <w:pPr>
              <w:spacing w:line="276" w:lineRule="auto"/>
              <w:jc w:val="both"/>
              <w:rPr>
                <w:rFonts w:ascii="Arial" w:eastAsia="Arial" w:hAnsi="Arial" w:cs="Arial"/>
                <w:b/>
                <w:color w:val="000000"/>
                <w:sz w:val="22"/>
                <w:szCs w:val="22"/>
              </w:rPr>
            </w:pPr>
            <w:r>
              <w:rPr>
                <w:rFonts w:ascii="Arial" w:eastAsia="Calibri" w:hAnsi="Arial" w:cs="Arial"/>
                <w:b/>
                <w:sz w:val="22"/>
                <w:szCs w:val="22"/>
              </w:rPr>
              <w:t>16</w:t>
            </w:r>
            <w:r w:rsidR="00EA2748" w:rsidRPr="00DF3422">
              <w:rPr>
                <w:rFonts w:ascii="Arial" w:eastAsia="Calibri" w:hAnsi="Arial" w:cs="Arial"/>
                <w:b/>
                <w:sz w:val="22"/>
                <w:szCs w:val="22"/>
              </w:rPr>
              <w:t>.4.1 Existence metodiky pro koordinaci územního a strategického plánování na úrovni přesahující úroveň jednotlivých obcí</w:t>
            </w:r>
          </w:p>
        </w:tc>
      </w:tr>
      <w:tr w:rsidR="00EA2748" w:rsidRPr="0007074B" w14:paraId="667420AA" w14:textId="77777777" w:rsidTr="00B460D5">
        <w:tc>
          <w:tcPr>
            <w:tcW w:w="2802" w:type="dxa"/>
          </w:tcPr>
          <w:p w14:paraId="46411332"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Stručná definice: </w:t>
            </w:r>
          </w:p>
        </w:tc>
        <w:tc>
          <w:tcPr>
            <w:tcW w:w="6486" w:type="dxa"/>
          </w:tcPr>
          <w:p w14:paraId="498A45AC" w14:textId="77777777" w:rsidR="00EA2748" w:rsidRPr="0007074B" w:rsidRDefault="00EA2748" w:rsidP="00D226B2">
            <w:pPr>
              <w:spacing w:line="276" w:lineRule="auto"/>
              <w:jc w:val="both"/>
              <w:rPr>
                <w:rFonts w:ascii="Arial" w:hAnsi="Arial" w:cs="Arial"/>
                <w:sz w:val="22"/>
                <w:szCs w:val="22"/>
              </w:rPr>
            </w:pPr>
            <w:r w:rsidRPr="0007074B">
              <w:rPr>
                <w:rFonts w:ascii="Arial" w:hAnsi="Arial" w:cs="Arial"/>
                <w:sz w:val="22"/>
                <w:szCs w:val="22"/>
              </w:rPr>
              <w:t>Indikátor sleduje, zda existuje aktuální metodika (nebo metodiky), určující způsoby vzájemné koordinace mezi dokumenty územního plánování a strategického plánování, a to na úrovni větší než obec a zpravidla*) menší než kraj.</w:t>
            </w:r>
          </w:p>
          <w:p w14:paraId="589FAF86" w14:textId="77777777" w:rsidR="00EA2748" w:rsidRPr="0007074B" w:rsidRDefault="00EA2748" w:rsidP="00D226B2">
            <w:pPr>
              <w:spacing w:line="276" w:lineRule="auto"/>
              <w:jc w:val="both"/>
              <w:rPr>
                <w:rFonts w:ascii="Arial" w:hAnsi="Arial" w:cs="Arial"/>
                <w:sz w:val="22"/>
                <w:szCs w:val="22"/>
              </w:rPr>
            </w:pPr>
          </w:p>
          <w:p w14:paraId="011D91EF" w14:textId="77777777" w:rsidR="00EA2748" w:rsidRPr="0007074B" w:rsidRDefault="00EA2748" w:rsidP="00D226B2">
            <w:pPr>
              <w:spacing w:line="276" w:lineRule="auto"/>
              <w:jc w:val="both"/>
              <w:rPr>
                <w:rFonts w:ascii="Arial" w:hAnsi="Arial" w:cs="Arial"/>
                <w:sz w:val="22"/>
                <w:szCs w:val="22"/>
              </w:rPr>
            </w:pPr>
            <w:r w:rsidRPr="0007074B">
              <w:rPr>
                <w:rFonts w:ascii="Arial" w:hAnsi="Arial" w:cs="Arial"/>
                <w:sz w:val="22"/>
                <w:szCs w:val="22"/>
              </w:rPr>
              <w:t>*) S výjimkou případu hl. m. Prahy, kde je potřeba koordinace pro území hl. m. Prahy a jejího okolí.</w:t>
            </w:r>
          </w:p>
        </w:tc>
      </w:tr>
      <w:tr w:rsidR="00EA2748" w:rsidRPr="0007074B" w14:paraId="00F7994F" w14:textId="77777777" w:rsidTr="00B460D5">
        <w:tc>
          <w:tcPr>
            <w:tcW w:w="2802" w:type="dxa"/>
          </w:tcPr>
          <w:p w14:paraId="1016055C"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Jednotka:</w:t>
            </w:r>
          </w:p>
        </w:tc>
        <w:tc>
          <w:tcPr>
            <w:tcW w:w="6486" w:type="dxa"/>
          </w:tcPr>
          <w:p w14:paraId="37D85312" w14:textId="77777777" w:rsidR="00EA2748" w:rsidRPr="0007074B" w:rsidRDefault="00145F41" w:rsidP="00D226B2">
            <w:pPr>
              <w:spacing w:line="276" w:lineRule="auto"/>
              <w:jc w:val="both"/>
              <w:rPr>
                <w:rFonts w:ascii="Arial" w:hAnsi="Arial" w:cs="Arial"/>
                <w:sz w:val="22"/>
                <w:szCs w:val="22"/>
              </w:rPr>
            </w:pPr>
            <w:r>
              <w:rPr>
                <w:rFonts w:ascii="Arial" w:hAnsi="Arial" w:cs="Arial"/>
                <w:sz w:val="22"/>
                <w:szCs w:val="22"/>
              </w:rPr>
              <w:t>-</w:t>
            </w:r>
          </w:p>
        </w:tc>
      </w:tr>
      <w:tr w:rsidR="00EA2748" w:rsidRPr="0007074B" w14:paraId="485D8965" w14:textId="77777777" w:rsidTr="00B460D5">
        <w:tc>
          <w:tcPr>
            <w:tcW w:w="2802" w:type="dxa"/>
          </w:tcPr>
          <w:p w14:paraId="35C10EEB"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Gestor: </w:t>
            </w:r>
          </w:p>
        </w:tc>
        <w:tc>
          <w:tcPr>
            <w:tcW w:w="6486" w:type="dxa"/>
          </w:tcPr>
          <w:p w14:paraId="4A660F16" w14:textId="77777777" w:rsidR="00EA2748" w:rsidRPr="0007074B" w:rsidRDefault="00145F41" w:rsidP="00D226B2">
            <w:pPr>
              <w:spacing w:line="276" w:lineRule="auto"/>
              <w:jc w:val="both"/>
              <w:rPr>
                <w:rFonts w:ascii="Arial" w:hAnsi="Arial" w:cs="Arial"/>
                <w:sz w:val="22"/>
                <w:szCs w:val="22"/>
              </w:rPr>
            </w:pPr>
            <w:r>
              <w:rPr>
                <w:rFonts w:ascii="Arial" w:hAnsi="Arial" w:cs="Arial"/>
                <w:sz w:val="22"/>
                <w:szCs w:val="22"/>
              </w:rPr>
              <w:t>Ministerstvo pro místní rozvoj</w:t>
            </w:r>
          </w:p>
        </w:tc>
      </w:tr>
      <w:tr w:rsidR="00EA2748" w:rsidRPr="0007074B" w14:paraId="2B8E15FE" w14:textId="77777777" w:rsidTr="00B460D5">
        <w:tc>
          <w:tcPr>
            <w:tcW w:w="2802" w:type="dxa"/>
          </w:tcPr>
          <w:p w14:paraId="476CCFB1"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Význam indikátoru: </w:t>
            </w:r>
          </w:p>
        </w:tc>
        <w:tc>
          <w:tcPr>
            <w:tcW w:w="6486" w:type="dxa"/>
          </w:tcPr>
          <w:p w14:paraId="346897A3" w14:textId="77777777" w:rsidR="00EA2748" w:rsidRPr="0007074B" w:rsidRDefault="00EA2748" w:rsidP="00D226B2">
            <w:pPr>
              <w:spacing w:line="276" w:lineRule="auto"/>
              <w:jc w:val="both"/>
              <w:rPr>
                <w:rFonts w:ascii="Arial" w:hAnsi="Arial" w:cs="Arial"/>
                <w:sz w:val="22"/>
                <w:szCs w:val="22"/>
              </w:rPr>
            </w:pPr>
            <w:r w:rsidRPr="0007074B">
              <w:rPr>
                <w:rFonts w:ascii="Arial" w:hAnsi="Arial" w:cs="Arial"/>
                <w:sz w:val="22"/>
                <w:szCs w:val="22"/>
              </w:rPr>
              <w:t>Existence metodiky je předpokladem pro vzájemnou koordinaci územního a strategického plánování</w:t>
            </w:r>
          </w:p>
        </w:tc>
      </w:tr>
      <w:tr w:rsidR="00EA2748" w:rsidRPr="0007074B" w14:paraId="611A653A" w14:textId="77777777" w:rsidTr="00B460D5">
        <w:tc>
          <w:tcPr>
            <w:tcW w:w="2802" w:type="dxa"/>
          </w:tcPr>
          <w:p w14:paraId="04EE7995"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Časová řada: </w:t>
            </w:r>
          </w:p>
        </w:tc>
        <w:tc>
          <w:tcPr>
            <w:tcW w:w="6486" w:type="dxa"/>
          </w:tcPr>
          <w:p w14:paraId="4BBB0778" w14:textId="77777777" w:rsidR="00EA2748" w:rsidRPr="0007074B" w:rsidRDefault="00C86E98" w:rsidP="00D226B2">
            <w:pPr>
              <w:spacing w:line="276" w:lineRule="auto"/>
              <w:jc w:val="both"/>
              <w:rPr>
                <w:rFonts w:ascii="Arial" w:hAnsi="Arial" w:cs="Arial"/>
                <w:sz w:val="22"/>
                <w:szCs w:val="22"/>
              </w:rPr>
            </w:pPr>
            <w:r>
              <w:rPr>
                <w:rFonts w:ascii="Arial" w:hAnsi="Arial" w:cs="Arial"/>
                <w:sz w:val="22"/>
                <w:szCs w:val="22"/>
              </w:rPr>
              <w:t>-</w:t>
            </w:r>
          </w:p>
        </w:tc>
      </w:tr>
      <w:tr w:rsidR="00EA2748" w:rsidRPr="0007074B" w14:paraId="5998E2BE" w14:textId="77777777" w:rsidTr="00B460D5">
        <w:tc>
          <w:tcPr>
            <w:tcW w:w="2802" w:type="dxa"/>
          </w:tcPr>
          <w:p w14:paraId="4CAA4BB8"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Frekvence výstupu: </w:t>
            </w:r>
          </w:p>
        </w:tc>
        <w:tc>
          <w:tcPr>
            <w:tcW w:w="6486" w:type="dxa"/>
          </w:tcPr>
          <w:p w14:paraId="3C27B007" w14:textId="77777777" w:rsidR="00EA2748" w:rsidRPr="0007074B" w:rsidRDefault="00EA2748" w:rsidP="00D226B2">
            <w:pPr>
              <w:spacing w:line="276" w:lineRule="auto"/>
              <w:jc w:val="both"/>
              <w:rPr>
                <w:rFonts w:ascii="Arial" w:hAnsi="Arial" w:cs="Arial"/>
                <w:sz w:val="22"/>
                <w:szCs w:val="22"/>
              </w:rPr>
            </w:pPr>
            <w:r w:rsidRPr="0007074B">
              <w:rPr>
                <w:rFonts w:ascii="Arial" w:hAnsi="Arial" w:cs="Arial"/>
                <w:sz w:val="22"/>
                <w:szCs w:val="22"/>
              </w:rPr>
              <w:t>Ověření existence aktuální metodiky pravidelně v periodě průběžného vyhodnocení ČR 2030</w:t>
            </w:r>
          </w:p>
        </w:tc>
      </w:tr>
      <w:tr w:rsidR="00EA2748" w:rsidRPr="0007074B" w14:paraId="689BACF8" w14:textId="77777777" w:rsidTr="00B460D5">
        <w:trPr>
          <w:trHeight w:val="70"/>
        </w:trPr>
        <w:tc>
          <w:tcPr>
            <w:tcW w:w="2802" w:type="dxa"/>
          </w:tcPr>
          <w:p w14:paraId="593F89EF"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Členění indikátoru: </w:t>
            </w:r>
          </w:p>
        </w:tc>
        <w:tc>
          <w:tcPr>
            <w:tcW w:w="6486" w:type="dxa"/>
          </w:tcPr>
          <w:p w14:paraId="759B79C7"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w:t>
            </w:r>
          </w:p>
        </w:tc>
      </w:tr>
      <w:tr w:rsidR="00EA2748" w:rsidRPr="0007074B" w14:paraId="557FDB31" w14:textId="77777777" w:rsidTr="00B460D5">
        <w:trPr>
          <w:trHeight w:val="70"/>
        </w:trPr>
        <w:tc>
          <w:tcPr>
            <w:tcW w:w="2802" w:type="dxa"/>
          </w:tcPr>
          <w:p w14:paraId="374792AA"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Mezinárodní srovnání:</w:t>
            </w:r>
          </w:p>
        </w:tc>
        <w:tc>
          <w:tcPr>
            <w:tcW w:w="6486" w:type="dxa"/>
          </w:tcPr>
          <w:p w14:paraId="4FD2652A" w14:textId="77777777" w:rsidR="00EA2748" w:rsidRPr="0007074B" w:rsidRDefault="005A0DA4" w:rsidP="00C51B65">
            <w:pPr>
              <w:spacing w:line="276" w:lineRule="auto"/>
              <w:rPr>
                <w:rFonts w:ascii="Arial" w:hAnsi="Arial" w:cs="Arial"/>
                <w:sz w:val="22"/>
                <w:szCs w:val="22"/>
              </w:rPr>
            </w:pPr>
            <w:r>
              <w:rPr>
                <w:rFonts w:ascii="Arial" w:hAnsi="Arial" w:cs="Arial"/>
                <w:sz w:val="22"/>
                <w:szCs w:val="22"/>
              </w:rPr>
              <w:t>-</w:t>
            </w:r>
          </w:p>
        </w:tc>
      </w:tr>
    </w:tbl>
    <w:p w14:paraId="2508C5F6" w14:textId="77777777" w:rsidR="00EA2748" w:rsidRPr="0007074B" w:rsidRDefault="00EA2748" w:rsidP="00C51B65">
      <w:pPr>
        <w:tabs>
          <w:tab w:val="left" w:pos="142"/>
        </w:tabs>
        <w:spacing w:line="276" w:lineRule="auto"/>
        <w:ind w:left="709"/>
        <w:jc w:val="both"/>
        <w:rPr>
          <w:rFonts w:ascii="Arial" w:eastAsia="Calibri" w:hAnsi="Arial" w:cs="Arial"/>
          <w:i/>
          <w:sz w:val="22"/>
          <w:szCs w:val="22"/>
        </w:rPr>
      </w:pPr>
    </w:p>
    <w:tbl>
      <w:tblPr>
        <w:tblStyle w:val="Mkatabulky"/>
        <w:tblW w:w="0" w:type="auto"/>
        <w:tblLook w:val="04A0" w:firstRow="1" w:lastRow="0" w:firstColumn="1" w:lastColumn="0" w:noHBand="0" w:noVBand="1"/>
      </w:tblPr>
      <w:tblGrid>
        <w:gridCol w:w="2802"/>
        <w:gridCol w:w="6486"/>
      </w:tblGrid>
      <w:tr w:rsidR="00EA2748" w:rsidRPr="0007074B" w14:paraId="472F5D33" w14:textId="77777777" w:rsidTr="00B460D5">
        <w:tc>
          <w:tcPr>
            <w:tcW w:w="2802" w:type="dxa"/>
          </w:tcPr>
          <w:p w14:paraId="5C9F3C11"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Název a označení indikátoru: </w:t>
            </w:r>
          </w:p>
        </w:tc>
        <w:tc>
          <w:tcPr>
            <w:tcW w:w="6486" w:type="dxa"/>
          </w:tcPr>
          <w:p w14:paraId="63D03FE0" w14:textId="0CB43E14" w:rsidR="00EA2748" w:rsidRPr="00DF3422" w:rsidRDefault="002E6D9C" w:rsidP="00D226B2">
            <w:pPr>
              <w:spacing w:line="276" w:lineRule="auto"/>
              <w:jc w:val="both"/>
              <w:rPr>
                <w:rFonts w:ascii="Arial" w:eastAsia="Arial" w:hAnsi="Arial" w:cs="Arial"/>
                <w:b/>
                <w:color w:val="000000"/>
                <w:sz w:val="22"/>
                <w:szCs w:val="22"/>
              </w:rPr>
            </w:pPr>
            <w:r>
              <w:rPr>
                <w:rFonts w:ascii="Arial" w:eastAsia="Arial" w:hAnsi="Arial" w:cs="Arial"/>
                <w:b/>
                <w:color w:val="000000"/>
                <w:sz w:val="22"/>
                <w:szCs w:val="22"/>
              </w:rPr>
              <w:t>16.</w:t>
            </w:r>
            <w:r w:rsidR="00EA2748" w:rsidRPr="00DF3422">
              <w:rPr>
                <w:rFonts w:ascii="Arial" w:eastAsia="Arial" w:hAnsi="Arial" w:cs="Arial"/>
                <w:b/>
                <w:color w:val="000000"/>
                <w:sz w:val="22"/>
                <w:szCs w:val="22"/>
              </w:rPr>
              <w:t xml:space="preserve">4.2 Podíl území/obyvatel z celkové rozlohy </w:t>
            </w:r>
            <w:r w:rsidR="00D226B2">
              <w:rPr>
                <w:rFonts w:ascii="Arial" w:eastAsia="Arial" w:hAnsi="Arial" w:cs="Arial"/>
                <w:b/>
                <w:color w:val="000000"/>
                <w:sz w:val="22"/>
                <w:szCs w:val="22"/>
              </w:rPr>
              <w:t>C</w:t>
            </w:r>
            <w:r w:rsidR="00EA2748" w:rsidRPr="00DF3422">
              <w:rPr>
                <w:rFonts w:ascii="Arial" w:eastAsia="Arial" w:hAnsi="Arial" w:cs="Arial"/>
                <w:b/>
                <w:color w:val="000000"/>
                <w:sz w:val="22"/>
                <w:szCs w:val="22"/>
              </w:rPr>
              <w:t>R</w:t>
            </w:r>
            <w:r w:rsidR="00D226B2">
              <w:rPr>
                <w:rFonts w:ascii="Arial" w:eastAsia="Arial" w:hAnsi="Arial" w:cs="Arial"/>
                <w:b/>
                <w:color w:val="000000"/>
                <w:sz w:val="22"/>
                <w:szCs w:val="22"/>
              </w:rPr>
              <w:t xml:space="preserve"> </w:t>
            </w:r>
            <w:r w:rsidR="00EA2748" w:rsidRPr="00DF3422">
              <w:rPr>
                <w:rFonts w:ascii="Arial" w:eastAsia="Arial" w:hAnsi="Arial" w:cs="Arial"/>
                <w:b/>
                <w:color w:val="000000"/>
                <w:sz w:val="22"/>
                <w:szCs w:val="22"/>
              </w:rPr>
              <w:t>/</w:t>
            </w:r>
            <w:r w:rsidR="00D226B2">
              <w:rPr>
                <w:rFonts w:ascii="Arial" w:eastAsia="Arial" w:hAnsi="Arial" w:cs="Arial"/>
                <w:b/>
                <w:color w:val="000000"/>
                <w:sz w:val="22"/>
                <w:szCs w:val="22"/>
              </w:rPr>
              <w:t xml:space="preserve"> </w:t>
            </w:r>
            <w:r w:rsidR="00EA2748" w:rsidRPr="00DF3422">
              <w:rPr>
                <w:rFonts w:ascii="Arial" w:eastAsia="Arial" w:hAnsi="Arial" w:cs="Arial"/>
                <w:b/>
                <w:color w:val="000000"/>
                <w:sz w:val="22"/>
                <w:szCs w:val="22"/>
              </w:rPr>
              <w:t xml:space="preserve">obyvatelstva ČR, zahrnutých do území řešených dokumenty územního a strategického plánování přesahujících úroveň jednotlivých obcí, vzájemně metodicky koordinovaných </w:t>
            </w:r>
          </w:p>
        </w:tc>
      </w:tr>
      <w:tr w:rsidR="00EA2748" w:rsidRPr="0007074B" w14:paraId="4E28634D" w14:textId="77777777" w:rsidTr="00B460D5">
        <w:tc>
          <w:tcPr>
            <w:tcW w:w="2802" w:type="dxa"/>
          </w:tcPr>
          <w:p w14:paraId="7F174BC9"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Stručná definice: </w:t>
            </w:r>
          </w:p>
        </w:tc>
        <w:tc>
          <w:tcPr>
            <w:tcW w:w="6486" w:type="dxa"/>
          </w:tcPr>
          <w:p w14:paraId="3BC34B31" w14:textId="77777777" w:rsidR="00EA2748" w:rsidRPr="00DF3422" w:rsidRDefault="00EA2748" w:rsidP="00D226B2">
            <w:pPr>
              <w:spacing w:line="276" w:lineRule="auto"/>
              <w:jc w:val="both"/>
              <w:rPr>
                <w:rFonts w:ascii="Arial" w:eastAsia="Arial" w:hAnsi="Arial" w:cs="Arial"/>
                <w:color w:val="000000"/>
                <w:sz w:val="22"/>
                <w:szCs w:val="22"/>
              </w:rPr>
            </w:pPr>
            <w:r w:rsidRPr="00DF3422">
              <w:rPr>
                <w:rFonts w:ascii="Arial" w:eastAsia="Arial" w:hAnsi="Arial" w:cs="Arial"/>
                <w:color w:val="000000"/>
                <w:sz w:val="22"/>
                <w:szCs w:val="22"/>
              </w:rPr>
              <w:t>Indikátor sleduje pokrytí ČR dokumenty řešícími zejména území vyžadující koordinaci jednotlivých obcí, ale nedosahující rozsahu celého kraje</w:t>
            </w:r>
            <w:r w:rsidR="002E6D9C">
              <w:rPr>
                <w:rFonts w:ascii="Arial" w:eastAsia="Arial" w:hAnsi="Arial" w:cs="Arial"/>
                <w:color w:val="000000"/>
                <w:sz w:val="22"/>
                <w:szCs w:val="22"/>
              </w:rPr>
              <w:t>.</w:t>
            </w:r>
          </w:p>
        </w:tc>
      </w:tr>
      <w:tr w:rsidR="00EA2748" w:rsidRPr="0007074B" w14:paraId="3113CAC9" w14:textId="77777777" w:rsidTr="00B460D5">
        <w:tc>
          <w:tcPr>
            <w:tcW w:w="2802" w:type="dxa"/>
          </w:tcPr>
          <w:p w14:paraId="7E766C44"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Jednotka:</w:t>
            </w:r>
          </w:p>
        </w:tc>
        <w:tc>
          <w:tcPr>
            <w:tcW w:w="6486" w:type="dxa"/>
          </w:tcPr>
          <w:p w14:paraId="2024711B" w14:textId="77777777" w:rsidR="00EA2748" w:rsidRPr="00DF3422" w:rsidRDefault="002E6D9C" w:rsidP="00D226B2">
            <w:pP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Podíl (v </w:t>
            </w:r>
            <w:r w:rsidR="00EA2748" w:rsidRPr="00DF3422">
              <w:rPr>
                <w:rFonts w:ascii="Arial" w:eastAsia="Arial" w:hAnsi="Arial" w:cs="Arial"/>
                <w:color w:val="000000"/>
                <w:sz w:val="22"/>
                <w:szCs w:val="22"/>
              </w:rPr>
              <w:t>%</w:t>
            </w:r>
            <w:r>
              <w:rPr>
                <w:rFonts w:ascii="Arial" w:eastAsia="Arial" w:hAnsi="Arial" w:cs="Arial"/>
                <w:color w:val="000000"/>
                <w:sz w:val="22"/>
                <w:szCs w:val="22"/>
              </w:rPr>
              <w:t>)</w:t>
            </w:r>
          </w:p>
        </w:tc>
      </w:tr>
      <w:tr w:rsidR="00EA2748" w:rsidRPr="0007074B" w14:paraId="4D5DFCF8" w14:textId="77777777" w:rsidTr="00B460D5">
        <w:tc>
          <w:tcPr>
            <w:tcW w:w="2802" w:type="dxa"/>
          </w:tcPr>
          <w:p w14:paraId="5F5760C7"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Gestor: </w:t>
            </w:r>
          </w:p>
        </w:tc>
        <w:tc>
          <w:tcPr>
            <w:tcW w:w="6486" w:type="dxa"/>
          </w:tcPr>
          <w:p w14:paraId="36289161" w14:textId="77777777" w:rsidR="00EA2748" w:rsidRPr="00DF3422" w:rsidRDefault="00827BDC" w:rsidP="00D226B2">
            <w:pPr>
              <w:spacing w:line="276" w:lineRule="auto"/>
              <w:jc w:val="both"/>
              <w:rPr>
                <w:rFonts w:ascii="Arial" w:eastAsia="Arial" w:hAnsi="Arial" w:cs="Arial"/>
                <w:color w:val="000000"/>
                <w:sz w:val="22"/>
                <w:szCs w:val="22"/>
              </w:rPr>
            </w:pPr>
            <w:r>
              <w:rPr>
                <w:rFonts w:ascii="Arial" w:hAnsi="Arial" w:cs="Arial"/>
                <w:sz w:val="22"/>
                <w:szCs w:val="22"/>
              </w:rPr>
              <w:t>Ministerstvo pro místní rozvoj</w:t>
            </w:r>
          </w:p>
        </w:tc>
      </w:tr>
      <w:tr w:rsidR="00EA2748" w:rsidRPr="0007074B" w14:paraId="3D0B4849" w14:textId="77777777" w:rsidTr="00B460D5">
        <w:tc>
          <w:tcPr>
            <w:tcW w:w="2802" w:type="dxa"/>
          </w:tcPr>
          <w:p w14:paraId="29BEA1EB"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Význam indikátoru: </w:t>
            </w:r>
          </w:p>
        </w:tc>
        <w:tc>
          <w:tcPr>
            <w:tcW w:w="6486" w:type="dxa"/>
          </w:tcPr>
          <w:p w14:paraId="11567676" w14:textId="77777777" w:rsidR="00EA2748" w:rsidRPr="00DF3422" w:rsidRDefault="00EA2748" w:rsidP="00D226B2">
            <w:pPr>
              <w:spacing w:line="276" w:lineRule="auto"/>
              <w:jc w:val="both"/>
              <w:rPr>
                <w:rFonts w:ascii="Arial" w:eastAsia="Arial" w:hAnsi="Arial" w:cs="Arial"/>
                <w:color w:val="000000"/>
                <w:sz w:val="22"/>
                <w:szCs w:val="22"/>
              </w:rPr>
            </w:pPr>
            <w:r w:rsidRPr="00DF3422">
              <w:rPr>
                <w:rFonts w:ascii="Arial" w:eastAsia="Arial" w:hAnsi="Arial" w:cs="Arial"/>
                <w:color w:val="000000"/>
                <w:sz w:val="22"/>
                <w:szCs w:val="22"/>
              </w:rPr>
              <w:t>Informace o zohlednění příslušné metodiky v územně plánovací praxi.</w:t>
            </w:r>
          </w:p>
        </w:tc>
      </w:tr>
      <w:tr w:rsidR="00EA2748" w:rsidRPr="0007074B" w14:paraId="57CB72E3" w14:textId="77777777" w:rsidTr="00B460D5">
        <w:tc>
          <w:tcPr>
            <w:tcW w:w="2802" w:type="dxa"/>
          </w:tcPr>
          <w:p w14:paraId="74E0F3EE"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Časová řada: </w:t>
            </w:r>
          </w:p>
        </w:tc>
        <w:tc>
          <w:tcPr>
            <w:tcW w:w="6486" w:type="dxa"/>
          </w:tcPr>
          <w:p w14:paraId="74FAE260" w14:textId="77777777" w:rsidR="00EA2748" w:rsidRPr="00DF3422" w:rsidRDefault="002E6D9C" w:rsidP="00D226B2">
            <w:pPr>
              <w:spacing w:line="276" w:lineRule="auto"/>
              <w:jc w:val="both"/>
              <w:rPr>
                <w:rFonts w:ascii="Arial" w:eastAsia="Arial" w:hAnsi="Arial" w:cs="Arial"/>
                <w:color w:val="000000"/>
                <w:sz w:val="22"/>
                <w:szCs w:val="22"/>
              </w:rPr>
            </w:pPr>
            <w:r>
              <w:rPr>
                <w:rFonts w:ascii="Arial" w:eastAsia="Arial" w:hAnsi="Arial" w:cs="Arial"/>
                <w:color w:val="000000"/>
                <w:sz w:val="22"/>
                <w:szCs w:val="22"/>
              </w:rPr>
              <w:t>-</w:t>
            </w:r>
          </w:p>
        </w:tc>
      </w:tr>
      <w:tr w:rsidR="00EA2748" w:rsidRPr="0007074B" w14:paraId="3C161B4E" w14:textId="77777777" w:rsidTr="00B460D5">
        <w:tc>
          <w:tcPr>
            <w:tcW w:w="2802" w:type="dxa"/>
          </w:tcPr>
          <w:p w14:paraId="33034B9A"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Frekvence výstupu: </w:t>
            </w:r>
          </w:p>
        </w:tc>
        <w:tc>
          <w:tcPr>
            <w:tcW w:w="6486" w:type="dxa"/>
          </w:tcPr>
          <w:p w14:paraId="20782452" w14:textId="112B3166" w:rsidR="00EA2748" w:rsidRPr="00DF3422" w:rsidRDefault="004136E4" w:rsidP="00D226B2">
            <w:pPr>
              <w:spacing w:line="276" w:lineRule="auto"/>
              <w:jc w:val="both"/>
              <w:rPr>
                <w:rFonts w:ascii="Arial" w:eastAsia="Arial" w:hAnsi="Arial" w:cs="Arial"/>
                <w:color w:val="000000"/>
                <w:sz w:val="22"/>
                <w:szCs w:val="22"/>
              </w:rPr>
            </w:pPr>
            <w:r>
              <w:rPr>
                <w:rFonts w:ascii="Arial" w:eastAsia="Arial" w:hAnsi="Arial" w:cs="Arial"/>
                <w:color w:val="000000"/>
                <w:sz w:val="22"/>
                <w:szCs w:val="22"/>
              </w:rPr>
              <w:t>Jednou</w:t>
            </w:r>
            <w:r w:rsidR="000511A8">
              <w:rPr>
                <w:rFonts w:ascii="Arial" w:eastAsia="Arial" w:hAnsi="Arial" w:cs="Arial"/>
                <w:color w:val="000000"/>
                <w:sz w:val="22"/>
                <w:szCs w:val="22"/>
              </w:rPr>
              <w:t xml:space="preserve"> za tři</w:t>
            </w:r>
            <w:r w:rsidR="00EA2748" w:rsidRPr="00DF3422">
              <w:rPr>
                <w:rFonts w:ascii="Arial" w:eastAsia="Arial" w:hAnsi="Arial" w:cs="Arial"/>
                <w:color w:val="000000"/>
                <w:sz w:val="22"/>
                <w:szCs w:val="22"/>
              </w:rPr>
              <w:t xml:space="preserve"> roky</w:t>
            </w:r>
          </w:p>
        </w:tc>
      </w:tr>
      <w:tr w:rsidR="00EA2748" w:rsidRPr="0007074B" w14:paraId="6516AD19" w14:textId="77777777" w:rsidTr="00B460D5">
        <w:trPr>
          <w:trHeight w:val="70"/>
        </w:trPr>
        <w:tc>
          <w:tcPr>
            <w:tcW w:w="2802" w:type="dxa"/>
          </w:tcPr>
          <w:p w14:paraId="37225E0C"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Členění indikátoru: </w:t>
            </w:r>
          </w:p>
        </w:tc>
        <w:tc>
          <w:tcPr>
            <w:tcW w:w="6486" w:type="dxa"/>
          </w:tcPr>
          <w:p w14:paraId="3C7EBC9D" w14:textId="77777777" w:rsidR="00EA2748" w:rsidRPr="00DF3422" w:rsidRDefault="002E6D9C" w:rsidP="00D226B2">
            <w:pPr>
              <w:spacing w:line="276" w:lineRule="auto"/>
              <w:jc w:val="both"/>
              <w:rPr>
                <w:rFonts w:ascii="Arial" w:eastAsia="Arial" w:hAnsi="Arial" w:cs="Arial"/>
                <w:color w:val="000000"/>
                <w:sz w:val="22"/>
                <w:szCs w:val="22"/>
              </w:rPr>
            </w:pPr>
            <w:r>
              <w:rPr>
                <w:rFonts w:ascii="Arial" w:eastAsia="Arial" w:hAnsi="Arial" w:cs="Arial"/>
                <w:color w:val="000000"/>
                <w:sz w:val="22"/>
                <w:szCs w:val="22"/>
              </w:rPr>
              <w:t>Podíl</w:t>
            </w:r>
            <w:r w:rsidR="00EA2748" w:rsidRPr="00DF3422">
              <w:rPr>
                <w:rFonts w:ascii="Arial" w:eastAsia="Arial" w:hAnsi="Arial" w:cs="Arial"/>
                <w:color w:val="000000"/>
                <w:sz w:val="22"/>
                <w:szCs w:val="22"/>
              </w:rPr>
              <w:t xml:space="preserve"> území pokrytých příslušnými dokumenty územního plánování</w:t>
            </w:r>
            <w:r>
              <w:rPr>
                <w:rFonts w:ascii="Arial" w:eastAsia="Arial" w:hAnsi="Arial" w:cs="Arial"/>
                <w:color w:val="000000"/>
                <w:sz w:val="22"/>
                <w:szCs w:val="22"/>
              </w:rPr>
              <w:t xml:space="preserve">, podíl </w:t>
            </w:r>
            <w:r w:rsidR="00EA2748" w:rsidRPr="00DF3422">
              <w:rPr>
                <w:rFonts w:ascii="Arial" w:eastAsia="Arial" w:hAnsi="Arial" w:cs="Arial"/>
                <w:color w:val="000000"/>
                <w:sz w:val="22"/>
                <w:szCs w:val="22"/>
              </w:rPr>
              <w:t>obyvatel pokrytých příslušnými dokumenty územního plánování</w:t>
            </w:r>
            <w:r>
              <w:rPr>
                <w:rFonts w:ascii="Arial" w:eastAsia="Arial" w:hAnsi="Arial" w:cs="Arial"/>
                <w:color w:val="000000"/>
                <w:sz w:val="22"/>
                <w:szCs w:val="22"/>
              </w:rPr>
              <w:t>, podíl</w:t>
            </w:r>
            <w:r w:rsidR="00EA2748" w:rsidRPr="00DF3422">
              <w:rPr>
                <w:rFonts w:ascii="Arial" w:eastAsia="Arial" w:hAnsi="Arial" w:cs="Arial"/>
                <w:color w:val="000000"/>
                <w:sz w:val="22"/>
                <w:szCs w:val="22"/>
              </w:rPr>
              <w:t xml:space="preserve"> území pokrytých příslušnými dokumenty strategického plánování</w:t>
            </w:r>
            <w:r>
              <w:rPr>
                <w:rFonts w:ascii="Arial" w:eastAsia="Arial" w:hAnsi="Arial" w:cs="Arial"/>
                <w:color w:val="000000"/>
                <w:sz w:val="22"/>
                <w:szCs w:val="22"/>
              </w:rPr>
              <w:t xml:space="preserve">, podíl </w:t>
            </w:r>
            <w:r w:rsidR="00EA2748" w:rsidRPr="00DF3422">
              <w:rPr>
                <w:rFonts w:ascii="Arial" w:eastAsia="Arial" w:hAnsi="Arial" w:cs="Arial"/>
                <w:color w:val="000000"/>
                <w:sz w:val="22"/>
                <w:szCs w:val="22"/>
              </w:rPr>
              <w:t>obyvatel pokrytých příslušnými dokumenty strategického plánování</w:t>
            </w:r>
          </w:p>
        </w:tc>
      </w:tr>
      <w:tr w:rsidR="00EA2748" w:rsidRPr="0007074B" w14:paraId="0D328C96" w14:textId="77777777" w:rsidTr="00B460D5">
        <w:trPr>
          <w:trHeight w:val="70"/>
        </w:trPr>
        <w:tc>
          <w:tcPr>
            <w:tcW w:w="2802" w:type="dxa"/>
          </w:tcPr>
          <w:p w14:paraId="31FB7EA9"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Mezinárodní srovnání:</w:t>
            </w:r>
          </w:p>
        </w:tc>
        <w:tc>
          <w:tcPr>
            <w:tcW w:w="6486" w:type="dxa"/>
          </w:tcPr>
          <w:p w14:paraId="1836E66C" w14:textId="77777777" w:rsidR="00EA2748" w:rsidRPr="00DF3422" w:rsidRDefault="00827BDC" w:rsidP="00C51B65">
            <w:pPr>
              <w:spacing w:line="276" w:lineRule="auto"/>
              <w:rPr>
                <w:rFonts w:ascii="Arial" w:eastAsia="Arial" w:hAnsi="Arial" w:cs="Arial"/>
                <w:color w:val="000000"/>
                <w:sz w:val="22"/>
                <w:szCs w:val="22"/>
              </w:rPr>
            </w:pPr>
            <w:r>
              <w:rPr>
                <w:rFonts w:ascii="Arial" w:eastAsia="Arial" w:hAnsi="Arial" w:cs="Arial"/>
                <w:color w:val="000000"/>
                <w:sz w:val="22"/>
                <w:szCs w:val="22"/>
              </w:rPr>
              <w:t>-</w:t>
            </w:r>
          </w:p>
        </w:tc>
      </w:tr>
    </w:tbl>
    <w:p w14:paraId="674817AD" w14:textId="77777777" w:rsidR="00EA2748" w:rsidRPr="0007074B" w:rsidRDefault="00EA2748" w:rsidP="00C51B65">
      <w:pPr>
        <w:spacing w:line="276" w:lineRule="auto"/>
        <w:ind w:left="567"/>
        <w:jc w:val="both"/>
        <w:rPr>
          <w:rFonts w:ascii="Arial" w:eastAsia="Calibri" w:hAnsi="Arial" w:cs="Arial"/>
          <w:i/>
          <w:sz w:val="22"/>
          <w:szCs w:val="22"/>
        </w:rPr>
      </w:pPr>
    </w:p>
    <w:p w14:paraId="53C14919" w14:textId="2255A0C1" w:rsidR="00EA2748" w:rsidRPr="00F677C3" w:rsidRDefault="002E6D9C" w:rsidP="00D64E3A">
      <w:pPr>
        <w:pStyle w:val="r2030cle"/>
        <w:numPr>
          <w:ilvl w:val="0"/>
          <w:numId w:val="17"/>
        </w:numPr>
      </w:pPr>
      <w:r>
        <w:t>1</w:t>
      </w:r>
      <w:r w:rsidR="00F677C3" w:rsidRPr="00F677C3">
        <w:t xml:space="preserve"> </w:t>
      </w:r>
      <w:r w:rsidRPr="002E6D9C">
        <w:t>Růst kvality života v jednotlivých municipalitách snižuje regionální nerovnosti.</w:t>
      </w:r>
    </w:p>
    <w:p w14:paraId="391E2A96" w14:textId="77777777" w:rsidR="009C0D10" w:rsidRDefault="002E6D9C" w:rsidP="00D226B2">
      <w:pPr>
        <w:pStyle w:val="r2030podcle"/>
        <w:numPr>
          <w:ilvl w:val="1"/>
          <w:numId w:val="17"/>
        </w:numPr>
        <w:ind w:left="567" w:hanging="425"/>
        <w:jc w:val="both"/>
        <w:rPr>
          <w:rFonts w:eastAsia="Arial"/>
        </w:rPr>
      </w:pPr>
      <w:r w:rsidRPr="002E6D9C">
        <w:rPr>
          <w:rFonts w:eastAsia="Arial"/>
        </w:rPr>
        <w:lastRenderedPageBreak/>
        <w:t>Dnešní venkovské a periferní obl</w:t>
      </w:r>
      <w:r>
        <w:rPr>
          <w:rFonts w:eastAsia="Arial"/>
        </w:rPr>
        <w:t>asti se nevylidňují a jejich po</w:t>
      </w:r>
      <w:r w:rsidRPr="002E6D9C">
        <w:rPr>
          <w:rFonts w:eastAsia="Arial"/>
        </w:rPr>
        <w:t>pulace nestárne více než v urbanizovaných oblastech.</w:t>
      </w:r>
    </w:p>
    <w:tbl>
      <w:tblPr>
        <w:tblStyle w:val="Mkatabulky"/>
        <w:tblW w:w="0" w:type="auto"/>
        <w:tblLook w:val="04A0" w:firstRow="1" w:lastRow="0" w:firstColumn="1" w:lastColumn="0" w:noHBand="0" w:noVBand="1"/>
      </w:tblPr>
      <w:tblGrid>
        <w:gridCol w:w="2802"/>
        <w:gridCol w:w="6486"/>
      </w:tblGrid>
      <w:tr w:rsidR="00EA2748" w:rsidRPr="0007074B" w14:paraId="13A2DDBC" w14:textId="77777777" w:rsidTr="00B460D5">
        <w:tc>
          <w:tcPr>
            <w:tcW w:w="2802" w:type="dxa"/>
          </w:tcPr>
          <w:p w14:paraId="5554828D"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Název a označení indikátoru: </w:t>
            </w:r>
          </w:p>
        </w:tc>
        <w:tc>
          <w:tcPr>
            <w:tcW w:w="6486" w:type="dxa"/>
          </w:tcPr>
          <w:p w14:paraId="26212EB2" w14:textId="77777777" w:rsidR="00EA2748" w:rsidRPr="00DF3422" w:rsidRDefault="00176CCE" w:rsidP="00C51B65">
            <w:pPr>
              <w:spacing w:line="276" w:lineRule="auto"/>
              <w:rPr>
                <w:rFonts w:ascii="Arial" w:eastAsia="Arial" w:hAnsi="Arial" w:cs="Arial"/>
                <w:b/>
                <w:color w:val="000000"/>
                <w:sz w:val="22"/>
                <w:szCs w:val="22"/>
              </w:rPr>
            </w:pPr>
            <w:r>
              <w:rPr>
                <w:rFonts w:ascii="Arial" w:eastAsia="Arial" w:hAnsi="Arial" w:cs="Arial"/>
                <w:b/>
                <w:color w:val="000000"/>
                <w:sz w:val="22"/>
                <w:szCs w:val="22"/>
              </w:rPr>
              <w:t>17</w:t>
            </w:r>
            <w:r w:rsidR="00EA2748" w:rsidRPr="00DF3422">
              <w:rPr>
                <w:rFonts w:ascii="Arial" w:eastAsia="Arial" w:hAnsi="Arial" w:cs="Arial"/>
                <w:b/>
                <w:color w:val="000000"/>
                <w:sz w:val="22"/>
                <w:szCs w:val="22"/>
              </w:rPr>
              <w:t xml:space="preserve">.1.1 Migrační saldo (daného území) </w:t>
            </w:r>
          </w:p>
          <w:p w14:paraId="6209237A" w14:textId="77777777" w:rsidR="00EA2748" w:rsidRPr="0007074B" w:rsidRDefault="00EA2748" w:rsidP="00C51B65">
            <w:pPr>
              <w:spacing w:line="276" w:lineRule="auto"/>
              <w:rPr>
                <w:rFonts w:ascii="Arial" w:eastAsia="Arial" w:hAnsi="Arial" w:cs="Arial"/>
                <w:color w:val="000000"/>
                <w:sz w:val="22"/>
                <w:szCs w:val="22"/>
              </w:rPr>
            </w:pPr>
          </w:p>
        </w:tc>
      </w:tr>
      <w:tr w:rsidR="00EA2748" w:rsidRPr="0007074B" w14:paraId="23FD9DC6" w14:textId="77777777" w:rsidTr="00B460D5">
        <w:tc>
          <w:tcPr>
            <w:tcW w:w="2802" w:type="dxa"/>
          </w:tcPr>
          <w:p w14:paraId="6A2123AD"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Stručná definice: </w:t>
            </w:r>
          </w:p>
        </w:tc>
        <w:tc>
          <w:tcPr>
            <w:tcW w:w="6486" w:type="dxa"/>
          </w:tcPr>
          <w:p w14:paraId="14628E66" w14:textId="77777777" w:rsidR="00EA2748" w:rsidRPr="0007074B" w:rsidRDefault="00EA2748" w:rsidP="00D226B2">
            <w:pPr>
              <w:spacing w:line="276" w:lineRule="auto"/>
              <w:jc w:val="both"/>
              <w:rPr>
                <w:rFonts w:ascii="Arial" w:hAnsi="Arial" w:cs="Arial"/>
                <w:sz w:val="22"/>
                <w:szCs w:val="22"/>
              </w:rPr>
            </w:pPr>
            <w:r w:rsidRPr="0007074B">
              <w:rPr>
                <w:rFonts w:ascii="Arial" w:hAnsi="Arial" w:cs="Arial"/>
                <w:sz w:val="22"/>
                <w:szCs w:val="22"/>
              </w:rPr>
              <w:t>Indikátor je vyjádřen jako rozdíl mezi počtem přistěhovalých a vystěhovalých v daných regionech ČR</w:t>
            </w:r>
          </w:p>
        </w:tc>
      </w:tr>
      <w:tr w:rsidR="00EA2748" w:rsidRPr="0007074B" w14:paraId="396A56AC" w14:textId="77777777" w:rsidTr="00B460D5">
        <w:tc>
          <w:tcPr>
            <w:tcW w:w="2802" w:type="dxa"/>
          </w:tcPr>
          <w:p w14:paraId="539A69AE"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Jednotka:</w:t>
            </w:r>
          </w:p>
        </w:tc>
        <w:tc>
          <w:tcPr>
            <w:tcW w:w="6486" w:type="dxa"/>
          </w:tcPr>
          <w:p w14:paraId="65D50D41" w14:textId="77777777" w:rsidR="00EA2748" w:rsidRPr="0007074B" w:rsidRDefault="00EA2748" w:rsidP="00D226B2">
            <w:pPr>
              <w:spacing w:line="276" w:lineRule="auto"/>
              <w:jc w:val="both"/>
              <w:rPr>
                <w:rFonts w:ascii="Arial" w:hAnsi="Arial" w:cs="Arial"/>
                <w:sz w:val="22"/>
                <w:szCs w:val="22"/>
              </w:rPr>
            </w:pPr>
            <w:r w:rsidRPr="0007074B">
              <w:rPr>
                <w:rFonts w:ascii="Arial" w:hAnsi="Arial" w:cs="Arial"/>
                <w:sz w:val="22"/>
                <w:szCs w:val="22"/>
              </w:rPr>
              <w:t>Počet</w:t>
            </w:r>
            <w:r w:rsidR="00176CCE">
              <w:rPr>
                <w:rFonts w:ascii="Arial" w:hAnsi="Arial" w:cs="Arial"/>
                <w:sz w:val="22"/>
                <w:szCs w:val="22"/>
              </w:rPr>
              <w:t xml:space="preserve"> osob</w:t>
            </w:r>
          </w:p>
        </w:tc>
      </w:tr>
      <w:tr w:rsidR="00EA2748" w:rsidRPr="0007074B" w14:paraId="55756EB2" w14:textId="77777777" w:rsidTr="00B460D5">
        <w:tc>
          <w:tcPr>
            <w:tcW w:w="2802" w:type="dxa"/>
          </w:tcPr>
          <w:p w14:paraId="3F8BD914"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Gestor: </w:t>
            </w:r>
          </w:p>
        </w:tc>
        <w:tc>
          <w:tcPr>
            <w:tcW w:w="6486" w:type="dxa"/>
          </w:tcPr>
          <w:p w14:paraId="7313B0E0" w14:textId="77777777" w:rsidR="00EA2748" w:rsidRPr="00FC6D22" w:rsidRDefault="00EA2748" w:rsidP="00D226B2">
            <w:pPr>
              <w:spacing w:line="276" w:lineRule="auto"/>
              <w:jc w:val="both"/>
              <w:rPr>
                <w:rFonts w:ascii="Arial" w:hAnsi="Arial" w:cs="Arial"/>
                <w:sz w:val="22"/>
                <w:szCs w:val="22"/>
              </w:rPr>
            </w:pPr>
            <w:r w:rsidRPr="00FC6D22">
              <w:rPr>
                <w:rFonts w:ascii="Arial" w:hAnsi="Arial" w:cs="Arial"/>
                <w:sz w:val="22"/>
                <w:szCs w:val="22"/>
              </w:rPr>
              <w:t>Český statistický úřad</w:t>
            </w:r>
          </w:p>
        </w:tc>
      </w:tr>
      <w:tr w:rsidR="00EA2748" w:rsidRPr="0007074B" w14:paraId="3AD7DA49" w14:textId="77777777" w:rsidTr="00B460D5">
        <w:tc>
          <w:tcPr>
            <w:tcW w:w="2802" w:type="dxa"/>
          </w:tcPr>
          <w:p w14:paraId="15247D1B"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Význam indikátoru: </w:t>
            </w:r>
          </w:p>
        </w:tc>
        <w:tc>
          <w:tcPr>
            <w:tcW w:w="6486" w:type="dxa"/>
          </w:tcPr>
          <w:p w14:paraId="33E03180" w14:textId="77777777" w:rsidR="00EA2748" w:rsidRPr="0007074B" w:rsidRDefault="00EA2748" w:rsidP="00D226B2">
            <w:pPr>
              <w:spacing w:line="276" w:lineRule="auto"/>
              <w:jc w:val="both"/>
              <w:rPr>
                <w:rFonts w:ascii="Arial" w:hAnsi="Arial" w:cs="Arial"/>
                <w:sz w:val="22"/>
                <w:szCs w:val="22"/>
              </w:rPr>
            </w:pPr>
            <w:r w:rsidRPr="0007074B">
              <w:rPr>
                <w:rFonts w:ascii="Arial" w:hAnsi="Arial" w:cs="Arial"/>
                <w:sz w:val="22"/>
                <w:szCs w:val="22"/>
              </w:rPr>
              <w:t>Saldo migrace kvantifikuje geografickou mobilitu obyvatelstva. Negativní saldo migrace venkovských obcí bývá spojeno se ztrátou možností obživy, s vylidňováním venkova a se zvyšováním počtu obyvatel městských aglomerací.</w:t>
            </w:r>
          </w:p>
        </w:tc>
      </w:tr>
      <w:tr w:rsidR="00EA2748" w:rsidRPr="0007074B" w14:paraId="5F720BAE" w14:textId="77777777" w:rsidTr="00B460D5">
        <w:tc>
          <w:tcPr>
            <w:tcW w:w="2802" w:type="dxa"/>
          </w:tcPr>
          <w:p w14:paraId="05DDF3BF"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Časová řada: </w:t>
            </w:r>
          </w:p>
        </w:tc>
        <w:tc>
          <w:tcPr>
            <w:tcW w:w="6486" w:type="dxa"/>
          </w:tcPr>
          <w:p w14:paraId="2EDC95F8" w14:textId="77777777" w:rsidR="00EA2748" w:rsidRPr="0007074B" w:rsidRDefault="00EA2748" w:rsidP="00D226B2">
            <w:pPr>
              <w:spacing w:line="276" w:lineRule="auto"/>
              <w:jc w:val="both"/>
              <w:rPr>
                <w:rFonts w:ascii="Arial" w:hAnsi="Arial" w:cs="Arial"/>
                <w:sz w:val="22"/>
                <w:szCs w:val="22"/>
              </w:rPr>
            </w:pPr>
            <w:r w:rsidRPr="0007074B">
              <w:rPr>
                <w:rFonts w:ascii="Arial" w:hAnsi="Arial" w:cs="Arial"/>
                <w:sz w:val="22"/>
                <w:szCs w:val="22"/>
              </w:rPr>
              <w:t>(dle ORP ideálně od jejich vzniku 2003; obecně – lze za regiony skladebné z obcí možno zpracovat údaje od r. 1993)</w:t>
            </w:r>
          </w:p>
        </w:tc>
      </w:tr>
      <w:tr w:rsidR="00EA2748" w:rsidRPr="0007074B" w14:paraId="2DCA17F0" w14:textId="77777777" w:rsidTr="00B460D5">
        <w:tc>
          <w:tcPr>
            <w:tcW w:w="2802" w:type="dxa"/>
          </w:tcPr>
          <w:p w14:paraId="35370214"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Frekvence výstupu: </w:t>
            </w:r>
          </w:p>
        </w:tc>
        <w:tc>
          <w:tcPr>
            <w:tcW w:w="6486" w:type="dxa"/>
          </w:tcPr>
          <w:p w14:paraId="1A579A60" w14:textId="77777777" w:rsidR="00EA2748" w:rsidRPr="0007074B" w:rsidRDefault="00EA2748" w:rsidP="00D226B2">
            <w:pPr>
              <w:spacing w:line="276" w:lineRule="auto"/>
              <w:jc w:val="both"/>
              <w:rPr>
                <w:rFonts w:ascii="Arial" w:hAnsi="Arial" w:cs="Arial"/>
                <w:sz w:val="22"/>
                <w:szCs w:val="22"/>
              </w:rPr>
            </w:pPr>
            <w:r w:rsidRPr="0007074B">
              <w:rPr>
                <w:rFonts w:ascii="Arial" w:hAnsi="Arial" w:cs="Arial"/>
                <w:sz w:val="22"/>
                <w:szCs w:val="22"/>
              </w:rPr>
              <w:t>Ročně</w:t>
            </w:r>
          </w:p>
        </w:tc>
      </w:tr>
      <w:tr w:rsidR="00EA2748" w:rsidRPr="0007074B" w14:paraId="59D4DF88" w14:textId="77777777" w:rsidTr="00B460D5">
        <w:trPr>
          <w:trHeight w:val="70"/>
        </w:trPr>
        <w:tc>
          <w:tcPr>
            <w:tcW w:w="2802" w:type="dxa"/>
          </w:tcPr>
          <w:p w14:paraId="3D051B78"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Členění indikátoru: </w:t>
            </w:r>
          </w:p>
        </w:tc>
        <w:tc>
          <w:tcPr>
            <w:tcW w:w="6486" w:type="dxa"/>
          </w:tcPr>
          <w:p w14:paraId="07FB96CD" w14:textId="7F8DDCDD" w:rsidR="00EA2748" w:rsidRPr="00047FFC" w:rsidRDefault="00A632B6" w:rsidP="00D226B2">
            <w:pPr>
              <w:spacing w:line="276" w:lineRule="auto"/>
              <w:jc w:val="both"/>
              <w:rPr>
                <w:rFonts w:ascii="Arial" w:hAnsi="Arial"/>
                <w:sz w:val="22"/>
              </w:rPr>
            </w:pPr>
            <w:r>
              <w:rPr>
                <w:rFonts w:ascii="Arial" w:hAnsi="Arial"/>
                <w:sz w:val="22"/>
              </w:rPr>
              <w:t>Dle p</w:t>
            </w:r>
            <w:r w:rsidR="00066238">
              <w:rPr>
                <w:rFonts w:ascii="Arial" w:hAnsi="Arial"/>
                <w:sz w:val="22"/>
              </w:rPr>
              <w:t>ohlaví, věk</w:t>
            </w:r>
            <w:r>
              <w:rPr>
                <w:rFonts w:ascii="Arial" w:hAnsi="Arial"/>
                <w:sz w:val="22"/>
              </w:rPr>
              <w:t>u</w:t>
            </w:r>
            <w:r w:rsidR="00066238">
              <w:rPr>
                <w:rFonts w:ascii="Arial" w:hAnsi="Arial"/>
                <w:sz w:val="22"/>
              </w:rPr>
              <w:t xml:space="preserve">, </w:t>
            </w:r>
            <w:r w:rsidR="00066238">
              <w:rPr>
                <w:rFonts w:ascii="Arial" w:hAnsi="Arial" w:cs="Arial"/>
                <w:sz w:val="22"/>
                <w:szCs w:val="22"/>
              </w:rPr>
              <w:t>územně dle obcí a krajů</w:t>
            </w:r>
          </w:p>
        </w:tc>
      </w:tr>
      <w:tr w:rsidR="00EA2748" w:rsidRPr="0007074B" w14:paraId="5AF51929" w14:textId="77777777" w:rsidTr="00B460D5">
        <w:trPr>
          <w:trHeight w:val="70"/>
        </w:trPr>
        <w:tc>
          <w:tcPr>
            <w:tcW w:w="2802" w:type="dxa"/>
          </w:tcPr>
          <w:p w14:paraId="569052ED"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Mezinárodní srovnání:</w:t>
            </w:r>
          </w:p>
        </w:tc>
        <w:tc>
          <w:tcPr>
            <w:tcW w:w="6486" w:type="dxa"/>
          </w:tcPr>
          <w:p w14:paraId="79CA24DD" w14:textId="77777777" w:rsidR="00EA2748" w:rsidRPr="0007074B" w:rsidRDefault="005A0DA4" w:rsidP="00C51B65">
            <w:pPr>
              <w:spacing w:line="276" w:lineRule="auto"/>
              <w:rPr>
                <w:rFonts w:ascii="Arial" w:hAnsi="Arial" w:cs="Arial"/>
                <w:sz w:val="22"/>
                <w:szCs w:val="22"/>
              </w:rPr>
            </w:pPr>
            <w:r>
              <w:rPr>
                <w:rFonts w:ascii="Arial" w:hAnsi="Arial" w:cs="Arial"/>
                <w:sz w:val="22"/>
                <w:szCs w:val="22"/>
              </w:rPr>
              <w:t>-</w:t>
            </w:r>
          </w:p>
        </w:tc>
      </w:tr>
    </w:tbl>
    <w:p w14:paraId="07D322DF" w14:textId="77777777" w:rsidR="00EA2748" w:rsidRPr="0007074B" w:rsidRDefault="00EA2748" w:rsidP="00C51B65">
      <w:pPr>
        <w:tabs>
          <w:tab w:val="left" w:pos="0"/>
        </w:tabs>
        <w:spacing w:line="276" w:lineRule="auto"/>
        <w:rPr>
          <w:rFonts w:ascii="Arial" w:eastAsia="Calibri" w:hAnsi="Arial" w:cs="Arial"/>
          <w:b/>
          <w:sz w:val="22"/>
          <w:szCs w:val="22"/>
        </w:rPr>
      </w:pPr>
    </w:p>
    <w:tbl>
      <w:tblPr>
        <w:tblStyle w:val="Mkatabulky"/>
        <w:tblW w:w="0" w:type="auto"/>
        <w:tblLook w:val="04A0" w:firstRow="1" w:lastRow="0" w:firstColumn="1" w:lastColumn="0" w:noHBand="0" w:noVBand="1"/>
      </w:tblPr>
      <w:tblGrid>
        <w:gridCol w:w="2802"/>
        <w:gridCol w:w="6486"/>
      </w:tblGrid>
      <w:tr w:rsidR="00EA2748" w:rsidRPr="0007074B" w14:paraId="2101FFB9" w14:textId="77777777" w:rsidTr="00B460D5">
        <w:tc>
          <w:tcPr>
            <w:tcW w:w="2802" w:type="dxa"/>
          </w:tcPr>
          <w:p w14:paraId="49ED8AD8"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Název a označení indikátoru: </w:t>
            </w:r>
          </w:p>
        </w:tc>
        <w:tc>
          <w:tcPr>
            <w:tcW w:w="6486" w:type="dxa"/>
          </w:tcPr>
          <w:p w14:paraId="38F46566" w14:textId="77777777" w:rsidR="00EA2748" w:rsidRPr="00DF3422" w:rsidRDefault="00176CCE" w:rsidP="00C51B65">
            <w:pPr>
              <w:spacing w:line="276" w:lineRule="auto"/>
              <w:rPr>
                <w:rFonts w:ascii="Arial" w:eastAsia="Arial" w:hAnsi="Arial" w:cs="Arial"/>
                <w:b/>
                <w:color w:val="000000"/>
                <w:sz w:val="22"/>
                <w:szCs w:val="22"/>
              </w:rPr>
            </w:pPr>
            <w:r>
              <w:rPr>
                <w:rFonts w:ascii="Arial" w:eastAsia="Arial" w:hAnsi="Arial" w:cs="Arial"/>
                <w:b/>
                <w:color w:val="000000"/>
                <w:sz w:val="22"/>
                <w:szCs w:val="22"/>
              </w:rPr>
              <w:t>17</w:t>
            </w:r>
            <w:r w:rsidR="00EA2748" w:rsidRPr="00DF3422">
              <w:rPr>
                <w:rFonts w:ascii="Arial" w:eastAsia="Arial" w:hAnsi="Arial" w:cs="Arial"/>
                <w:b/>
                <w:color w:val="000000"/>
                <w:sz w:val="22"/>
                <w:szCs w:val="22"/>
              </w:rPr>
              <w:t>.1.2 Index stáří</w:t>
            </w:r>
          </w:p>
          <w:p w14:paraId="12E2C73C" w14:textId="77777777" w:rsidR="00EA2748" w:rsidRPr="0007074B" w:rsidRDefault="00EA2748" w:rsidP="00C51B65">
            <w:pPr>
              <w:spacing w:line="276" w:lineRule="auto"/>
              <w:rPr>
                <w:rFonts w:ascii="Arial" w:eastAsia="Arial" w:hAnsi="Arial" w:cs="Arial"/>
                <w:color w:val="000000"/>
                <w:sz w:val="22"/>
                <w:szCs w:val="22"/>
              </w:rPr>
            </w:pPr>
          </w:p>
        </w:tc>
      </w:tr>
      <w:tr w:rsidR="00EA2748" w:rsidRPr="0007074B" w14:paraId="55B6424B" w14:textId="77777777" w:rsidTr="00B460D5">
        <w:tc>
          <w:tcPr>
            <w:tcW w:w="2802" w:type="dxa"/>
          </w:tcPr>
          <w:p w14:paraId="64BC1527"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Stručná definice: </w:t>
            </w:r>
          </w:p>
        </w:tc>
        <w:tc>
          <w:tcPr>
            <w:tcW w:w="6486" w:type="dxa"/>
          </w:tcPr>
          <w:p w14:paraId="1E8454CF" w14:textId="77777777" w:rsidR="00EA2748" w:rsidRPr="0007074B" w:rsidRDefault="00EA2748" w:rsidP="00D226B2">
            <w:pPr>
              <w:spacing w:line="276" w:lineRule="auto"/>
              <w:jc w:val="both"/>
              <w:rPr>
                <w:rFonts w:ascii="Arial" w:hAnsi="Arial" w:cs="Arial"/>
                <w:sz w:val="22"/>
                <w:szCs w:val="22"/>
              </w:rPr>
            </w:pPr>
            <w:r w:rsidRPr="0007074B">
              <w:rPr>
                <w:rFonts w:ascii="Arial" w:hAnsi="Arial" w:cs="Arial"/>
                <w:sz w:val="22"/>
                <w:szCs w:val="22"/>
              </w:rPr>
              <w:t xml:space="preserve">Index stáří vyjadřuje, kolik je v populaci obyvatel ve věku 65 let a více na 100 dětí ve věku 0-14 let. </w:t>
            </w:r>
          </w:p>
        </w:tc>
      </w:tr>
      <w:tr w:rsidR="00EA2748" w:rsidRPr="0007074B" w14:paraId="7816122F" w14:textId="77777777" w:rsidTr="00B460D5">
        <w:tc>
          <w:tcPr>
            <w:tcW w:w="2802" w:type="dxa"/>
          </w:tcPr>
          <w:p w14:paraId="4C1A20D2"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Jednotka:</w:t>
            </w:r>
          </w:p>
        </w:tc>
        <w:tc>
          <w:tcPr>
            <w:tcW w:w="6486" w:type="dxa"/>
          </w:tcPr>
          <w:p w14:paraId="2169EF82" w14:textId="77777777" w:rsidR="00EA2748" w:rsidRPr="0007074B" w:rsidRDefault="00EA2748" w:rsidP="00D226B2">
            <w:pPr>
              <w:spacing w:line="276" w:lineRule="auto"/>
              <w:jc w:val="both"/>
              <w:rPr>
                <w:rFonts w:ascii="Arial" w:hAnsi="Arial" w:cs="Arial"/>
                <w:sz w:val="22"/>
                <w:szCs w:val="22"/>
              </w:rPr>
            </w:pPr>
            <w:r w:rsidRPr="0007074B">
              <w:rPr>
                <w:rFonts w:ascii="Arial" w:hAnsi="Arial" w:cs="Arial"/>
                <w:sz w:val="22"/>
                <w:szCs w:val="22"/>
              </w:rPr>
              <w:t>Index</w:t>
            </w:r>
          </w:p>
        </w:tc>
      </w:tr>
      <w:tr w:rsidR="00EA2748" w:rsidRPr="0007074B" w14:paraId="0CE69079" w14:textId="77777777" w:rsidTr="00B460D5">
        <w:tc>
          <w:tcPr>
            <w:tcW w:w="2802" w:type="dxa"/>
          </w:tcPr>
          <w:p w14:paraId="01C48B9D"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Gestor: </w:t>
            </w:r>
          </w:p>
        </w:tc>
        <w:tc>
          <w:tcPr>
            <w:tcW w:w="6486" w:type="dxa"/>
          </w:tcPr>
          <w:p w14:paraId="6C2CC74C" w14:textId="77777777" w:rsidR="00EA2748" w:rsidRPr="00FC6D22" w:rsidRDefault="00EA2748" w:rsidP="00D226B2">
            <w:pPr>
              <w:spacing w:line="276" w:lineRule="auto"/>
              <w:jc w:val="both"/>
              <w:rPr>
                <w:rFonts w:ascii="Arial" w:hAnsi="Arial" w:cs="Arial"/>
                <w:sz w:val="22"/>
                <w:szCs w:val="22"/>
              </w:rPr>
            </w:pPr>
            <w:r w:rsidRPr="00FC6D22">
              <w:rPr>
                <w:rFonts w:ascii="Arial" w:hAnsi="Arial" w:cs="Arial"/>
                <w:sz w:val="22"/>
                <w:szCs w:val="22"/>
              </w:rPr>
              <w:t>Český statistický úřad</w:t>
            </w:r>
          </w:p>
        </w:tc>
      </w:tr>
      <w:tr w:rsidR="00EA2748" w:rsidRPr="0007074B" w14:paraId="19ADA9DF" w14:textId="77777777" w:rsidTr="00B460D5">
        <w:tc>
          <w:tcPr>
            <w:tcW w:w="2802" w:type="dxa"/>
          </w:tcPr>
          <w:p w14:paraId="04411EB1"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Význam indikátoru: </w:t>
            </w:r>
          </w:p>
        </w:tc>
        <w:tc>
          <w:tcPr>
            <w:tcW w:w="6486" w:type="dxa"/>
          </w:tcPr>
          <w:p w14:paraId="514330A2" w14:textId="66A76719" w:rsidR="00EA2748" w:rsidRPr="0007074B" w:rsidRDefault="00EA2748" w:rsidP="00D226B2">
            <w:pPr>
              <w:spacing w:line="276" w:lineRule="auto"/>
              <w:jc w:val="both"/>
              <w:rPr>
                <w:rFonts w:ascii="Arial" w:hAnsi="Arial" w:cs="Arial"/>
                <w:sz w:val="22"/>
                <w:szCs w:val="22"/>
              </w:rPr>
            </w:pPr>
            <w:r w:rsidRPr="0007074B">
              <w:rPr>
                <w:rFonts w:ascii="Arial" w:hAnsi="Arial" w:cs="Arial"/>
                <w:sz w:val="22"/>
                <w:szCs w:val="22"/>
              </w:rPr>
              <w:t xml:space="preserve">Index stáří </w:t>
            </w:r>
            <w:r>
              <w:rPr>
                <w:rFonts w:ascii="Arial" w:hAnsi="Arial" w:cs="Arial"/>
                <w:sz w:val="22"/>
                <w:szCs w:val="22"/>
              </w:rPr>
              <w:t>charakterizuje</w:t>
            </w:r>
            <w:r w:rsidRPr="0007074B">
              <w:rPr>
                <w:rFonts w:ascii="Arial" w:hAnsi="Arial" w:cs="Arial"/>
                <w:sz w:val="22"/>
                <w:szCs w:val="22"/>
              </w:rPr>
              <w:t xml:space="preserve"> věkovou strukturu populace  </w:t>
            </w:r>
          </w:p>
        </w:tc>
      </w:tr>
      <w:tr w:rsidR="00EA2748" w:rsidRPr="0007074B" w14:paraId="51A79B30" w14:textId="77777777" w:rsidTr="00B460D5">
        <w:tc>
          <w:tcPr>
            <w:tcW w:w="2802" w:type="dxa"/>
          </w:tcPr>
          <w:p w14:paraId="365A7C85"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Časová řada: </w:t>
            </w:r>
          </w:p>
        </w:tc>
        <w:tc>
          <w:tcPr>
            <w:tcW w:w="6486" w:type="dxa"/>
          </w:tcPr>
          <w:p w14:paraId="4867D01C" w14:textId="77777777" w:rsidR="00EA2748" w:rsidRPr="0007074B" w:rsidRDefault="00EA2748" w:rsidP="00D226B2">
            <w:pPr>
              <w:spacing w:line="276" w:lineRule="auto"/>
              <w:jc w:val="both"/>
              <w:rPr>
                <w:rFonts w:ascii="Arial" w:hAnsi="Arial" w:cs="Arial"/>
                <w:i/>
                <w:sz w:val="22"/>
                <w:szCs w:val="22"/>
              </w:rPr>
            </w:pPr>
            <w:r>
              <w:rPr>
                <w:rFonts w:ascii="Arial" w:hAnsi="Arial" w:cs="Arial"/>
                <w:sz w:val="22"/>
                <w:szCs w:val="22"/>
              </w:rPr>
              <w:t>Z</w:t>
            </w:r>
            <w:r w:rsidRPr="007042AB">
              <w:rPr>
                <w:rFonts w:ascii="Arial" w:hAnsi="Arial" w:cs="Arial"/>
                <w:sz w:val="22"/>
                <w:szCs w:val="22"/>
              </w:rPr>
              <w:t>a ČR údaje každoročně dostupné od r. 1945, za regiony srovnatelné údaje od r. 1991</w:t>
            </w:r>
          </w:p>
        </w:tc>
      </w:tr>
      <w:tr w:rsidR="00EA2748" w:rsidRPr="0007074B" w14:paraId="76872D6D" w14:textId="77777777" w:rsidTr="00B460D5">
        <w:tc>
          <w:tcPr>
            <w:tcW w:w="2802" w:type="dxa"/>
          </w:tcPr>
          <w:p w14:paraId="25F95230"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Frekvence výstupu: </w:t>
            </w:r>
          </w:p>
        </w:tc>
        <w:tc>
          <w:tcPr>
            <w:tcW w:w="6486" w:type="dxa"/>
          </w:tcPr>
          <w:p w14:paraId="68D2B56E" w14:textId="77777777" w:rsidR="00EA2748" w:rsidRPr="0007074B" w:rsidRDefault="00EA2748" w:rsidP="00D226B2">
            <w:pPr>
              <w:spacing w:line="276" w:lineRule="auto"/>
              <w:jc w:val="both"/>
              <w:rPr>
                <w:rFonts w:ascii="Arial" w:hAnsi="Arial" w:cs="Arial"/>
                <w:sz w:val="22"/>
                <w:szCs w:val="22"/>
              </w:rPr>
            </w:pPr>
            <w:r w:rsidRPr="0007074B">
              <w:rPr>
                <w:rFonts w:ascii="Arial" w:hAnsi="Arial" w:cs="Arial"/>
                <w:sz w:val="22"/>
                <w:szCs w:val="22"/>
              </w:rPr>
              <w:t>Ročně</w:t>
            </w:r>
          </w:p>
        </w:tc>
      </w:tr>
      <w:tr w:rsidR="00EA2748" w:rsidRPr="0007074B" w14:paraId="7B9E72D6" w14:textId="77777777" w:rsidTr="00B460D5">
        <w:trPr>
          <w:trHeight w:val="70"/>
        </w:trPr>
        <w:tc>
          <w:tcPr>
            <w:tcW w:w="2802" w:type="dxa"/>
          </w:tcPr>
          <w:p w14:paraId="3AE6A117"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Členění indikátoru: </w:t>
            </w:r>
          </w:p>
        </w:tc>
        <w:tc>
          <w:tcPr>
            <w:tcW w:w="6486" w:type="dxa"/>
          </w:tcPr>
          <w:p w14:paraId="3CBEB7D0" w14:textId="07BA64A9" w:rsidR="00EA2748" w:rsidRPr="0007074B" w:rsidRDefault="00A632B6" w:rsidP="00D226B2">
            <w:pPr>
              <w:spacing w:line="276" w:lineRule="auto"/>
              <w:jc w:val="both"/>
              <w:rPr>
                <w:rFonts w:ascii="Arial" w:hAnsi="Arial" w:cs="Arial"/>
                <w:sz w:val="22"/>
                <w:szCs w:val="22"/>
              </w:rPr>
            </w:pPr>
            <w:r>
              <w:rPr>
                <w:rFonts w:ascii="Arial" w:hAnsi="Arial" w:cs="Arial"/>
                <w:sz w:val="22"/>
                <w:szCs w:val="22"/>
              </w:rPr>
              <w:t>Dle p</w:t>
            </w:r>
            <w:r w:rsidR="005A0DA4">
              <w:rPr>
                <w:rFonts w:ascii="Arial" w:hAnsi="Arial" w:cs="Arial"/>
                <w:sz w:val="22"/>
                <w:szCs w:val="22"/>
              </w:rPr>
              <w:t>ohlaví</w:t>
            </w:r>
            <w:r w:rsidR="00AE356E">
              <w:rPr>
                <w:rFonts w:ascii="Arial" w:hAnsi="Arial" w:cs="Arial"/>
                <w:sz w:val="22"/>
                <w:szCs w:val="22"/>
              </w:rPr>
              <w:t xml:space="preserve">, územně dle </w:t>
            </w:r>
            <w:r w:rsidR="00066238">
              <w:rPr>
                <w:rFonts w:ascii="Arial" w:hAnsi="Arial" w:cs="Arial"/>
                <w:sz w:val="22"/>
                <w:szCs w:val="22"/>
              </w:rPr>
              <w:t>obcí</w:t>
            </w:r>
            <w:r w:rsidR="00AE356E">
              <w:rPr>
                <w:rFonts w:ascii="Arial" w:hAnsi="Arial" w:cs="Arial"/>
                <w:sz w:val="22"/>
                <w:szCs w:val="22"/>
              </w:rPr>
              <w:t xml:space="preserve"> a krajů</w:t>
            </w:r>
          </w:p>
        </w:tc>
      </w:tr>
      <w:tr w:rsidR="00EA2748" w:rsidRPr="0007074B" w14:paraId="688960C8" w14:textId="77777777" w:rsidTr="00B460D5">
        <w:trPr>
          <w:trHeight w:val="70"/>
        </w:trPr>
        <w:tc>
          <w:tcPr>
            <w:tcW w:w="2802" w:type="dxa"/>
          </w:tcPr>
          <w:p w14:paraId="08A87880"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Mezinárodní srovnání:</w:t>
            </w:r>
          </w:p>
        </w:tc>
        <w:tc>
          <w:tcPr>
            <w:tcW w:w="6486" w:type="dxa"/>
          </w:tcPr>
          <w:p w14:paraId="42238A9C" w14:textId="77777777" w:rsidR="00EA2748" w:rsidRPr="0007074B" w:rsidRDefault="00EA2748" w:rsidP="00D226B2">
            <w:pPr>
              <w:spacing w:line="276" w:lineRule="auto"/>
              <w:jc w:val="both"/>
              <w:rPr>
                <w:rFonts w:ascii="Arial" w:hAnsi="Arial" w:cs="Arial"/>
                <w:sz w:val="22"/>
                <w:szCs w:val="22"/>
              </w:rPr>
            </w:pPr>
            <w:proofErr w:type="spellStart"/>
            <w:r w:rsidRPr="0007074B">
              <w:rPr>
                <w:rFonts w:ascii="Arial" w:hAnsi="Arial" w:cs="Arial"/>
                <w:sz w:val="22"/>
                <w:szCs w:val="22"/>
              </w:rPr>
              <w:t>Eurostat</w:t>
            </w:r>
            <w:proofErr w:type="spellEnd"/>
          </w:p>
        </w:tc>
      </w:tr>
    </w:tbl>
    <w:p w14:paraId="7952B7E3" w14:textId="77777777" w:rsidR="00176CCE" w:rsidRPr="00176CCE" w:rsidRDefault="00176CCE" w:rsidP="00D226B2">
      <w:pPr>
        <w:pStyle w:val="r2030podcle"/>
        <w:numPr>
          <w:ilvl w:val="1"/>
          <w:numId w:val="17"/>
        </w:numPr>
        <w:ind w:left="567" w:hanging="425"/>
      </w:pPr>
      <w:r w:rsidRPr="00176CCE">
        <w:t>Jsou podporovány vysoce kvalifikované pracovní příležitosti v malých a středních podnicích využívajících místní a regionální potenciál.</w:t>
      </w:r>
    </w:p>
    <w:tbl>
      <w:tblPr>
        <w:tblStyle w:val="Mkatabulky"/>
        <w:tblW w:w="0" w:type="auto"/>
        <w:tblLook w:val="04A0" w:firstRow="1" w:lastRow="0" w:firstColumn="1" w:lastColumn="0" w:noHBand="0" w:noVBand="1"/>
      </w:tblPr>
      <w:tblGrid>
        <w:gridCol w:w="2802"/>
        <w:gridCol w:w="6486"/>
      </w:tblGrid>
      <w:tr w:rsidR="00EA2748" w:rsidRPr="0007074B" w14:paraId="50673E7F" w14:textId="77777777" w:rsidTr="00B460D5">
        <w:tc>
          <w:tcPr>
            <w:tcW w:w="2802" w:type="dxa"/>
          </w:tcPr>
          <w:p w14:paraId="75657A7F"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Název a označení indikátoru: </w:t>
            </w:r>
          </w:p>
        </w:tc>
        <w:tc>
          <w:tcPr>
            <w:tcW w:w="6486" w:type="dxa"/>
          </w:tcPr>
          <w:p w14:paraId="51193DDE" w14:textId="77777777" w:rsidR="00EA2748" w:rsidRPr="0007074B" w:rsidRDefault="00176CCE" w:rsidP="00C51B65">
            <w:pPr>
              <w:spacing w:line="276" w:lineRule="auto"/>
              <w:rPr>
                <w:rFonts w:ascii="Arial" w:eastAsia="Arial" w:hAnsi="Arial" w:cs="Arial"/>
                <w:color w:val="000000"/>
                <w:sz w:val="22"/>
                <w:szCs w:val="22"/>
              </w:rPr>
            </w:pPr>
            <w:r>
              <w:rPr>
                <w:rFonts w:ascii="Arial" w:eastAsia="Arial" w:hAnsi="Arial" w:cs="Arial"/>
                <w:b/>
                <w:color w:val="000000"/>
                <w:sz w:val="22"/>
                <w:szCs w:val="22"/>
              </w:rPr>
              <w:t>17</w:t>
            </w:r>
            <w:r w:rsidR="00EA2748" w:rsidRPr="00DF3422">
              <w:rPr>
                <w:rFonts w:ascii="Arial" w:eastAsia="Arial" w:hAnsi="Arial" w:cs="Arial"/>
                <w:b/>
                <w:color w:val="000000"/>
                <w:sz w:val="22"/>
                <w:szCs w:val="22"/>
              </w:rPr>
              <w:t>.2.1 Disponibilní příjem domácnosti na 1 obyvatele dle krajů</w:t>
            </w:r>
          </w:p>
        </w:tc>
      </w:tr>
      <w:tr w:rsidR="00EA2748" w:rsidRPr="0007074B" w14:paraId="544CB0B5" w14:textId="77777777" w:rsidTr="00B460D5">
        <w:tc>
          <w:tcPr>
            <w:tcW w:w="2802" w:type="dxa"/>
          </w:tcPr>
          <w:p w14:paraId="23D5679A"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Stručná definice: </w:t>
            </w:r>
          </w:p>
        </w:tc>
        <w:tc>
          <w:tcPr>
            <w:tcW w:w="6486" w:type="dxa"/>
          </w:tcPr>
          <w:p w14:paraId="4CF45423" w14:textId="77777777" w:rsidR="00EA2748" w:rsidRPr="0007074B" w:rsidRDefault="00EA2748" w:rsidP="00D226B2">
            <w:pPr>
              <w:spacing w:line="276" w:lineRule="auto"/>
              <w:jc w:val="both"/>
              <w:rPr>
                <w:rFonts w:ascii="Arial" w:hAnsi="Arial" w:cs="Arial"/>
                <w:sz w:val="22"/>
                <w:szCs w:val="22"/>
              </w:rPr>
            </w:pPr>
            <w:r w:rsidRPr="0007074B">
              <w:rPr>
                <w:rFonts w:ascii="Arial" w:hAnsi="Arial" w:cs="Arial"/>
                <w:sz w:val="22"/>
                <w:szCs w:val="22"/>
              </w:rPr>
              <w:t>Indikátor je definován jako podíl disponibilního důchodu domácností v nominálním vyjádření a středního stavu obyvatelstva</w:t>
            </w:r>
          </w:p>
        </w:tc>
      </w:tr>
      <w:tr w:rsidR="00EA2748" w:rsidRPr="0007074B" w14:paraId="7E3580EA" w14:textId="77777777" w:rsidTr="00B460D5">
        <w:tc>
          <w:tcPr>
            <w:tcW w:w="2802" w:type="dxa"/>
          </w:tcPr>
          <w:p w14:paraId="1D240279"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Jednotka:</w:t>
            </w:r>
          </w:p>
        </w:tc>
        <w:tc>
          <w:tcPr>
            <w:tcW w:w="6486" w:type="dxa"/>
          </w:tcPr>
          <w:p w14:paraId="097F92F5" w14:textId="77777777" w:rsidR="00EA2748" w:rsidRPr="0007074B" w:rsidRDefault="00EA2748" w:rsidP="00D226B2">
            <w:pPr>
              <w:spacing w:line="276" w:lineRule="auto"/>
              <w:jc w:val="both"/>
              <w:rPr>
                <w:rFonts w:ascii="Arial" w:hAnsi="Arial" w:cs="Arial"/>
                <w:sz w:val="22"/>
                <w:szCs w:val="22"/>
              </w:rPr>
            </w:pPr>
            <w:r w:rsidRPr="0007074B">
              <w:rPr>
                <w:rFonts w:ascii="Arial" w:hAnsi="Arial" w:cs="Arial"/>
                <w:sz w:val="22"/>
                <w:szCs w:val="22"/>
              </w:rPr>
              <w:t>Kč</w:t>
            </w:r>
          </w:p>
        </w:tc>
      </w:tr>
      <w:tr w:rsidR="00EA2748" w:rsidRPr="0007074B" w14:paraId="79159BA9" w14:textId="77777777" w:rsidTr="00B460D5">
        <w:tc>
          <w:tcPr>
            <w:tcW w:w="2802" w:type="dxa"/>
          </w:tcPr>
          <w:p w14:paraId="659F8EE3"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Gestor: </w:t>
            </w:r>
          </w:p>
        </w:tc>
        <w:tc>
          <w:tcPr>
            <w:tcW w:w="6486" w:type="dxa"/>
          </w:tcPr>
          <w:p w14:paraId="35397A4D" w14:textId="77777777" w:rsidR="00EA2748" w:rsidRPr="00FC6D22" w:rsidRDefault="00EA2748" w:rsidP="00D226B2">
            <w:pPr>
              <w:spacing w:line="276" w:lineRule="auto"/>
              <w:jc w:val="both"/>
              <w:rPr>
                <w:rFonts w:ascii="Arial" w:hAnsi="Arial" w:cs="Arial"/>
                <w:sz w:val="22"/>
                <w:szCs w:val="22"/>
              </w:rPr>
            </w:pPr>
            <w:r w:rsidRPr="00FC6D22">
              <w:rPr>
                <w:rFonts w:ascii="Arial" w:hAnsi="Arial" w:cs="Arial"/>
                <w:sz w:val="22"/>
                <w:szCs w:val="22"/>
              </w:rPr>
              <w:t>Český statistický úřad</w:t>
            </w:r>
          </w:p>
        </w:tc>
      </w:tr>
      <w:tr w:rsidR="00EA2748" w:rsidRPr="0007074B" w14:paraId="450DD1C5" w14:textId="77777777" w:rsidTr="00B460D5">
        <w:tc>
          <w:tcPr>
            <w:tcW w:w="2802" w:type="dxa"/>
          </w:tcPr>
          <w:p w14:paraId="4D018B5E"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Význam indikátoru: </w:t>
            </w:r>
          </w:p>
        </w:tc>
        <w:tc>
          <w:tcPr>
            <w:tcW w:w="6486" w:type="dxa"/>
          </w:tcPr>
          <w:p w14:paraId="4F4C816B" w14:textId="7119DCB4" w:rsidR="00EA2748" w:rsidRPr="0007074B" w:rsidRDefault="00EA20E0" w:rsidP="00D226B2">
            <w:pPr>
              <w:spacing w:line="276" w:lineRule="auto"/>
              <w:jc w:val="both"/>
              <w:rPr>
                <w:rFonts w:ascii="Arial" w:hAnsi="Arial" w:cs="Arial"/>
                <w:sz w:val="22"/>
                <w:szCs w:val="22"/>
              </w:rPr>
            </w:pPr>
            <w:r w:rsidRPr="00EA20E0">
              <w:rPr>
                <w:rFonts w:ascii="Arial" w:hAnsi="Arial" w:cs="Arial"/>
                <w:sz w:val="22"/>
                <w:szCs w:val="22"/>
              </w:rPr>
              <w:t>Disponibilní důchod domácností na 1 obyvatele do značné míry ukazuje průměrnou úroveň potenciálních spotřebních výdajů na jednoho obyvatele bydlícího v daném regionu</w:t>
            </w:r>
          </w:p>
        </w:tc>
      </w:tr>
      <w:tr w:rsidR="00EA2748" w:rsidRPr="0007074B" w14:paraId="1311AB06" w14:textId="77777777" w:rsidTr="00B460D5">
        <w:tc>
          <w:tcPr>
            <w:tcW w:w="2802" w:type="dxa"/>
          </w:tcPr>
          <w:p w14:paraId="3E353B9F"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lastRenderedPageBreak/>
              <w:t xml:space="preserve">Časová řada: </w:t>
            </w:r>
          </w:p>
        </w:tc>
        <w:tc>
          <w:tcPr>
            <w:tcW w:w="6486" w:type="dxa"/>
          </w:tcPr>
          <w:p w14:paraId="1B3D206D" w14:textId="77777777" w:rsidR="00EA2748" w:rsidRPr="0007074B" w:rsidRDefault="00176CCE" w:rsidP="00D226B2">
            <w:pPr>
              <w:spacing w:line="276" w:lineRule="auto"/>
              <w:jc w:val="both"/>
              <w:rPr>
                <w:rFonts w:ascii="Arial" w:hAnsi="Arial" w:cs="Arial"/>
                <w:sz w:val="22"/>
                <w:szCs w:val="22"/>
              </w:rPr>
            </w:pPr>
            <w:r>
              <w:rPr>
                <w:rFonts w:ascii="Arial" w:hAnsi="Arial" w:cs="Arial"/>
                <w:sz w:val="22"/>
                <w:szCs w:val="22"/>
              </w:rPr>
              <w:t>Zatím neudržována</w:t>
            </w:r>
          </w:p>
        </w:tc>
      </w:tr>
      <w:tr w:rsidR="00EA2748" w:rsidRPr="0007074B" w14:paraId="1605863F" w14:textId="77777777" w:rsidTr="00B460D5">
        <w:tc>
          <w:tcPr>
            <w:tcW w:w="2802" w:type="dxa"/>
          </w:tcPr>
          <w:p w14:paraId="27DACC37"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Frekvence výstupu: </w:t>
            </w:r>
          </w:p>
        </w:tc>
        <w:tc>
          <w:tcPr>
            <w:tcW w:w="6486" w:type="dxa"/>
          </w:tcPr>
          <w:p w14:paraId="0FD914F4" w14:textId="77777777" w:rsidR="00EA2748" w:rsidRPr="0007074B" w:rsidRDefault="00EA2748" w:rsidP="00D226B2">
            <w:pPr>
              <w:spacing w:line="276" w:lineRule="auto"/>
              <w:jc w:val="both"/>
              <w:rPr>
                <w:rFonts w:ascii="Arial" w:hAnsi="Arial" w:cs="Arial"/>
                <w:sz w:val="22"/>
                <w:szCs w:val="22"/>
              </w:rPr>
            </w:pPr>
            <w:r w:rsidRPr="0007074B">
              <w:rPr>
                <w:rFonts w:ascii="Arial" w:hAnsi="Arial" w:cs="Arial"/>
                <w:sz w:val="22"/>
                <w:szCs w:val="22"/>
              </w:rPr>
              <w:t>Roční</w:t>
            </w:r>
          </w:p>
        </w:tc>
      </w:tr>
      <w:tr w:rsidR="00EA2748" w:rsidRPr="0007074B" w14:paraId="5CE67F1E" w14:textId="77777777" w:rsidTr="00B460D5">
        <w:trPr>
          <w:trHeight w:val="70"/>
        </w:trPr>
        <w:tc>
          <w:tcPr>
            <w:tcW w:w="2802" w:type="dxa"/>
          </w:tcPr>
          <w:p w14:paraId="6CFBDBCD"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Členění indikátoru: </w:t>
            </w:r>
          </w:p>
        </w:tc>
        <w:tc>
          <w:tcPr>
            <w:tcW w:w="6486" w:type="dxa"/>
          </w:tcPr>
          <w:p w14:paraId="152C3B2A" w14:textId="77777777" w:rsidR="00EA2748" w:rsidRPr="0007074B" w:rsidRDefault="00EA2748" w:rsidP="00D226B2">
            <w:pPr>
              <w:spacing w:line="276" w:lineRule="auto"/>
              <w:jc w:val="both"/>
              <w:rPr>
                <w:rFonts w:ascii="Arial" w:hAnsi="Arial" w:cs="Arial"/>
                <w:sz w:val="22"/>
                <w:szCs w:val="22"/>
              </w:rPr>
            </w:pPr>
            <w:r w:rsidRPr="0007074B">
              <w:rPr>
                <w:rFonts w:ascii="Arial" w:hAnsi="Arial" w:cs="Arial"/>
                <w:sz w:val="22"/>
                <w:szCs w:val="22"/>
              </w:rPr>
              <w:t>NUTS 2, NUTS 3</w:t>
            </w:r>
          </w:p>
        </w:tc>
      </w:tr>
      <w:tr w:rsidR="00EA2748" w:rsidRPr="0007074B" w14:paraId="6B84EF50" w14:textId="77777777" w:rsidTr="00B460D5">
        <w:trPr>
          <w:trHeight w:val="70"/>
        </w:trPr>
        <w:tc>
          <w:tcPr>
            <w:tcW w:w="2802" w:type="dxa"/>
          </w:tcPr>
          <w:p w14:paraId="11A778F8"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Mezinárodní srovnání:</w:t>
            </w:r>
          </w:p>
        </w:tc>
        <w:tc>
          <w:tcPr>
            <w:tcW w:w="6486" w:type="dxa"/>
          </w:tcPr>
          <w:p w14:paraId="60D8781E" w14:textId="77777777" w:rsidR="00EA2748" w:rsidRPr="0007074B" w:rsidRDefault="00724039" w:rsidP="00D226B2">
            <w:pPr>
              <w:spacing w:line="276" w:lineRule="auto"/>
              <w:jc w:val="both"/>
              <w:rPr>
                <w:rFonts w:ascii="Arial" w:hAnsi="Arial" w:cs="Arial"/>
                <w:sz w:val="22"/>
                <w:szCs w:val="22"/>
              </w:rPr>
            </w:pPr>
            <w:r>
              <w:rPr>
                <w:rFonts w:ascii="Arial" w:hAnsi="Arial" w:cs="Arial"/>
                <w:sz w:val="22"/>
                <w:szCs w:val="22"/>
              </w:rPr>
              <w:t>-</w:t>
            </w:r>
          </w:p>
        </w:tc>
      </w:tr>
    </w:tbl>
    <w:p w14:paraId="65DDB6CA" w14:textId="77777777" w:rsidR="00EA2748" w:rsidRPr="0007074B" w:rsidRDefault="00EA2748" w:rsidP="00C51B65">
      <w:pPr>
        <w:spacing w:line="276" w:lineRule="auto"/>
        <w:ind w:left="567"/>
        <w:jc w:val="both"/>
        <w:rPr>
          <w:rFonts w:ascii="Arial" w:eastAsia="Calibri" w:hAnsi="Arial" w:cs="Arial"/>
          <w:i/>
          <w:sz w:val="22"/>
          <w:szCs w:val="22"/>
        </w:rPr>
      </w:pPr>
    </w:p>
    <w:tbl>
      <w:tblPr>
        <w:tblStyle w:val="Mkatabulky"/>
        <w:tblW w:w="0" w:type="auto"/>
        <w:tblLook w:val="04A0" w:firstRow="1" w:lastRow="0" w:firstColumn="1" w:lastColumn="0" w:noHBand="0" w:noVBand="1"/>
      </w:tblPr>
      <w:tblGrid>
        <w:gridCol w:w="2802"/>
        <w:gridCol w:w="6486"/>
      </w:tblGrid>
      <w:tr w:rsidR="00EA2748" w:rsidRPr="00D332C0" w14:paraId="032F51E2" w14:textId="77777777" w:rsidTr="00B460D5">
        <w:tc>
          <w:tcPr>
            <w:tcW w:w="2802" w:type="dxa"/>
          </w:tcPr>
          <w:p w14:paraId="05BA3E6D" w14:textId="77777777" w:rsidR="00EA2748" w:rsidRPr="006D044F" w:rsidRDefault="00EA2748" w:rsidP="00C51B65">
            <w:pPr>
              <w:spacing w:line="276" w:lineRule="auto"/>
              <w:rPr>
                <w:rFonts w:ascii="Arial" w:hAnsi="Arial" w:cs="Arial"/>
                <w:color w:val="000000" w:themeColor="text1"/>
                <w:sz w:val="22"/>
                <w:szCs w:val="22"/>
              </w:rPr>
            </w:pPr>
            <w:r w:rsidRPr="006D044F">
              <w:rPr>
                <w:rFonts w:ascii="Arial" w:hAnsi="Arial" w:cs="Arial"/>
                <w:color w:val="000000" w:themeColor="text1"/>
                <w:sz w:val="22"/>
                <w:szCs w:val="22"/>
              </w:rPr>
              <w:t xml:space="preserve">Název a označení indikátoru: </w:t>
            </w:r>
          </w:p>
        </w:tc>
        <w:tc>
          <w:tcPr>
            <w:tcW w:w="6486" w:type="dxa"/>
          </w:tcPr>
          <w:p w14:paraId="54F9834F" w14:textId="77777777" w:rsidR="00EA2748" w:rsidRPr="006D044F" w:rsidRDefault="00176CCE" w:rsidP="00C51B65">
            <w:pPr>
              <w:spacing w:line="276" w:lineRule="auto"/>
              <w:rPr>
                <w:rFonts w:ascii="Arial" w:eastAsia="Arial" w:hAnsi="Arial" w:cs="Arial"/>
                <w:b/>
                <w:color w:val="000000" w:themeColor="text1"/>
                <w:sz w:val="22"/>
                <w:szCs w:val="22"/>
              </w:rPr>
            </w:pPr>
            <w:r>
              <w:rPr>
                <w:rFonts w:ascii="Arial" w:eastAsia="Calibri" w:hAnsi="Arial" w:cs="Arial"/>
                <w:b/>
                <w:color w:val="000000" w:themeColor="text1"/>
                <w:sz w:val="22"/>
                <w:szCs w:val="22"/>
              </w:rPr>
              <w:t>17</w:t>
            </w:r>
            <w:r w:rsidR="00EA2748" w:rsidRPr="006D044F">
              <w:rPr>
                <w:rFonts w:ascii="Arial" w:eastAsia="Calibri" w:hAnsi="Arial" w:cs="Arial"/>
                <w:b/>
                <w:color w:val="000000" w:themeColor="text1"/>
                <w:sz w:val="22"/>
                <w:szCs w:val="22"/>
              </w:rPr>
              <w:t>.2.2 Státní podpora malého a středního podnikání mimo hlavní aglomerace</w:t>
            </w:r>
            <w:r w:rsidR="00EA2748" w:rsidRPr="006D044F">
              <w:rPr>
                <w:rFonts w:ascii="Arial" w:eastAsia="Arial" w:hAnsi="Arial" w:cs="Arial"/>
                <w:b/>
                <w:color w:val="000000" w:themeColor="text1"/>
                <w:sz w:val="22"/>
                <w:szCs w:val="22"/>
              </w:rPr>
              <w:t xml:space="preserve"> </w:t>
            </w:r>
          </w:p>
        </w:tc>
      </w:tr>
      <w:tr w:rsidR="00EA2748" w:rsidRPr="00D332C0" w14:paraId="0BDEC449" w14:textId="77777777" w:rsidTr="00B460D5">
        <w:tc>
          <w:tcPr>
            <w:tcW w:w="2802" w:type="dxa"/>
          </w:tcPr>
          <w:p w14:paraId="4964F8F5" w14:textId="77777777" w:rsidR="00EA2748" w:rsidRPr="006D044F" w:rsidRDefault="00EA2748" w:rsidP="00C51B65">
            <w:pPr>
              <w:spacing w:line="276" w:lineRule="auto"/>
              <w:rPr>
                <w:rFonts w:ascii="Arial" w:hAnsi="Arial" w:cs="Arial"/>
                <w:color w:val="000000" w:themeColor="text1"/>
                <w:sz w:val="22"/>
                <w:szCs w:val="22"/>
              </w:rPr>
            </w:pPr>
            <w:r w:rsidRPr="006D044F">
              <w:rPr>
                <w:rFonts w:ascii="Arial" w:hAnsi="Arial" w:cs="Arial"/>
                <w:color w:val="000000" w:themeColor="text1"/>
                <w:sz w:val="22"/>
                <w:szCs w:val="22"/>
              </w:rPr>
              <w:t xml:space="preserve">Stručná definice: </w:t>
            </w:r>
          </w:p>
        </w:tc>
        <w:tc>
          <w:tcPr>
            <w:tcW w:w="6486" w:type="dxa"/>
          </w:tcPr>
          <w:p w14:paraId="41AFAF24" w14:textId="77777777" w:rsidR="00EA2748" w:rsidRPr="006D044F" w:rsidRDefault="00EA2748" w:rsidP="00D226B2">
            <w:pPr>
              <w:spacing w:line="276" w:lineRule="auto"/>
              <w:jc w:val="both"/>
              <w:rPr>
                <w:rFonts w:ascii="Arial" w:hAnsi="Arial" w:cs="Arial"/>
                <w:color w:val="000000" w:themeColor="text1"/>
                <w:sz w:val="22"/>
                <w:szCs w:val="22"/>
              </w:rPr>
            </w:pPr>
            <w:r w:rsidRPr="006D044F">
              <w:rPr>
                <w:rFonts w:ascii="Arial" w:hAnsi="Arial" w:cs="Arial"/>
                <w:color w:val="000000" w:themeColor="text1"/>
                <w:sz w:val="22"/>
                <w:szCs w:val="22"/>
              </w:rPr>
              <w:t>Součet finanční</w:t>
            </w:r>
            <w:r>
              <w:rPr>
                <w:rFonts w:ascii="Arial" w:hAnsi="Arial" w:cs="Arial"/>
                <w:color w:val="000000" w:themeColor="text1"/>
                <w:sz w:val="22"/>
                <w:szCs w:val="22"/>
              </w:rPr>
              <w:t>ch</w:t>
            </w:r>
            <w:r w:rsidRPr="006D044F">
              <w:rPr>
                <w:rFonts w:ascii="Arial" w:hAnsi="Arial" w:cs="Arial"/>
                <w:color w:val="000000" w:themeColor="text1"/>
                <w:sz w:val="22"/>
                <w:szCs w:val="22"/>
              </w:rPr>
              <w:t xml:space="preserve"> podpor určených na podporu malého a středního podnikání</w:t>
            </w:r>
          </w:p>
        </w:tc>
      </w:tr>
      <w:tr w:rsidR="00EA2748" w:rsidRPr="00D332C0" w14:paraId="55F6E85C" w14:textId="77777777" w:rsidTr="00B460D5">
        <w:tc>
          <w:tcPr>
            <w:tcW w:w="2802" w:type="dxa"/>
          </w:tcPr>
          <w:p w14:paraId="7C1CCD94" w14:textId="77777777" w:rsidR="00EA2748" w:rsidRPr="006D044F" w:rsidRDefault="00EA2748" w:rsidP="00C51B65">
            <w:pPr>
              <w:spacing w:line="276" w:lineRule="auto"/>
              <w:rPr>
                <w:rFonts w:ascii="Arial" w:hAnsi="Arial" w:cs="Arial"/>
                <w:color w:val="000000" w:themeColor="text1"/>
                <w:sz w:val="22"/>
                <w:szCs w:val="22"/>
              </w:rPr>
            </w:pPr>
            <w:r w:rsidRPr="006D044F">
              <w:rPr>
                <w:rFonts w:ascii="Arial" w:hAnsi="Arial" w:cs="Arial"/>
                <w:color w:val="000000" w:themeColor="text1"/>
                <w:sz w:val="22"/>
                <w:szCs w:val="22"/>
              </w:rPr>
              <w:t>Jednotka:</w:t>
            </w:r>
          </w:p>
        </w:tc>
        <w:tc>
          <w:tcPr>
            <w:tcW w:w="6486" w:type="dxa"/>
          </w:tcPr>
          <w:p w14:paraId="78079548" w14:textId="77777777" w:rsidR="00EA2748" w:rsidRPr="006D044F" w:rsidRDefault="00EA2748" w:rsidP="00D226B2">
            <w:pPr>
              <w:spacing w:line="276" w:lineRule="auto"/>
              <w:jc w:val="both"/>
              <w:rPr>
                <w:rFonts w:ascii="Arial" w:hAnsi="Arial" w:cs="Arial"/>
                <w:color w:val="000000" w:themeColor="text1"/>
                <w:sz w:val="22"/>
                <w:szCs w:val="22"/>
              </w:rPr>
            </w:pPr>
            <w:r w:rsidRPr="006D044F">
              <w:rPr>
                <w:rFonts w:ascii="Arial" w:hAnsi="Arial" w:cs="Arial"/>
                <w:color w:val="000000" w:themeColor="text1"/>
                <w:sz w:val="22"/>
                <w:szCs w:val="22"/>
              </w:rPr>
              <w:t>Kč</w:t>
            </w:r>
          </w:p>
        </w:tc>
      </w:tr>
      <w:tr w:rsidR="00EA2748" w:rsidRPr="00D332C0" w14:paraId="230D9654" w14:textId="77777777" w:rsidTr="00B460D5">
        <w:tc>
          <w:tcPr>
            <w:tcW w:w="2802" w:type="dxa"/>
          </w:tcPr>
          <w:p w14:paraId="7C3CFF57" w14:textId="77777777" w:rsidR="00EA2748" w:rsidRPr="006D044F" w:rsidRDefault="00EA2748" w:rsidP="00C51B65">
            <w:pPr>
              <w:spacing w:line="276" w:lineRule="auto"/>
              <w:rPr>
                <w:rFonts w:ascii="Arial" w:hAnsi="Arial" w:cs="Arial"/>
                <w:color w:val="000000" w:themeColor="text1"/>
                <w:sz w:val="22"/>
                <w:szCs w:val="22"/>
              </w:rPr>
            </w:pPr>
            <w:r w:rsidRPr="006D044F">
              <w:rPr>
                <w:rFonts w:ascii="Arial" w:hAnsi="Arial" w:cs="Arial"/>
                <w:color w:val="000000" w:themeColor="text1"/>
                <w:sz w:val="22"/>
                <w:szCs w:val="22"/>
              </w:rPr>
              <w:t xml:space="preserve">Gestor: </w:t>
            </w:r>
          </w:p>
        </w:tc>
        <w:tc>
          <w:tcPr>
            <w:tcW w:w="6486" w:type="dxa"/>
          </w:tcPr>
          <w:p w14:paraId="4B1C985A" w14:textId="77777777" w:rsidR="00EA2748" w:rsidRPr="006D044F" w:rsidRDefault="00EA2748" w:rsidP="00D226B2">
            <w:pPr>
              <w:spacing w:line="276" w:lineRule="auto"/>
              <w:jc w:val="both"/>
              <w:rPr>
                <w:rFonts w:ascii="Arial" w:hAnsi="Arial" w:cs="Arial"/>
                <w:color w:val="000000" w:themeColor="text1"/>
                <w:sz w:val="22"/>
                <w:szCs w:val="22"/>
              </w:rPr>
            </w:pPr>
            <w:r w:rsidRPr="006D044F">
              <w:rPr>
                <w:rFonts w:ascii="Arial" w:hAnsi="Arial" w:cs="Arial"/>
                <w:color w:val="000000" w:themeColor="text1"/>
                <w:sz w:val="22"/>
                <w:szCs w:val="22"/>
              </w:rPr>
              <w:t>M</w:t>
            </w:r>
            <w:r w:rsidR="00176CCE">
              <w:rPr>
                <w:rFonts w:ascii="Arial" w:hAnsi="Arial" w:cs="Arial"/>
                <w:color w:val="000000" w:themeColor="text1"/>
                <w:sz w:val="22"/>
                <w:szCs w:val="22"/>
              </w:rPr>
              <w:t xml:space="preserve">inisterstvo průmyslu a obchodu, Ministerstvo pro místní rozvoj, Ministerstvo zemědělství </w:t>
            </w:r>
          </w:p>
        </w:tc>
      </w:tr>
      <w:tr w:rsidR="00EA2748" w:rsidRPr="00D332C0" w14:paraId="593EB41B" w14:textId="77777777" w:rsidTr="00B460D5">
        <w:tc>
          <w:tcPr>
            <w:tcW w:w="2802" w:type="dxa"/>
          </w:tcPr>
          <w:p w14:paraId="5B4CE1FD" w14:textId="77777777" w:rsidR="00EA2748" w:rsidRPr="006D044F" w:rsidRDefault="00EA2748" w:rsidP="00C51B65">
            <w:pPr>
              <w:spacing w:line="276" w:lineRule="auto"/>
              <w:rPr>
                <w:rFonts w:ascii="Arial" w:hAnsi="Arial" w:cs="Arial"/>
                <w:color w:val="000000" w:themeColor="text1"/>
                <w:sz w:val="22"/>
                <w:szCs w:val="22"/>
              </w:rPr>
            </w:pPr>
            <w:r w:rsidRPr="006D044F">
              <w:rPr>
                <w:rFonts w:ascii="Arial" w:hAnsi="Arial" w:cs="Arial"/>
                <w:color w:val="000000" w:themeColor="text1"/>
                <w:sz w:val="22"/>
                <w:szCs w:val="22"/>
              </w:rPr>
              <w:t xml:space="preserve">Význam indikátoru: </w:t>
            </w:r>
          </w:p>
        </w:tc>
        <w:tc>
          <w:tcPr>
            <w:tcW w:w="6486" w:type="dxa"/>
          </w:tcPr>
          <w:p w14:paraId="2F86A012" w14:textId="77777777" w:rsidR="00EA2748" w:rsidRDefault="00EA2748" w:rsidP="00D226B2">
            <w:pPr>
              <w:spacing w:line="276" w:lineRule="auto"/>
              <w:jc w:val="both"/>
              <w:rPr>
                <w:rFonts w:ascii="Arial" w:hAnsi="Arial" w:cs="Arial"/>
                <w:color w:val="000000" w:themeColor="text1"/>
                <w:sz w:val="22"/>
                <w:szCs w:val="22"/>
              </w:rPr>
            </w:pPr>
            <w:r w:rsidRPr="006D044F">
              <w:rPr>
                <w:rFonts w:ascii="Arial" w:hAnsi="Arial" w:cs="Arial"/>
                <w:color w:val="000000" w:themeColor="text1"/>
                <w:sz w:val="22"/>
                <w:szCs w:val="22"/>
              </w:rPr>
              <w:t xml:space="preserve">Malé a střední podnikání představuje významnou součást každé vyspělé ekonomiky a je společensky důležité obzvláště z hlediska zaměstnanosti a ekonomického výkonu celé společnosti. </w:t>
            </w:r>
          </w:p>
          <w:p w14:paraId="5AB7A15D" w14:textId="77777777" w:rsidR="00176CCE" w:rsidRPr="006D044F" w:rsidRDefault="00176CCE" w:rsidP="00D226B2">
            <w:pPr>
              <w:spacing w:line="276" w:lineRule="auto"/>
              <w:jc w:val="both"/>
              <w:rPr>
                <w:rFonts w:ascii="Arial" w:hAnsi="Arial" w:cs="Arial"/>
                <w:color w:val="000000" w:themeColor="text1"/>
                <w:sz w:val="22"/>
                <w:szCs w:val="22"/>
              </w:rPr>
            </w:pPr>
          </w:p>
          <w:p w14:paraId="51B649EC" w14:textId="77777777" w:rsidR="00EA2748" w:rsidRPr="006D044F" w:rsidRDefault="00EA2748" w:rsidP="00D226B2">
            <w:pPr>
              <w:spacing w:line="276" w:lineRule="auto"/>
              <w:jc w:val="both"/>
              <w:rPr>
                <w:rFonts w:ascii="Arial" w:hAnsi="Arial" w:cs="Arial"/>
                <w:color w:val="000000" w:themeColor="text1"/>
                <w:sz w:val="22"/>
                <w:szCs w:val="22"/>
              </w:rPr>
            </w:pPr>
            <w:r w:rsidRPr="006D044F">
              <w:rPr>
                <w:rFonts w:ascii="Arial" w:hAnsi="Arial" w:cs="Arial"/>
                <w:color w:val="000000" w:themeColor="text1"/>
                <w:sz w:val="22"/>
                <w:szCs w:val="22"/>
              </w:rPr>
              <w:t>Indikátor je konstruován jako součet finanční podpory malého a středního podnikání sledovaný ve Zprávě o vývoji malého a středního podnikán</w:t>
            </w:r>
            <w:r>
              <w:rPr>
                <w:rFonts w:ascii="Arial" w:hAnsi="Arial" w:cs="Arial"/>
                <w:color w:val="000000" w:themeColor="text1"/>
                <w:sz w:val="22"/>
                <w:szCs w:val="22"/>
              </w:rPr>
              <w:t xml:space="preserve">í a jeho podpoře (MPO), Zprávě </w:t>
            </w:r>
            <w:r w:rsidRPr="006D044F">
              <w:rPr>
                <w:rFonts w:ascii="Arial" w:hAnsi="Arial" w:cs="Arial"/>
                <w:color w:val="000000" w:themeColor="text1"/>
                <w:sz w:val="22"/>
                <w:szCs w:val="22"/>
              </w:rPr>
              <w:t>o stavu zemědělství (</w:t>
            </w:r>
            <w:proofErr w:type="spellStart"/>
            <w:r w:rsidRPr="006D044F">
              <w:rPr>
                <w:rFonts w:ascii="Arial" w:hAnsi="Arial" w:cs="Arial"/>
                <w:color w:val="000000" w:themeColor="text1"/>
                <w:sz w:val="22"/>
                <w:szCs w:val="22"/>
              </w:rPr>
              <w:t>MZe</w:t>
            </w:r>
            <w:proofErr w:type="spellEnd"/>
            <w:r w:rsidRPr="006D044F">
              <w:rPr>
                <w:rFonts w:ascii="Arial" w:hAnsi="Arial" w:cs="Arial"/>
                <w:color w:val="000000" w:themeColor="text1"/>
                <w:sz w:val="22"/>
                <w:szCs w:val="22"/>
              </w:rPr>
              <w:t>)</w:t>
            </w:r>
            <w:r>
              <w:rPr>
                <w:rFonts w:ascii="Arial" w:hAnsi="Arial" w:cs="Arial"/>
                <w:color w:val="000000" w:themeColor="text1"/>
                <w:sz w:val="22"/>
                <w:szCs w:val="22"/>
              </w:rPr>
              <w:t xml:space="preserve"> </w:t>
            </w:r>
            <w:r w:rsidRPr="00093EB5">
              <w:rPr>
                <w:rFonts w:ascii="Arial" w:hAnsi="Arial" w:cs="Arial"/>
                <w:color w:val="000000" w:themeColor="text1"/>
                <w:sz w:val="22"/>
                <w:szCs w:val="22"/>
              </w:rPr>
              <w:t>a v oblasti ESIF v jednotném metodickém prostředí MS 2014+ (MMR)</w:t>
            </w:r>
            <w:r w:rsidRPr="006D044F">
              <w:rPr>
                <w:rFonts w:ascii="Arial" w:hAnsi="Arial" w:cs="Arial"/>
                <w:color w:val="000000" w:themeColor="text1"/>
                <w:sz w:val="22"/>
                <w:szCs w:val="22"/>
              </w:rPr>
              <w:t>. Indikátor nezohledňuje podporu malého a středního podnikání na úrovni krajů</w:t>
            </w:r>
            <w:r>
              <w:rPr>
                <w:rFonts w:ascii="Arial" w:hAnsi="Arial" w:cs="Arial"/>
                <w:color w:val="000000" w:themeColor="text1"/>
                <w:sz w:val="22"/>
                <w:szCs w:val="22"/>
              </w:rPr>
              <w:t xml:space="preserve"> obcí</w:t>
            </w:r>
            <w:r w:rsidRPr="006D044F">
              <w:rPr>
                <w:rFonts w:ascii="Arial" w:hAnsi="Arial" w:cs="Arial"/>
                <w:color w:val="000000" w:themeColor="text1"/>
                <w:sz w:val="22"/>
                <w:szCs w:val="22"/>
              </w:rPr>
              <w:t xml:space="preserve">, resp. krajských </w:t>
            </w:r>
            <w:r>
              <w:rPr>
                <w:rFonts w:ascii="Arial" w:hAnsi="Arial" w:cs="Arial"/>
                <w:color w:val="000000" w:themeColor="text1"/>
                <w:sz w:val="22"/>
                <w:szCs w:val="22"/>
              </w:rPr>
              <w:t xml:space="preserve">a obecních </w:t>
            </w:r>
            <w:r w:rsidRPr="006D044F">
              <w:rPr>
                <w:rFonts w:ascii="Arial" w:hAnsi="Arial" w:cs="Arial"/>
                <w:color w:val="000000" w:themeColor="text1"/>
                <w:sz w:val="22"/>
                <w:szCs w:val="22"/>
              </w:rPr>
              <w:t>úřadů.</w:t>
            </w:r>
          </w:p>
        </w:tc>
      </w:tr>
      <w:tr w:rsidR="00EA2748" w:rsidRPr="00D332C0" w14:paraId="74335B8E" w14:textId="77777777" w:rsidTr="00B460D5">
        <w:tc>
          <w:tcPr>
            <w:tcW w:w="2802" w:type="dxa"/>
          </w:tcPr>
          <w:p w14:paraId="559053B0" w14:textId="77777777" w:rsidR="00EA2748" w:rsidRPr="006D044F" w:rsidRDefault="00EA2748" w:rsidP="00C51B65">
            <w:pPr>
              <w:spacing w:line="276" w:lineRule="auto"/>
              <w:rPr>
                <w:rFonts w:ascii="Arial" w:hAnsi="Arial" w:cs="Arial"/>
                <w:color w:val="000000" w:themeColor="text1"/>
                <w:sz w:val="22"/>
                <w:szCs w:val="22"/>
              </w:rPr>
            </w:pPr>
            <w:r w:rsidRPr="006D044F">
              <w:rPr>
                <w:rFonts w:ascii="Arial" w:hAnsi="Arial" w:cs="Arial"/>
                <w:color w:val="000000" w:themeColor="text1"/>
                <w:sz w:val="22"/>
                <w:szCs w:val="22"/>
              </w:rPr>
              <w:t xml:space="preserve">Časová řada: </w:t>
            </w:r>
          </w:p>
        </w:tc>
        <w:tc>
          <w:tcPr>
            <w:tcW w:w="6486" w:type="dxa"/>
          </w:tcPr>
          <w:p w14:paraId="1CE765A6" w14:textId="77777777" w:rsidR="00EA2748" w:rsidRPr="006D044F" w:rsidRDefault="008009A0" w:rsidP="00D226B2">
            <w:pPr>
              <w:spacing w:line="276" w:lineRule="auto"/>
              <w:jc w:val="both"/>
              <w:rPr>
                <w:rFonts w:ascii="Arial" w:hAnsi="Arial" w:cs="Arial"/>
                <w:color w:val="000000" w:themeColor="text1"/>
                <w:sz w:val="22"/>
                <w:szCs w:val="22"/>
              </w:rPr>
            </w:pPr>
            <w:r>
              <w:rPr>
                <w:rFonts w:ascii="Arial" w:hAnsi="Arial" w:cs="Arial"/>
                <w:color w:val="000000" w:themeColor="text1"/>
                <w:sz w:val="22"/>
                <w:szCs w:val="22"/>
              </w:rPr>
              <w:t>Z</w:t>
            </w:r>
            <w:r w:rsidR="00EA2748" w:rsidRPr="006D044F">
              <w:rPr>
                <w:rFonts w:ascii="Arial" w:hAnsi="Arial" w:cs="Arial"/>
                <w:color w:val="000000" w:themeColor="text1"/>
                <w:sz w:val="22"/>
                <w:szCs w:val="22"/>
              </w:rPr>
              <w:t>atím neudržována</w:t>
            </w:r>
          </w:p>
        </w:tc>
      </w:tr>
      <w:tr w:rsidR="00EA2748" w:rsidRPr="00D332C0" w14:paraId="2466D0F7" w14:textId="77777777" w:rsidTr="00B460D5">
        <w:tc>
          <w:tcPr>
            <w:tcW w:w="2802" w:type="dxa"/>
          </w:tcPr>
          <w:p w14:paraId="714C5703" w14:textId="77777777" w:rsidR="00EA2748" w:rsidRPr="006D044F" w:rsidRDefault="00EA2748" w:rsidP="00C51B65">
            <w:pPr>
              <w:spacing w:line="276" w:lineRule="auto"/>
              <w:rPr>
                <w:rFonts w:ascii="Arial" w:hAnsi="Arial" w:cs="Arial"/>
                <w:color w:val="000000" w:themeColor="text1"/>
                <w:sz w:val="22"/>
                <w:szCs w:val="22"/>
              </w:rPr>
            </w:pPr>
            <w:r w:rsidRPr="006D044F">
              <w:rPr>
                <w:rFonts w:ascii="Arial" w:hAnsi="Arial" w:cs="Arial"/>
                <w:color w:val="000000" w:themeColor="text1"/>
                <w:sz w:val="22"/>
                <w:szCs w:val="22"/>
              </w:rPr>
              <w:t xml:space="preserve">Frekvence výstupu: </w:t>
            </w:r>
          </w:p>
        </w:tc>
        <w:tc>
          <w:tcPr>
            <w:tcW w:w="6486" w:type="dxa"/>
          </w:tcPr>
          <w:p w14:paraId="18B2F4D2" w14:textId="77777777" w:rsidR="00EA2748" w:rsidRPr="006D044F" w:rsidRDefault="00EA2748" w:rsidP="00D226B2">
            <w:pPr>
              <w:spacing w:line="276" w:lineRule="auto"/>
              <w:jc w:val="both"/>
              <w:rPr>
                <w:rFonts w:ascii="Arial" w:hAnsi="Arial" w:cs="Arial"/>
                <w:color w:val="000000" w:themeColor="text1"/>
                <w:sz w:val="22"/>
                <w:szCs w:val="22"/>
              </w:rPr>
            </w:pPr>
            <w:r w:rsidRPr="006D044F">
              <w:rPr>
                <w:rFonts w:ascii="Arial" w:hAnsi="Arial" w:cs="Arial"/>
                <w:color w:val="000000" w:themeColor="text1"/>
                <w:sz w:val="22"/>
                <w:szCs w:val="22"/>
              </w:rPr>
              <w:t>Jednou za dva roky (na základě každoroční Zprávy o vývoji malého a středního podnikání a jeho podpoře)</w:t>
            </w:r>
          </w:p>
        </w:tc>
      </w:tr>
      <w:tr w:rsidR="00EA2748" w:rsidRPr="00D332C0" w14:paraId="01D16DAD" w14:textId="77777777" w:rsidTr="00B460D5">
        <w:trPr>
          <w:trHeight w:val="70"/>
        </w:trPr>
        <w:tc>
          <w:tcPr>
            <w:tcW w:w="2802" w:type="dxa"/>
          </w:tcPr>
          <w:p w14:paraId="176B61CF" w14:textId="77777777" w:rsidR="00EA2748" w:rsidRPr="006D044F" w:rsidRDefault="00EA2748" w:rsidP="00C51B65">
            <w:pPr>
              <w:spacing w:line="276" w:lineRule="auto"/>
              <w:rPr>
                <w:rFonts w:ascii="Arial" w:hAnsi="Arial" w:cs="Arial"/>
                <w:color w:val="000000" w:themeColor="text1"/>
                <w:sz w:val="22"/>
                <w:szCs w:val="22"/>
              </w:rPr>
            </w:pPr>
            <w:r w:rsidRPr="006D044F">
              <w:rPr>
                <w:rFonts w:ascii="Arial" w:hAnsi="Arial" w:cs="Arial"/>
                <w:color w:val="000000" w:themeColor="text1"/>
                <w:sz w:val="22"/>
                <w:szCs w:val="22"/>
              </w:rPr>
              <w:t xml:space="preserve">Členění indikátoru: </w:t>
            </w:r>
          </w:p>
        </w:tc>
        <w:tc>
          <w:tcPr>
            <w:tcW w:w="6486" w:type="dxa"/>
          </w:tcPr>
          <w:p w14:paraId="0D940005" w14:textId="77777777" w:rsidR="00EA2748" w:rsidRPr="006D044F" w:rsidRDefault="008009A0" w:rsidP="00D226B2">
            <w:pPr>
              <w:spacing w:line="276" w:lineRule="auto"/>
              <w:jc w:val="both"/>
              <w:rPr>
                <w:rFonts w:ascii="Arial" w:hAnsi="Arial" w:cs="Arial"/>
                <w:color w:val="000000" w:themeColor="text1"/>
                <w:sz w:val="22"/>
                <w:szCs w:val="22"/>
              </w:rPr>
            </w:pPr>
            <w:r>
              <w:rPr>
                <w:rFonts w:ascii="Arial" w:hAnsi="Arial" w:cs="Arial"/>
                <w:color w:val="000000" w:themeColor="text1"/>
                <w:sz w:val="22"/>
                <w:szCs w:val="22"/>
              </w:rPr>
              <w:t>N</w:t>
            </w:r>
            <w:r w:rsidR="00EA2748" w:rsidRPr="006D044F">
              <w:rPr>
                <w:rFonts w:ascii="Arial" w:hAnsi="Arial" w:cs="Arial"/>
                <w:color w:val="000000" w:themeColor="text1"/>
                <w:sz w:val="22"/>
                <w:szCs w:val="22"/>
              </w:rPr>
              <w:t xml:space="preserve">árodní, </w:t>
            </w:r>
            <w:r w:rsidR="00EA2748">
              <w:rPr>
                <w:rFonts w:ascii="Arial" w:hAnsi="Arial" w:cs="Arial"/>
                <w:color w:val="000000" w:themeColor="text1"/>
                <w:sz w:val="22"/>
                <w:szCs w:val="22"/>
              </w:rPr>
              <w:t>kraje (</w:t>
            </w:r>
            <w:r w:rsidR="00EA2748" w:rsidRPr="006D044F">
              <w:rPr>
                <w:rFonts w:ascii="Arial" w:hAnsi="Arial" w:cs="Arial"/>
                <w:color w:val="000000" w:themeColor="text1"/>
                <w:sz w:val="22"/>
                <w:szCs w:val="22"/>
              </w:rPr>
              <w:t>NUTS III</w:t>
            </w:r>
            <w:r w:rsidR="00EA2748">
              <w:rPr>
                <w:rFonts w:ascii="Arial" w:hAnsi="Arial" w:cs="Arial"/>
                <w:color w:val="000000" w:themeColor="text1"/>
                <w:sz w:val="22"/>
                <w:szCs w:val="22"/>
              </w:rPr>
              <w:t>)</w:t>
            </w:r>
          </w:p>
        </w:tc>
      </w:tr>
      <w:tr w:rsidR="00EA2748" w:rsidRPr="00D332C0" w14:paraId="14CCABDD" w14:textId="77777777" w:rsidTr="00B460D5">
        <w:trPr>
          <w:trHeight w:val="70"/>
        </w:trPr>
        <w:tc>
          <w:tcPr>
            <w:tcW w:w="2802" w:type="dxa"/>
          </w:tcPr>
          <w:p w14:paraId="5A693F9E" w14:textId="77777777" w:rsidR="00EA2748" w:rsidRPr="006D044F" w:rsidRDefault="00EA2748" w:rsidP="00C51B65">
            <w:pPr>
              <w:spacing w:line="276" w:lineRule="auto"/>
              <w:rPr>
                <w:rFonts w:ascii="Arial" w:hAnsi="Arial" w:cs="Arial"/>
                <w:color w:val="000000" w:themeColor="text1"/>
                <w:sz w:val="22"/>
                <w:szCs w:val="22"/>
              </w:rPr>
            </w:pPr>
            <w:r w:rsidRPr="006D044F">
              <w:rPr>
                <w:rFonts w:ascii="Arial" w:hAnsi="Arial" w:cs="Arial"/>
                <w:color w:val="000000" w:themeColor="text1"/>
                <w:sz w:val="22"/>
                <w:szCs w:val="22"/>
              </w:rPr>
              <w:t>Mezinárodní srovnání:</w:t>
            </w:r>
          </w:p>
        </w:tc>
        <w:tc>
          <w:tcPr>
            <w:tcW w:w="6486" w:type="dxa"/>
          </w:tcPr>
          <w:p w14:paraId="12BA6BF7" w14:textId="77777777" w:rsidR="00EA2748" w:rsidRPr="006D044F" w:rsidRDefault="00176CCE" w:rsidP="00C51B65">
            <w:pPr>
              <w:spacing w:line="276" w:lineRule="auto"/>
              <w:rPr>
                <w:rFonts w:ascii="Arial" w:hAnsi="Arial" w:cs="Arial"/>
                <w:color w:val="000000" w:themeColor="text1"/>
                <w:sz w:val="22"/>
                <w:szCs w:val="22"/>
              </w:rPr>
            </w:pPr>
            <w:r>
              <w:rPr>
                <w:rFonts w:ascii="Arial" w:hAnsi="Arial" w:cs="Arial"/>
                <w:color w:val="000000" w:themeColor="text1"/>
                <w:sz w:val="22"/>
                <w:szCs w:val="22"/>
              </w:rPr>
              <w:t>-</w:t>
            </w:r>
          </w:p>
        </w:tc>
      </w:tr>
    </w:tbl>
    <w:p w14:paraId="0AE9FB8E" w14:textId="77777777" w:rsidR="00176CCE" w:rsidRPr="00176CCE" w:rsidRDefault="00176CCE" w:rsidP="00D226B2">
      <w:pPr>
        <w:pStyle w:val="r2030podcle"/>
        <w:numPr>
          <w:ilvl w:val="1"/>
          <w:numId w:val="17"/>
        </w:numPr>
        <w:ind w:left="567" w:hanging="425"/>
      </w:pPr>
      <w:r w:rsidRPr="00176CCE">
        <w:t xml:space="preserve">Jsou podporovány různorodé formy bydlení, především dostupné nájemní bydlení pro všechny segmenty společnosti. </w:t>
      </w:r>
    </w:p>
    <w:tbl>
      <w:tblPr>
        <w:tblStyle w:val="Mkatabulky"/>
        <w:tblW w:w="0" w:type="auto"/>
        <w:tblLook w:val="04A0" w:firstRow="1" w:lastRow="0" w:firstColumn="1" w:lastColumn="0" w:noHBand="0" w:noVBand="1"/>
      </w:tblPr>
      <w:tblGrid>
        <w:gridCol w:w="2802"/>
        <w:gridCol w:w="6486"/>
      </w:tblGrid>
      <w:tr w:rsidR="00EA2748" w:rsidRPr="0007074B" w14:paraId="25897809" w14:textId="77777777" w:rsidTr="00B460D5">
        <w:tc>
          <w:tcPr>
            <w:tcW w:w="2802" w:type="dxa"/>
          </w:tcPr>
          <w:p w14:paraId="4D6427E3"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Název a označení indikátoru: </w:t>
            </w:r>
          </w:p>
        </w:tc>
        <w:tc>
          <w:tcPr>
            <w:tcW w:w="6486" w:type="dxa"/>
          </w:tcPr>
          <w:p w14:paraId="165B1D3D" w14:textId="0834E2F9" w:rsidR="00EA2748" w:rsidRPr="00375C6C" w:rsidRDefault="00176CCE" w:rsidP="00C51B65">
            <w:pPr>
              <w:spacing w:line="276" w:lineRule="auto"/>
              <w:rPr>
                <w:rFonts w:ascii="Arial" w:eastAsia="Arial" w:hAnsi="Arial" w:cs="Arial"/>
                <w:b/>
                <w:color w:val="000000"/>
                <w:sz w:val="22"/>
                <w:szCs w:val="22"/>
              </w:rPr>
            </w:pPr>
            <w:r>
              <w:rPr>
                <w:rFonts w:ascii="Arial" w:eastAsia="Arial" w:hAnsi="Arial" w:cs="Arial"/>
                <w:b/>
                <w:color w:val="000000"/>
                <w:sz w:val="22"/>
                <w:szCs w:val="22"/>
              </w:rPr>
              <w:t>17</w:t>
            </w:r>
            <w:r w:rsidR="00EA2748" w:rsidRPr="00375C6C">
              <w:rPr>
                <w:rFonts w:ascii="Arial" w:eastAsia="Arial" w:hAnsi="Arial" w:cs="Arial"/>
                <w:b/>
                <w:color w:val="000000"/>
                <w:sz w:val="22"/>
                <w:szCs w:val="22"/>
              </w:rPr>
              <w:t xml:space="preserve">.3.1 Medián podílu celkových výdajů na bydlení na disponibilním příjmu domácnosti (vše po odečtení </w:t>
            </w:r>
            <w:r w:rsidR="00AB3C1D">
              <w:rPr>
                <w:rFonts w:ascii="Arial" w:eastAsia="Arial" w:hAnsi="Arial" w:cs="Arial"/>
                <w:b/>
                <w:color w:val="000000"/>
                <w:sz w:val="22"/>
                <w:szCs w:val="22"/>
              </w:rPr>
              <w:t>příspěvku</w:t>
            </w:r>
            <w:r w:rsidR="00EA2748" w:rsidRPr="00375C6C">
              <w:rPr>
                <w:rFonts w:ascii="Arial" w:eastAsia="Arial" w:hAnsi="Arial" w:cs="Arial"/>
                <w:b/>
                <w:color w:val="000000"/>
                <w:sz w:val="22"/>
                <w:szCs w:val="22"/>
              </w:rPr>
              <w:t xml:space="preserve"> na bydlení)</w:t>
            </w:r>
          </w:p>
          <w:p w14:paraId="407D649B" w14:textId="77777777" w:rsidR="00EA2748" w:rsidRPr="00375C6C" w:rsidRDefault="00EA2748" w:rsidP="00C51B65">
            <w:pPr>
              <w:spacing w:line="276" w:lineRule="auto"/>
              <w:rPr>
                <w:rFonts w:ascii="Arial" w:eastAsia="Arial" w:hAnsi="Arial" w:cs="Arial"/>
                <w:b/>
                <w:color w:val="000000"/>
                <w:sz w:val="22"/>
                <w:szCs w:val="22"/>
              </w:rPr>
            </w:pPr>
          </w:p>
        </w:tc>
      </w:tr>
      <w:tr w:rsidR="00EA2748" w:rsidRPr="0007074B" w14:paraId="45BE5F54" w14:textId="77777777" w:rsidTr="00B460D5">
        <w:tc>
          <w:tcPr>
            <w:tcW w:w="2802" w:type="dxa"/>
          </w:tcPr>
          <w:p w14:paraId="25CEB010"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Stručná definice: </w:t>
            </w:r>
          </w:p>
        </w:tc>
        <w:tc>
          <w:tcPr>
            <w:tcW w:w="6486" w:type="dxa"/>
          </w:tcPr>
          <w:p w14:paraId="05451189" w14:textId="6FF42E6A" w:rsidR="00EA2748" w:rsidRPr="00375C6C" w:rsidRDefault="00EA2748" w:rsidP="00D226B2">
            <w:pPr>
              <w:spacing w:line="276" w:lineRule="auto"/>
              <w:jc w:val="both"/>
              <w:rPr>
                <w:rFonts w:ascii="Arial" w:hAnsi="Arial" w:cs="Arial"/>
                <w:sz w:val="22"/>
                <w:szCs w:val="22"/>
              </w:rPr>
            </w:pPr>
            <w:r w:rsidRPr="00375C6C">
              <w:rPr>
                <w:rFonts w:ascii="Arial" w:eastAsia="Arial" w:hAnsi="Arial" w:cs="Arial"/>
                <w:color w:val="000000"/>
                <w:sz w:val="22"/>
                <w:szCs w:val="22"/>
              </w:rPr>
              <w:t xml:space="preserve">Medián podílu celkových výdajů domácnosti na bydlení na disponibilním příjmu domácnosti (vše po odečtení </w:t>
            </w:r>
            <w:r w:rsidR="005C4061">
              <w:rPr>
                <w:rFonts w:ascii="Arial" w:eastAsia="Arial" w:hAnsi="Arial" w:cs="Arial"/>
                <w:color w:val="000000"/>
                <w:sz w:val="22"/>
                <w:szCs w:val="22"/>
              </w:rPr>
              <w:t>doplatku</w:t>
            </w:r>
            <w:r w:rsidRPr="00375C6C">
              <w:rPr>
                <w:rFonts w:ascii="Arial" w:eastAsia="Arial" w:hAnsi="Arial" w:cs="Arial"/>
                <w:color w:val="000000"/>
                <w:sz w:val="22"/>
                <w:szCs w:val="22"/>
              </w:rPr>
              <w:t xml:space="preserve"> na bydlení) – medián je prostřední hodnota, tedy hodnota tohoto podílu pro prostřední z domácností seřazených podle výše uvedeného podílu</w:t>
            </w:r>
          </w:p>
        </w:tc>
      </w:tr>
      <w:tr w:rsidR="00EA2748" w:rsidRPr="0007074B" w14:paraId="4BCA34B3" w14:textId="77777777" w:rsidTr="00B460D5">
        <w:tc>
          <w:tcPr>
            <w:tcW w:w="2802" w:type="dxa"/>
          </w:tcPr>
          <w:p w14:paraId="335BF9F3"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Jednotka:</w:t>
            </w:r>
          </w:p>
        </w:tc>
        <w:tc>
          <w:tcPr>
            <w:tcW w:w="6486" w:type="dxa"/>
          </w:tcPr>
          <w:p w14:paraId="6A90B059" w14:textId="77777777" w:rsidR="00EA2748" w:rsidRPr="00375C6C" w:rsidRDefault="008009A0" w:rsidP="00D226B2">
            <w:pPr>
              <w:spacing w:line="276" w:lineRule="auto"/>
              <w:jc w:val="both"/>
              <w:rPr>
                <w:rFonts w:ascii="Arial" w:hAnsi="Arial" w:cs="Arial"/>
                <w:sz w:val="22"/>
                <w:szCs w:val="22"/>
              </w:rPr>
            </w:pPr>
            <w:r>
              <w:rPr>
                <w:rFonts w:ascii="Arial" w:hAnsi="Arial" w:cs="Arial"/>
                <w:sz w:val="22"/>
                <w:szCs w:val="22"/>
              </w:rPr>
              <w:t xml:space="preserve">Podíl (v </w:t>
            </w:r>
            <w:r w:rsidR="00EA2748" w:rsidRPr="00375C6C">
              <w:rPr>
                <w:rFonts w:ascii="Arial" w:hAnsi="Arial" w:cs="Arial"/>
                <w:sz w:val="22"/>
                <w:szCs w:val="22"/>
              </w:rPr>
              <w:t>%</w:t>
            </w:r>
            <w:r>
              <w:rPr>
                <w:rFonts w:ascii="Arial" w:hAnsi="Arial" w:cs="Arial"/>
                <w:sz w:val="22"/>
                <w:szCs w:val="22"/>
              </w:rPr>
              <w:t>)</w:t>
            </w:r>
          </w:p>
        </w:tc>
      </w:tr>
      <w:tr w:rsidR="00EA2748" w:rsidRPr="0007074B" w14:paraId="56341404" w14:textId="77777777" w:rsidTr="00B460D5">
        <w:tc>
          <w:tcPr>
            <w:tcW w:w="2802" w:type="dxa"/>
          </w:tcPr>
          <w:p w14:paraId="2754A639"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Gestor: </w:t>
            </w:r>
          </w:p>
        </w:tc>
        <w:tc>
          <w:tcPr>
            <w:tcW w:w="6486" w:type="dxa"/>
          </w:tcPr>
          <w:p w14:paraId="7579A176" w14:textId="77777777" w:rsidR="00EA2748" w:rsidRPr="00375C6C" w:rsidRDefault="008009A0" w:rsidP="00D226B2">
            <w:pPr>
              <w:spacing w:line="276" w:lineRule="auto"/>
              <w:jc w:val="both"/>
              <w:rPr>
                <w:rFonts w:ascii="Arial" w:hAnsi="Arial" w:cs="Arial"/>
                <w:sz w:val="22"/>
                <w:szCs w:val="22"/>
              </w:rPr>
            </w:pPr>
            <w:r>
              <w:rPr>
                <w:rFonts w:ascii="Arial" w:hAnsi="Arial" w:cs="Arial"/>
                <w:sz w:val="22"/>
                <w:szCs w:val="22"/>
              </w:rPr>
              <w:t>Český statistický úřad</w:t>
            </w:r>
            <w:r w:rsidR="00EA2748" w:rsidRPr="00375C6C">
              <w:rPr>
                <w:rFonts w:ascii="Arial" w:hAnsi="Arial" w:cs="Arial"/>
                <w:sz w:val="22"/>
                <w:szCs w:val="22"/>
              </w:rPr>
              <w:t xml:space="preserve"> (SILC)</w:t>
            </w:r>
          </w:p>
        </w:tc>
      </w:tr>
      <w:tr w:rsidR="00EA2748" w:rsidRPr="0007074B" w14:paraId="2C526AA6" w14:textId="77777777" w:rsidTr="00B460D5">
        <w:tc>
          <w:tcPr>
            <w:tcW w:w="2802" w:type="dxa"/>
          </w:tcPr>
          <w:p w14:paraId="26F0C9E0"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Význam indikátoru: </w:t>
            </w:r>
          </w:p>
        </w:tc>
        <w:tc>
          <w:tcPr>
            <w:tcW w:w="6486" w:type="dxa"/>
          </w:tcPr>
          <w:p w14:paraId="7E7D69D7" w14:textId="77777777" w:rsidR="00EA2748" w:rsidRPr="00375C6C" w:rsidRDefault="00EA2748" w:rsidP="00D226B2">
            <w:pPr>
              <w:spacing w:line="276" w:lineRule="auto"/>
              <w:jc w:val="both"/>
              <w:rPr>
                <w:rFonts w:ascii="Arial" w:hAnsi="Arial" w:cs="Arial"/>
                <w:sz w:val="22"/>
                <w:szCs w:val="22"/>
              </w:rPr>
            </w:pPr>
            <w:r w:rsidRPr="00375C6C">
              <w:rPr>
                <w:rFonts w:ascii="Arial" w:hAnsi="Arial" w:cs="Arial"/>
                <w:sz w:val="22"/>
                <w:szCs w:val="22"/>
              </w:rPr>
              <w:t>Charakteristika zatížení domácností náklady na bydlení</w:t>
            </w:r>
          </w:p>
        </w:tc>
      </w:tr>
      <w:tr w:rsidR="00EA2748" w:rsidRPr="0007074B" w14:paraId="6221F420" w14:textId="77777777" w:rsidTr="00B460D5">
        <w:tc>
          <w:tcPr>
            <w:tcW w:w="2802" w:type="dxa"/>
          </w:tcPr>
          <w:p w14:paraId="70D21A6C"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lastRenderedPageBreak/>
              <w:t xml:space="preserve">Časová řada: </w:t>
            </w:r>
          </w:p>
        </w:tc>
        <w:tc>
          <w:tcPr>
            <w:tcW w:w="6486" w:type="dxa"/>
          </w:tcPr>
          <w:p w14:paraId="474CA34F" w14:textId="77777777" w:rsidR="00EA2748" w:rsidRPr="00375C6C" w:rsidRDefault="007251DD" w:rsidP="00D226B2">
            <w:pPr>
              <w:spacing w:line="276" w:lineRule="auto"/>
              <w:jc w:val="both"/>
              <w:rPr>
                <w:rFonts w:ascii="Arial" w:hAnsi="Arial" w:cs="Arial"/>
                <w:sz w:val="22"/>
                <w:szCs w:val="22"/>
              </w:rPr>
            </w:pPr>
            <w:r>
              <w:rPr>
                <w:rFonts w:ascii="Arial" w:hAnsi="Arial" w:cs="Arial"/>
                <w:sz w:val="22"/>
                <w:szCs w:val="22"/>
              </w:rPr>
              <w:t>-</w:t>
            </w:r>
          </w:p>
        </w:tc>
      </w:tr>
      <w:tr w:rsidR="00EA2748" w:rsidRPr="0007074B" w14:paraId="368D335C" w14:textId="77777777" w:rsidTr="00B460D5">
        <w:tc>
          <w:tcPr>
            <w:tcW w:w="2802" w:type="dxa"/>
          </w:tcPr>
          <w:p w14:paraId="4B9F5514"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Frekvence výstupu: </w:t>
            </w:r>
          </w:p>
        </w:tc>
        <w:tc>
          <w:tcPr>
            <w:tcW w:w="6486" w:type="dxa"/>
          </w:tcPr>
          <w:p w14:paraId="3A8FB7DC" w14:textId="6E10CF98" w:rsidR="00EA2748" w:rsidRPr="00375C6C" w:rsidRDefault="00146D1C" w:rsidP="00D226B2">
            <w:pPr>
              <w:spacing w:line="276" w:lineRule="auto"/>
              <w:jc w:val="both"/>
              <w:rPr>
                <w:rFonts w:ascii="Arial" w:hAnsi="Arial" w:cs="Arial"/>
                <w:sz w:val="22"/>
                <w:szCs w:val="22"/>
              </w:rPr>
            </w:pPr>
            <w:r>
              <w:rPr>
                <w:rFonts w:ascii="Arial" w:hAnsi="Arial" w:cs="Arial"/>
                <w:sz w:val="22"/>
                <w:szCs w:val="22"/>
              </w:rPr>
              <w:t xml:space="preserve">Jednou </w:t>
            </w:r>
            <w:r w:rsidR="00EA2748" w:rsidRPr="00375C6C">
              <w:rPr>
                <w:rFonts w:ascii="Arial" w:hAnsi="Arial" w:cs="Arial"/>
                <w:sz w:val="22"/>
                <w:szCs w:val="22"/>
              </w:rPr>
              <w:t>ročně buď z ročních částek, nebo průměrných měsíčních částek</w:t>
            </w:r>
          </w:p>
        </w:tc>
      </w:tr>
      <w:tr w:rsidR="00EA2748" w:rsidRPr="0007074B" w14:paraId="5592DEAC" w14:textId="77777777" w:rsidTr="00B460D5">
        <w:trPr>
          <w:trHeight w:val="132"/>
        </w:trPr>
        <w:tc>
          <w:tcPr>
            <w:tcW w:w="2802" w:type="dxa"/>
          </w:tcPr>
          <w:p w14:paraId="61F8325A"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Členění indikátoru: </w:t>
            </w:r>
          </w:p>
        </w:tc>
        <w:tc>
          <w:tcPr>
            <w:tcW w:w="6486" w:type="dxa"/>
          </w:tcPr>
          <w:p w14:paraId="09B0900C" w14:textId="2B2896FA" w:rsidR="00EA2748" w:rsidRPr="00375C6C" w:rsidRDefault="00744A4F" w:rsidP="00D226B2">
            <w:pPr>
              <w:spacing w:line="276" w:lineRule="auto"/>
              <w:jc w:val="both"/>
              <w:rPr>
                <w:rFonts w:ascii="Arial" w:hAnsi="Arial" w:cs="Arial"/>
                <w:sz w:val="22"/>
                <w:szCs w:val="22"/>
              </w:rPr>
            </w:pPr>
            <w:r>
              <w:rPr>
                <w:rFonts w:ascii="Arial" w:hAnsi="Arial" w:cs="Arial"/>
                <w:sz w:val="22"/>
                <w:szCs w:val="22"/>
              </w:rPr>
              <w:t>Celostátně, dle krajů</w:t>
            </w:r>
          </w:p>
        </w:tc>
      </w:tr>
      <w:tr w:rsidR="00EA2748" w:rsidRPr="0007074B" w14:paraId="16D28301" w14:textId="77777777" w:rsidTr="00B460D5">
        <w:trPr>
          <w:trHeight w:val="70"/>
        </w:trPr>
        <w:tc>
          <w:tcPr>
            <w:tcW w:w="2802" w:type="dxa"/>
          </w:tcPr>
          <w:p w14:paraId="7E753CCE"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Mezinárodní srovnání:</w:t>
            </w:r>
          </w:p>
        </w:tc>
        <w:tc>
          <w:tcPr>
            <w:tcW w:w="6486" w:type="dxa"/>
          </w:tcPr>
          <w:p w14:paraId="72AAA03F" w14:textId="77777777" w:rsidR="00EA2748" w:rsidRPr="00375C6C" w:rsidRDefault="00EA2748" w:rsidP="00D226B2">
            <w:pPr>
              <w:spacing w:line="276" w:lineRule="auto"/>
              <w:jc w:val="both"/>
              <w:rPr>
                <w:rFonts w:ascii="Arial" w:hAnsi="Arial" w:cs="Arial"/>
                <w:sz w:val="22"/>
                <w:szCs w:val="22"/>
              </w:rPr>
            </w:pPr>
            <w:proofErr w:type="spellStart"/>
            <w:r w:rsidRPr="006F0E12">
              <w:rPr>
                <w:rFonts w:ascii="Arial" w:hAnsi="Arial" w:cs="Arial"/>
                <w:sz w:val="22"/>
                <w:szCs w:val="22"/>
              </w:rPr>
              <w:t>Eurostatem</w:t>
            </w:r>
            <w:proofErr w:type="spellEnd"/>
            <w:r w:rsidRPr="006F0E12">
              <w:rPr>
                <w:rFonts w:ascii="Arial" w:hAnsi="Arial" w:cs="Arial"/>
                <w:sz w:val="22"/>
                <w:szCs w:val="22"/>
              </w:rPr>
              <w:t xml:space="preserve"> není v této podobě běžně publikováno, k dispozici pouze z národních dat za ČR.</w:t>
            </w:r>
          </w:p>
        </w:tc>
      </w:tr>
    </w:tbl>
    <w:p w14:paraId="24F8896B" w14:textId="77777777" w:rsidR="00EA2748" w:rsidRPr="0007074B" w:rsidRDefault="00EA2748" w:rsidP="00C51B65">
      <w:pPr>
        <w:spacing w:line="276" w:lineRule="auto"/>
        <w:ind w:left="567"/>
        <w:jc w:val="both"/>
        <w:rPr>
          <w:rFonts w:ascii="Arial" w:eastAsia="Calibri" w:hAnsi="Arial" w:cs="Arial"/>
          <w:i/>
          <w:sz w:val="22"/>
          <w:szCs w:val="22"/>
        </w:rPr>
      </w:pPr>
    </w:p>
    <w:tbl>
      <w:tblPr>
        <w:tblStyle w:val="Mkatabulky"/>
        <w:tblW w:w="0" w:type="auto"/>
        <w:tblLook w:val="04A0" w:firstRow="1" w:lastRow="0" w:firstColumn="1" w:lastColumn="0" w:noHBand="0" w:noVBand="1"/>
      </w:tblPr>
      <w:tblGrid>
        <w:gridCol w:w="2802"/>
        <w:gridCol w:w="6486"/>
      </w:tblGrid>
      <w:tr w:rsidR="00EA2748" w:rsidRPr="0007074B" w14:paraId="762B2A61" w14:textId="77777777" w:rsidTr="00B460D5">
        <w:tc>
          <w:tcPr>
            <w:tcW w:w="2802" w:type="dxa"/>
          </w:tcPr>
          <w:p w14:paraId="6DBC8F5B"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Název a označení indikátoru: </w:t>
            </w:r>
          </w:p>
        </w:tc>
        <w:tc>
          <w:tcPr>
            <w:tcW w:w="6486" w:type="dxa"/>
          </w:tcPr>
          <w:p w14:paraId="75D48CD1" w14:textId="77777777" w:rsidR="00EA2748" w:rsidRPr="00375C6C" w:rsidRDefault="008A57D7" w:rsidP="00C51B65">
            <w:pPr>
              <w:spacing w:line="276" w:lineRule="auto"/>
              <w:rPr>
                <w:rFonts w:ascii="Arial" w:hAnsi="Arial" w:cs="Arial"/>
                <w:b/>
                <w:sz w:val="22"/>
                <w:szCs w:val="22"/>
              </w:rPr>
            </w:pPr>
            <w:r>
              <w:rPr>
                <w:rFonts w:ascii="Arial" w:hAnsi="Arial" w:cs="Arial"/>
                <w:b/>
                <w:sz w:val="22"/>
                <w:szCs w:val="22"/>
              </w:rPr>
              <w:t>17</w:t>
            </w:r>
            <w:r w:rsidR="00EA2748" w:rsidRPr="00375C6C">
              <w:rPr>
                <w:rFonts w:ascii="Arial" w:hAnsi="Arial" w:cs="Arial"/>
                <w:b/>
                <w:sz w:val="22"/>
                <w:szCs w:val="22"/>
              </w:rPr>
              <w:t>.3.2 Podíl nájemního bydlení na obydlených bytech</w:t>
            </w:r>
          </w:p>
        </w:tc>
      </w:tr>
      <w:tr w:rsidR="00EA2748" w:rsidRPr="0007074B" w14:paraId="3BA389F1" w14:textId="77777777" w:rsidTr="00B460D5">
        <w:tc>
          <w:tcPr>
            <w:tcW w:w="2802" w:type="dxa"/>
          </w:tcPr>
          <w:p w14:paraId="7105C033"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Stručná definice: </w:t>
            </w:r>
          </w:p>
        </w:tc>
        <w:tc>
          <w:tcPr>
            <w:tcW w:w="6486" w:type="dxa"/>
          </w:tcPr>
          <w:p w14:paraId="04AB5333" w14:textId="77777777" w:rsidR="00EA2748" w:rsidRPr="00375C6C" w:rsidRDefault="00EA2748" w:rsidP="00C516EA">
            <w:pPr>
              <w:spacing w:line="276" w:lineRule="auto"/>
              <w:jc w:val="both"/>
              <w:rPr>
                <w:rFonts w:ascii="Arial" w:hAnsi="Arial" w:cs="Arial"/>
                <w:sz w:val="22"/>
                <w:szCs w:val="22"/>
              </w:rPr>
            </w:pPr>
            <w:r w:rsidRPr="00375C6C">
              <w:rPr>
                <w:rFonts w:ascii="Arial" w:hAnsi="Arial" w:cs="Arial"/>
                <w:sz w:val="22"/>
                <w:szCs w:val="22"/>
              </w:rPr>
              <w:t>Podíl bytů užívaných nájemním právem z celkového počtu obydlených bytů</w:t>
            </w:r>
          </w:p>
        </w:tc>
      </w:tr>
      <w:tr w:rsidR="00EA2748" w:rsidRPr="0007074B" w14:paraId="56F03C39" w14:textId="77777777" w:rsidTr="00B460D5">
        <w:tc>
          <w:tcPr>
            <w:tcW w:w="2802" w:type="dxa"/>
          </w:tcPr>
          <w:p w14:paraId="0BEFC828"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Jednotka:</w:t>
            </w:r>
          </w:p>
        </w:tc>
        <w:tc>
          <w:tcPr>
            <w:tcW w:w="6486" w:type="dxa"/>
          </w:tcPr>
          <w:p w14:paraId="08DE65B3" w14:textId="77777777" w:rsidR="00EA2748" w:rsidRPr="00375C6C" w:rsidRDefault="008A57D7" w:rsidP="00C516EA">
            <w:pPr>
              <w:spacing w:line="276" w:lineRule="auto"/>
              <w:jc w:val="both"/>
              <w:rPr>
                <w:rFonts w:ascii="Arial" w:hAnsi="Arial" w:cs="Arial"/>
                <w:sz w:val="22"/>
                <w:szCs w:val="22"/>
              </w:rPr>
            </w:pPr>
            <w:r>
              <w:rPr>
                <w:rFonts w:ascii="Arial" w:hAnsi="Arial" w:cs="Arial"/>
                <w:sz w:val="22"/>
                <w:szCs w:val="22"/>
              </w:rPr>
              <w:t xml:space="preserve">Podíl (v </w:t>
            </w:r>
            <w:r w:rsidR="00EA2748">
              <w:rPr>
                <w:rFonts w:ascii="Arial" w:hAnsi="Arial" w:cs="Arial"/>
                <w:sz w:val="22"/>
                <w:szCs w:val="22"/>
              </w:rPr>
              <w:t>%</w:t>
            </w:r>
            <w:r>
              <w:rPr>
                <w:rFonts w:ascii="Arial" w:hAnsi="Arial" w:cs="Arial"/>
                <w:sz w:val="22"/>
                <w:szCs w:val="22"/>
              </w:rPr>
              <w:t>)</w:t>
            </w:r>
          </w:p>
        </w:tc>
      </w:tr>
      <w:tr w:rsidR="00EA2748" w:rsidRPr="0007074B" w14:paraId="4F55D5E5" w14:textId="77777777" w:rsidTr="00B460D5">
        <w:tc>
          <w:tcPr>
            <w:tcW w:w="2802" w:type="dxa"/>
          </w:tcPr>
          <w:p w14:paraId="59433963"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Gestor: </w:t>
            </w:r>
          </w:p>
        </w:tc>
        <w:tc>
          <w:tcPr>
            <w:tcW w:w="6486" w:type="dxa"/>
          </w:tcPr>
          <w:p w14:paraId="02FD6D46" w14:textId="77777777" w:rsidR="00EA2748" w:rsidRPr="00375C6C" w:rsidRDefault="008A57D7" w:rsidP="00C516EA">
            <w:pPr>
              <w:spacing w:line="276" w:lineRule="auto"/>
              <w:jc w:val="both"/>
              <w:rPr>
                <w:rFonts w:ascii="Arial" w:hAnsi="Arial" w:cs="Arial"/>
                <w:sz w:val="22"/>
                <w:szCs w:val="22"/>
              </w:rPr>
            </w:pPr>
            <w:r>
              <w:rPr>
                <w:rFonts w:ascii="Arial" w:hAnsi="Arial" w:cs="Arial"/>
                <w:sz w:val="22"/>
                <w:szCs w:val="22"/>
              </w:rPr>
              <w:t>Český statistický úřad</w:t>
            </w:r>
          </w:p>
        </w:tc>
      </w:tr>
      <w:tr w:rsidR="00EA2748" w:rsidRPr="0007074B" w14:paraId="45F405DF" w14:textId="77777777" w:rsidTr="00B460D5">
        <w:tc>
          <w:tcPr>
            <w:tcW w:w="2802" w:type="dxa"/>
          </w:tcPr>
          <w:p w14:paraId="2AFB8644"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Význam indikátoru: </w:t>
            </w:r>
          </w:p>
        </w:tc>
        <w:tc>
          <w:tcPr>
            <w:tcW w:w="6486" w:type="dxa"/>
          </w:tcPr>
          <w:p w14:paraId="0E5AA18B" w14:textId="77777777" w:rsidR="00EA2748" w:rsidRPr="00375C6C" w:rsidRDefault="00EA2748" w:rsidP="00C516EA">
            <w:pPr>
              <w:spacing w:line="276" w:lineRule="auto"/>
              <w:jc w:val="both"/>
              <w:rPr>
                <w:rFonts w:ascii="Arial" w:hAnsi="Arial" w:cs="Arial"/>
                <w:sz w:val="22"/>
                <w:szCs w:val="22"/>
              </w:rPr>
            </w:pPr>
            <w:r w:rsidRPr="00375C6C">
              <w:rPr>
                <w:rFonts w:ascii="Arial" w:hAnsi="Arial" w:cs="Arial"/>
                <w:sz w:val="22"/>
                <w:szCs w:val="22"/>
              </w:rPr>
              <w:t>Podíl nájemního sektoru mezi obydlenými byty, jako sektoru umožňujícího největší flexibilitu jeho obyvatel. Nájemní byty jsou užívány skupinou obyvatel, která je ochotnější k mobilitě. Také vstupní resp. transakční náklady na bydlení v tomto sektoru jsou malé, při srovnávání s vlastnickým bydlením.</w:t>
            </w:r>
          </w:p>
        </w:tc>
      </w:tr>
      <w:tr w:rsidR="00EA2748" w:rsidRPr="0007074B" w14:paraId="44A29EE6" w14:textId="77777777" w:rsidTr="00B460D5">
        <w:tc>
          <w:tcPr>
            <w:tcW w:w="2802" w:type="dxa"/>
          </w:tcPr>
          <w:p w14:paraId="3D921494"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Časová řada: </w:t>
            </w:r>
          </w:p>
        </w:tc>
        <w:tc>
          <w:tcPr>
            <w:tcW w:w="6486" w:type="dxa"/>
          </w:tcPr>
          <w:p w14:paraId="282C4011" w14:textId="77777777" w:rsidR="00EA2748" w:rsidRPr="00375C6C" w:rsidRDefault="008A57D7" w:rsidP="00C516EA">
            <w:pPr>
              <w:spacing w:line="276" w:lineRule="auto"/>
              <w:jc w:val="both"/>
              <w:rPr>
                <w:rFonts w:ascii="Arial" w:hAnsi="Arial" w:cs="Arial"/>
                <w:sz w:val="22"/>
                <w:szCs w:val="22"/>
              </w:rPr>
            </w:pPr>
            <w:r>
              <w:rPr>
                <w:rFonts w:ascii="Arial" w:hAnsi="Arial" w:cs="Arial"/>
                <w:sz w:val="22"/>
                <w:szCs w:val="22"/>
              </w:rPr>
              <w:t>-</w:t>
            </w:r>
          </w:p>
        </w:tc>
      </w:tr>
      <w:tr w:rsidR="00EA2748" w:rsidRPr="0007074B" w14:paraId="0B07D66B" w14:textId="77777777" w:rsidTr="00B460D5">
        <w:tc>
          <w:tcPr>
            <w:tcW w:w="2802" w:type="dxa"/>
          </w:tcPr>
          <w:p w14:paraId="2DB6A56A"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Frekvence výstupu: </w:t>
            </w:r>
          </w:p>
        </w:tc>
        <w:tc>
          <w:tcPr>
            <w:tcW w:w="6486" w:type="dxa"/>
          </w:tcPr>
          <w:p w14:paraId="52F48E67" w14:textId="69C2B135" w:rsidR="00EA2748" w:rsidRPr="00375C6C" w:rsidRDefault="00EA2748" w:rsidP="00C516EA">
            <w:pPr>
              <w:spacing w:line="276" w:lineRule="auto"/>
              <w:jc w:val="both"/>
              <w:rPr>
                <w:rFonts w:ascii="Arial" w:hAnsi="Arial" w:cs="Arial"/>
                <w:sz w:val="22"/>
                <w:szCs w:val="22"/>
              </w:rPr>
            </w:pPr>
            <w:r w:rsidRPr="00375C6C">
              <w:rPr>
                <w:rFonts w:ascii="Arial" w:hAnsi="Arial" w:cs="Arial"/>
                <w:sz w:val="22"/>
                <w:szCs w:val="22"/>
              </w:rPr>
              <w:t>Hodnot</w:t>
            </w:r>
            <w:r w:rsidR="00146D1C">
              <w:rPr>
                <w:rFonts w:ascii="Arial" w:hAnsi="Arial" w:cs="Arial"/>
                <w:sz w:val="22"/>
                <w:szCs w:val="22"/>
              </w:rPr>
              <w:t>y ukazatele jsou dostupné buď jednou</w:t>
            </w:r>
            <w:r w:rsidRPr="00375C6C">
              <w:rPr>
                <w:rFonts w:ascii="Arial" w:hAnsi="Arial" w:cs="Arial"/>
                <w:sz w:val="22"/>
                <w:szCs w:val="22"/>
              </w:rPr>
              <w:t xml:space="preserve"> za 10</w:t>
            </w:r>
            <w:r w:rsidR="00146D1C">
              <w:rPr>
                <w:rFonts w:ascii="Arial" w:hAnsi="Arial" w:cs="Arial"/>
                <w:sz w:val="22"/>
                <w:szCs w:val="22"/>
              </w:rPr>
              <w:t xml:space="preserve"> let ze SLDB nebo jako odhady jednou</w:t>
            </w:r>
            <w:r w:rsidRPr="00375C6C">
              <w:rPr>
                <w:rFonts w:ascii="Arial" w:hAnsi="Arial" w:cs="Arial"/>
                <w:sz w:val="22"/>
                <w:szCs w:val="22"/>
              </w:rPr>
              <w:t xml:space="preserve"> za rok z výběrového šetření SILC; řada ze SLDB existuje mnoho let dozadu</w:t>
            </w:r>
          </w:p>
        </w:tc>
      </w:tr>
      <w:tr w:rsidR="00EA2748" w:rsidRPr="0007074B" w14:paraId="49F92FF6" w14:textId="77777777" w:rsidTr="00B460D5">
        <w:trPr>
          <w:trHeight w:val="70"/>
        </w:trPr>
        <w:tc>
          <w:tcPr>
            <w:tcW w:w="2802" w:type="dxa"/>
          </w:tcPr>
          <w:p w14:paraId="46B987E9"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Členění indikátoru: </w:t>
            </w:r>
          </w:p>
        </w:tc>
        <w:tc>
          <w:tcPr>
            <w:tcW w:w="6486" w:type="dxa"/>
          </w:tcPr>
          <w:p w14:paraId="7AA961D4" w14:textId="77777777" w:rsidR="00744A4F" w:rsidRDefault="00744A4F" w:rsidP="00C516EA">
            <w:pPr>
              <w:spacing w:line="276" w:lineRule="auto"/>
              <w:jc w:val="both"/>
              <w:rPr>
                <w:rFonts w:ascii="Arial" w:hAnsi="Arial" w:cs="Arial"/>
                <w:sz w:val="22"/>
                <w:szCs w:val="22"/>
              </w:rPr>
            </w:pPr>
            <w:r>
              <w:rPr>
                <w:rFonts w:ascii="Arial" w:hAnsi="Arial" w:cs="Arial"/>
                <w:sz w:val="22"/>
                <w:szCs w:val="22"/>
              </w:rPr>
              <w:t xml:space="preserve">SLDB dle nejmenších částí obcí </w:t>
            </w:r>
          </w:p>
          <w:p w14:paraId="569FC298" w14:textId="1D0110BD" w:rsidR="00EA2748" w:rsidRPr="00375C6C" w:rsidRDefault="00744A4F" w:rsidP="00C516EA">
            <w:pPr>
              <w:spacing w:line="276" w:lineRule="auto"/>
              <w:jc w:val="both"/>
              <w:rPr>
                <w:rFonts w:ascii="Arial" w:hAnsi="Arial" w:cs="Arial"/>
                <w:sz w:val="22"/>
                <w:szCs w:val="22"/>
              </w:rPr>
            </w:pPr>
            <w:r>
              <w:rPr>
                <w:rFonts w:ascii="Arial" w:hAnsi="Arial" w:cs="Arial"/>
                <w:sz w:val="22"/>
                <w:szCs w:val="22"/>
              </w:rPr>
              <w:t xml:space="preserve">SILC celostátně a dle krajů </w:t>
            </w:r>
          </w:p>
        </w:tc>
      </w:tr>
      <w:tr w:rsidR="00EA2748" w:rsidRPr="0007074B" w14:paraId="7EB6E376" w14:textId="77777777" w:rsidTr="00B460D5">
        <w:trPr>
          <w:trHeight w:val="70"/>
        </w:trPr>
        <w:tc>
          <w:tcPr>
            <w:tcW w:w="2802" w:type="dxa"/>
          </w:tcPr>
          <w:p w14:paraId="77B1DC09" w14:textId="4F1AF062"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Mezinárodní srovnání:</w:t>
            </w:r>
          </w:p>
        </w:tc>
        <w:tc>
          <w:tcPr>
            <w:tcW w:w="6486" w:type="dxa"/>
          </w:tcPr>
          <w:p w14:paraId="7D534625" w14:textId="77777777" w:rsidR="00EA2748" w:rsidRPr="00375C6C" w:rsidRDefault="008A57D7" w:rsidP="00C51B65">
            <w:pPr>
              <w:spacing w:line="276" w:lineRule="auto"/>
              <w:rPr>
                <w:rFonts w:ascii="Arial" w:hAnsi="Arial" w:cs="Arial"/>
                <w:sz w:val="22"/>
                <w:szCs w:val="22"/>
              </w:rPr>
            </w:pPr>
            <w:r>
              <w:rPr>
                <w:rFonts w:ascii="Arial" w:hAnsi="Arial" w:cs="Arial"/>
                <w:sz w:val="22"/>
                <w:szCs w:val="22"/>
              </w:rPr>
              <w:t>-</w:t>
            </w:r>
          </w:p>
        </w:tc>
      </w:tr>
    </w:tbl>
    <w:p w14:paraId="494126F8" w14:textId="77777777" w:rsidR="00EA2748" w:rsidRPr="0007074B" w:rsidRDefault="00EA2748" w:rsidP="00C51B65">
      <w:pPr>
        <w:spacing w:line="276" w:lineRule="auto"/>
        <w:ind w:left="567"/>
        <w:jc w:val="both"/>
        <w:rPr>
          <w:rFonts w:ascii="Arial" w:eastAsia="Calibri" w:hAnsi="Arial" w:cs="Arial"/>
          <w:i/>
          <w:sz w:val="22"/>
          <w:szCs w:val="22"/>
        </w:rPr>
      </w:pPr>
    </w:p>
    <w:tbl>
      <w:tblPr>
        <w:tblStyle w:val="Mkatabulky"/>
        <w:tblW w:w="0" w:type="auto"/>
        <w:tblLook w:val="04A0" w:firstRow="1" w:lastRow="0" w:firstColumn="1" w:lastColumn="0" w:noHBand="0" w:noVBand="1"/>
      </w:tblPr>
      <w:tblGrid>
        <w:gridCol w:w="2802"/>
        <w:gridCol w:w="6486"/>
      </w:tblGrid>
      <w:tr w:rsidR="00EA2748" w:rsidRPr="0007074B" w14:paraId="78E13646" w14:textId="77777777" w:rsidTr="00B460D5">
        <w:tc>
          <w:tcPr>
            <w:tcW w:w="2802" w:type="dxa"/>
          </w:tcPr>
          <w:p w14:paraId="6380D0BB"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Název a označení indikátoru: </w:t>
            </w:r>
          </w:p>
        </w:tc>
        <w:tc>
          <w:tcPr>
            <w:tcW w:w="6486" w:type="dxa"/>
          </w:tcPr>
          <w:p w14:paraId="5FD49190" w14:textId="77777777" w:rsidR="00EA2748" w:rsidRPr="0007074B" w:rsidRDefault="008A57D7" w:rsidP="008A57D7">
            <w:pPr>
              <w:spacing w:line="276" w:lineRule="auto"/>
              <w:rPr>
                <w:rFonts w:ascii="Arial" w:eastAsia="Arial" w:hAnsi="Arial" w:cs="Arial"/>
                <w:color w:val="000000"/>
                <w:sz w:val="22"/>
                <w:szCs w:val="22"/>
              </w:rPr>
            </w:pPr>
            <w:r>
              <w:rPr>
                <w:rFonts w:ascii="Arial" w:eastAsia="Arial" w:hAnsi="Arial" w:cs="Arial"/>
                <w:b/>
                <w:color w:val="000000"/>
                <w:sz w:val="22"/>
                <w:szCs w:val="22"/>
              </w:rPr>
              <w:t>17</w:t>
            </w:r>
            <w:r w:rsidR="00EA2748" w:rsidRPr="00753D80">
              <w:rPr>
                <w:rFonts w:ascii="Arial" w:eastAsia="Arial" w:hAnsi="Arial" w:cs="Arial"/>
                <w:b/>
                <w:color w:val="000000"/>
                <w:sz w:val="22"/>
                <w:szCs w:val="22"/>
              </w:rPr>
              <w:t xml:space="preserve">.3.3 </w:t>
            </w:r>
            <w:r w:rsidR="00B832C5" w:rsidRPr="00B832C5">
              <w:rPr>
                <w:rFonts w:ascii="Arial" w:eastAsia="Arial" w:hAnsi="Arial" w:cs="Arial"/>
                <w:b/>
                <w:color w:val="000000"/>
                <w:sz w:val="22"/>
                <w:szCs w:val="22"/>
              </w:rPr>
              <w:t>Byty se sociálním určením poří</w:t>
            </w:r>
            <w:r>
              <w:rPr>
                <w:rFonts w:ascii="Arial" w:eastAsia="Arial" w:hAnsi="Arial" w:cs="Arial"/>
                <w:b/>
                <w:color w:val="000000"/>
                <w:sz w:val="22"/>
                <w:szCs w:val="22"/>
              </w:rPr>
              <w:t>zené s podporou z prostředků Ministerstva pro místní rozvoj</w:t>
            </w:r>
            <w:r w:rsidR="00B832C5" w:rsidRPr="00B832C5">
              <w:rPr>
                <w:rFonts w:ascii="Arial" w:eastAsia="Arial" w:hAnsi="Arial" w:cs="Arial"/>
                <w:b/>
                <w:color w:val="000000"/>
                <w:sz w:val="22"/>
                <w:szCs w:val="22"/>
              </w:rPr>
              <w:t xml:space="preserve"> a </w:t>
            </w:r>
            <w:r>
              <w:rPr>
                <w:rFonts w:ascii="Arial" w:eastAsia="Arial" w:hAnsi="Arial" w:cs="Arial"/>
                <w:b/>
                <w:color w:val="000000"/>
                <w:sz w:val="22"/>
                <w:szCs w:val="22"/>
              </w:rPr>
              <w:t>Státního fondu rozvoje bydlení</w:t>
            </w:r>
            <w:r w:rsidR="00B832C5" w:rsidRPr="00B832C5">
              <w:rPr>
                <w:rFonts w:ascii="Arial" w:eastAsia="Arial" w:hAnsi="Arial" w:cs="Arial"/>
                <w:b/>
                <w:color w:val="000000"/>
                <w:sz w:val="22"/>
                <w:szCs w:val="22"/>
              </w:rPr>
              <w:t xml:space="preserve"> v</w:t>
            </w:r>
            <w:r>
              <w:rPr>
                <w:rFonts w:ascii="Arial" w:eastAsia="Arial" w:hAnsi="Arial" w:cs="Arial"/>
                <w:b/>
                <w:color w:val="000000"/>
                <w:sz w:val="22"/>
                <w:szCs w:val="22"/>
              </w:rPr>
              <w:t> </w:t>
            </w:r>
            <w:r w:rsidR="00B832C5" w:rsidRPr="00B832C5">
              <w:rPr>
                <w:rFonts w:ascii="Arial" w:eastAsia="Arial" w:hAnsi="Arial" w:cs="Arial"/>
                <w:b/>
                <w:color w:val="000000"/>
                <w:sz w:val="22"/>
                <w:szCs w:val="22"/>
              </w:rPr>
              <w:t>roce</w:t>
            </w:r>
          </w:p>
        </w:tc>
      </w:tr>
      <w:tr w:rsidR="00EA2748" w:rsidRPr="0007074B" w14:paraId="6ED7A4D6" w14:textId="77777777" w:rsidTr="00B460D5">
        <w:tc>
          <w:tcPr>
            <w:tcW w:w="2802" w:type="dxa"/>
          </w:tcPr>
          <w:p w14:paraId="72EC0A05"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Stručná definice: </w:t>
            </w:r>
          </w:p>
        </w:tc>
        <w:tc>
          <w:tcPr>
            <w:tcW w:w="6486" w:type="dxa"/>
          </w:tcPr>
          <w:p w14:paraId="644965EA" w14:textId="77777777" w:rsidR="00EA2748" w:rsidRPr="0007074B" w:rsidRDefault="00B832C5" w:rsidP="00C516EA">
            <w:pPr>
              <w:spacing w:line="276" w:lineRule="auto"/>
              <w:jc w:val="both"/>
              <w:rPr>
                <w:rFonts w:ascii="Arial" w:hAnsi="Arial" w:cs="Arial"/>
                <w:sz w:val="22"/>
                <w:szCs w:val="22"/>
              </w:rPr>
            </w:pPr>
            <w:r w:rsidRPr="00B832C5">
              <w:rPr>
                <w:rFonts w:ascii="Arial" w:hAnsi="Arial" w:cs="Arial"/>
                <w:sz w:val="22"/>
                <w:szCs w:val="22"/>
              </w:rPr>
              <w:t>Počet bytů, které byly pořízeny za přispění prostředků z rozpočtu MMR resp. SFRB, určených (podmínkami státu vtělenými do programů resp. nařízení vlády) pro sociální bydlení nejrůzněji definovaných skupin sociálně slabých či ohrožených občanů.</w:t>
            </w:r>
          </w:p>
        </w:tc>
      </w:tr>
      <w:tr w:rsidR="00EA2748" w:rsidRPr="0007074B" w14:paraId="1DCB26EA" w14:textId="77777777" w:rsidTr="00B460D5">
        <w:tc>
          <w:tcPr>
            <w:tcW w:w="2802" w:type="dxa"/>
          </w:tcPr>
          <w:p w14:paraId="61DB95FC"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Jednotka:</w:t>
            </w:r>
          </w:p>
        </w:tc>
        <w:tc>
          <w:tcPr>
            <w:tcW w:w="6486" w:type="dxa"/>
          </w:tcPr>
          <w:p w14:paraId="4015C248" w14:textId="77777777" w:rsidR="00EA2748" w:rsidRPr="0007074B" w:rsidRDefault="008A57D7" w:rsidP="00C516EA">
            <w:pPr>
              <w:spacing w:line="276" w:lineRule="auto"/>
              <w:jc w:val="both"/>
              <w:rPr>
                <w:rFonts w:ascii="Arial" w:hAnsi="Arial" w:cs="Arial"/>
                <w:sz w:val="22"/>
                <w:szCs w:val="22"/>
              </w:rPr>
            </w:pPr>
            <w:r>
              <w:rPr>
                <w:rFonts w:ascii="Arial" w:hAnsi="Arial" w:cs="Arial"/>
                <w:sz w:val="22"/>
                <w:szCs w:val="22"/>
              </w:rPr>
              <w:t>P</w:t>
            </w:r>
            <w:r w:rsidR="00B832C5">
              <w:rPr>
                <w:rFonts w:ascii="Arial" w:hAnsi="Arial" w:cs="Arial"/>
                <w:sz w:val="22"/>
                <w:szCs w:val="22"/>
              </w:rPr>
              <w:t>očet</w:t>
            </w:r>
            <w:r>
              <w:rPr>
                <w:rFonts w:ascii="Arial" w:hAnsi="Arial" w:cs="Arial"/>
                <w:sz w:val="22"/>
                <w:szCs w:val="22"/>
              </w:rPr>
              <w:t xml:space="preserve"> bytů</w:t>
            </w:r>
          </w:p>
        </w:tc>
      </w:tr>
      <w:tr w:rsidR="00EA2748" w:rsidRPr="0007074B" w14:paraId="503A51B6" w14:textId="77777777" w:rsidTr="00B460D5">
        <w:tc>
          <w:tcPr>
            <w:tcW w:w="2802" w:type="dxa"/>
          </w:tcPr>
          <w:p w14:paraId="15A0A1EC"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Gestor: </w:t>
            </w:r>
          </w:p>
        </w:tc>
        <w:tc>
          <w:tcPr>
            <w:tcW w:w="6486" w:type="dxa"/>
          </w:tcPr>
          <w:p w14:paraId="4E709614" w14:textId="77777777" w:rsidR="00EA2748" w:rsidRPr="0007074B" w:rsidRDefault="008A57D7" w:rsidP="00C516EA">
            <w:pPr>
              <w:spacing w:line="276" w:lineRule="auto"/>
              <w:jc w:val="both"/>
              <w:rPr>
                <w:rFonts w:ascii="Arial" w:hAnsi="Arial" w:cs="Arial"/>
                <w:sz w:val="22"/>
                <w:szCs w:val="22"/>
              </w:rPr>
            </w:pPr>
            <w:r>
              <w:rPr>
                <w:rFonts w:ascii="Arial" w:hAnsi="Arial" w:cs="Arial"/>
                <w:sz w:val="22"/>
                <w:szCs w:val="22"/>
              </w:rPr>
              <w:t>Ministerstvo pro místní rozvoj</w:t>
            </w:r>
          </w:p>
        </w:tc>
      </w:tr>
      <w:tr w:rsidR="00EA2748" w:rsidRPr="0007074B" w14:paraId="1D287888" w14:textId="77777777" w:rsidTr="00B460D5">
        <w:tc>
          <w:tcPr>
            <w:tcW w:w="2802" w:type="dxa"/>
          </w:tcPr>
          <w:p w14:paraId="685D81CA"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Význam indikátoru: </w:t>
            </w:r>
          </w:p>
        </w:tc>
        <w:tc>
          <w:tcPr>
            <w:tcW w:w="6486" w:type="dxa"/>
          </w:tcPr>
          <w:p w14:paraId="664917F1" w14:textId="77777777" w:rsidR="00EA2748" w:rsidRPr="0007074B" w:rsidRDefault="00B832C5" w:rsidP="00C516EA">
            <w:pPr>
              <w:spacing w:line="276" w:lineRule="auto"/>
              <w:jc w:val="both"/>
              <w:rPr>
                <w:rFonts w:ascii="Arial" w:hAnsi="Arial" w:cs="Arial"/>
                <w:sz w:val="22"/>
                <w:szCs w:val="22"/>
              </w:rPr>
            </w:pPr>
            <w:r w:rsidRPr="00B832C5">
              <w:rPr>
                <w:rFonts w:ascii="Arial" w:hAnsi="Arial" w:cs="Arial"/>
                <w:sz w:val="22"/>
                <w:szCs w:val="22"/>
              </w:rPr>
              <w:t>Ilustruje jeden ze způsobů podpory státu při motivování subjektů na trhu s bydlením ke zlepšení dostupnosti bydlení.</w:t>
            </w:r>
          </w:p>
        </w:tc>
      </w:tr>
      <w:tr w:rsidR="00EA2748" w:rsidRPr="0007074B" w14:paraId="0F7C6EC4" w14:textId="77777777" w:rsidTr="00B460D5">
        <w:tc>
          <w:tcPr>
            <w:tcW w:w="2802" w:type="dxa"/>
          </w:tcPr>
          <w:p w14:paraId="34A4B62D"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Časová řada: </w:t>
            </w:r>
          </w:p>
        </w:tc>
        <w:tc>
          <w:tcPr>
            <w:tcW w:w="6486" w:type="dxa"/>
          </w:tcPr>
          <w:p w14:paraId="2DED9BBD" w14:textId="77777777" w:rsidR="00EA2748" w:rsidRPr="0007074B" w:rsidRDefault="008A57D7" w:rsidP="00C516EA">
            <w:pPr>
              <w:spacing w:line="276" w:lineRule="auto"/>
              <w:jc w:val="both"/>
              <w:rPr>
                <w:rFonts w:ascii="Arial" w:hAnsi="Arial" w:cs="Arial"/>
                <w:sz w:val="22"/>
                <w:szCs w:val="22"/>
              </w:rPr>
            </w:pPr>
            <w:r>
              <w:rPr>
                <w:rFonts w:ascii="Arial" w:hAnsi="Arial" w:cs="Arial"/>
                <w:sz w:val="22"/>
                <w:szCs w:val="22"/>
              </w:rPr>
              <w:t>-</w:t>
            </w:r>
          </w:p>
        </w:tc>
      </w:tr>
      <w:tr w:rsidR="00EA2748" w:rsidRPr="0007074B" w14:paraId="7DEA62A0" w14:textId="77777777" w:rsidTr="00B460D5">
        <w:tc>
          <w:tcPr>
            <w:tcW w:w="2802" w:type="dxa"/>
          </w:tcPr>
          <w:p w14:paraId="33B20529"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Frekvence výstupu: </w:t>
            </w:r>
          </w:p>
        </w:tc>
        <w:tc>
          <w:tcPr>
            <w:tcW w:w="6486" w:type="dxa"/>
          </w:tcPr>
          <w:p w14:paraId="4F7CB2F6" w14:textId="77777777" w:rsidR="00EA2748" w:rsidRPr="0007074B" w:rsidRDefault="008A57D7" w:rsidP="00C516EA">
            <w:pPr>
              <w:spacing w:line="276" w:lineRule="auto"/>
              <w:jc w:val="both"/>
              <w:rPr>
                <w:rFonts w:ascii="Arial" w:hAnsi="Arial" w:cs="Arial"/>
                <w:sz w:val="22"/>
                <w:szCs w:val="22"/>
              </w:rPr>
            </w:pPr>
            <w:r>
              <w:rPr>
                <w:rFonts w:ascii="Arial" w:hAnsi="Arial" w:cs="Arial"/>
                <w:sz w:val="22"/>
                <w:szCs w:val="22"/>
              </w:rPr>
              <w:t>Ročně</w:t>
            </w:r>
          </w:p>
        </w:tc>
      </w:tr>
      <w:tr w:rsidR="00EA2748" w:rsidRPr="0007074B" w14:paraId="410E5D5C" w14:textId="77777777" w:rsidTr="00B460D5">
        <w:trPr>
          <w:trHeight w:val="70"/>
        </w:trPr>
        <w:tc>
          <w:tcPr>
            <w:tcW w:w="2802" w:type="dxa"/>
          </w:tcPr>
          <w:p w14:paraId="23D69D78"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Členění indikátoru: </w:t>
            </w:r>
          </w:p>
        </w:tc>
        <w:tc>
          <w:tcPr>
            <w:tcW w:w="6486" w:type="dxa"/>
          </w:tcPr>
          <w:p w14:paraId="7B63DC7B" w14:textId="29DA6B20" w:rsidR="00EA2748" w:rsidRPr="0007074B" w:rsidRDefault="00744A4F" w:rsidP="00C516EA">
            <w:pPr>
              <w:spacing w:line="276" w:lineRule="auto"/>
              <w:jc w:val="both"/>
              <w:rPr>
                <w:rFonts w:ascii="Arial" w:hAnsi="Arial" w:cs="Arial"/>
                <w:sz w:val="22"/>
                <w:szCs w:val="22"/>
              </w:rPr>
            </w:pPr>
            <w:r>
              <w:rPr>
                <w:rFonts w:ascii="Arial" w:hAnsi="Arial" w:cs="Arial"/>
                <w:sz w:val="22"/>
                <w:szCs w:val="22"/>
              </w:rPr>
              <w:t>Dle krajů</w:t>
            </w:r>
            <w:r w:rsidR="00B832C5">
              <w:rPr>
                <w:rFonts w:ascii="Arial" w:hAnsi="Arial" w:cs="Arial"/>
                <w:sz w:val="22"/>
                <w:szCs w:val="22"/>
              </w:rPr>
              <w:t xml:space="preserve"> (NUTS III), ORP</w:t>
            </w:r>
          </w:p>
        </w:tc>
      </w:tr>
      <w:tr w:rsidR="00A632B6" w:rsidRPr="0007074B" w14:paraId="6F0E73EF" w14:textId="77777777" w:rsidTr="00B460D5">
        <w:trPr>
          <w:trHeight w:val="70"/>
        </w:trPr>
        <w:tc>
          <w:tcPr>
            <w:tcW w:w="2802" w:type="dxa"/>
          </w:tcPr>
          <w:p w14:paraId="3A8F6328" w14:textId="7F7DD7C0" w:rsidR="00A632B6" w:rsidRPr="0007074B" w:rsidRDefault="00A632B6" w:rsidP="00C51B65">
            <w:pPr>
              <w:spacing w:line="276" w:lineRule="auto"/>
              <w:rPr>
                <w:rFonts w:ascii="Arial" w:hAnsi="Arial" w:cs="Arial"/>
                <w:sz w:val="22"/>
                <w:szCs w:val="22"/>
              </w:rPr>
            </w:pPr>
            <w:r>
              <w:rPr>
                <w:rFonts w:ascii="Arial" w:hAnsi="Arial" w:cs="Arial"/>
                <w:sz w:val="22"/>
                <w:szCs w:val="22"/>
              </w:rPr>
              <w:t>Mezinárodní srovnání:</w:t>
            </w:r>
          </w:p>
        </w:tc>
        <w:tc>
          <w:tcPr>
            <w:tcW w:w="6486" w:type="dxa"/>
          </w:tcPr>
          <w:p w14:paraId="29DBC482" w14:textId="628E130D" w:rsidR="00A632B6" w:rsidRDefault="00A632B6" w:rsidP="00C516EA">
            <w:pPr>
              <w:spacing w:line="276" w:lineRule="auto"/>
              <w:jc w:val="both"/>
              <w:rPr>
                <w:rFonts w:ascii="Arial" w:hAnsi="Arial" w:cs="Arial"/>
                <w:sz w:val="22"/>
                <w:szCs w:val="22"/>
              </w:rPr>
            </w:pPr>
            <w:r>
              <w:rPr>
                <w:rFonts w:ascii="Arial" w:hAnsi="Arial" w:cs="Arial"/>
                <w:sz w:val="22"/>
                <w:szCs w:val="22"/>
              </w:rPr>
              <w:t>-</w:t>
            </w:r>
          </w:p>
        </w:tc>
      </w:tr>
    </w:tbl>
    <w:p w14:paraId="5F2063DE" w14:textId="77777777" w:rsidR="00EA2748" w:rsidRPr="0007074B" w:rsidRDefault="00EA2748" w:rsidP="00C51B65">
      <w:pPr>
        <w:spacing w:line="276" w:lineRule="auto"/>
        <w:ind w:left="567"/>
        <w:jc w:val="both"/>
        <w:rPr>
          <w:rFonts w:ascii="Arial" w:eastAsia="Calibri" w:hAnsi="Arial" w:cs="Arial"/>
          <w:i/>
          <w:sz w:val="22"/>
          <w:szCs w:val="22"/>
        </w:rPr>
      </w:pPr>
    </w:p>
    <w:tbl>
      <w:tblPr>
        <w:tblStyle w:val="Mkatabulky"/>
        <w:tblW w:w="0" w:type="auto"/>
        <w:tblLook w:val="04A0" w:firstRow="1" w:lastRow="0" w:firstColumn="1" w:lastColumn="0" w:noHBand="0" w:noVBand="1"/>
      </w:tblPr>
      <w:tblGrid>
        <w:gridCol w:w="2802"/>
        <w:gridCol w:w="6486"/>
      </w:tblGrid>
      <w:tr w:rsidR="00EA2748" w:rsidRPr="0007074B" w14:paraId="60E04CF0" w14:textId="77777777" w:rsidTr="00B460D5">
        <w:tc>
          <w:tcPr>
            <w:tcW w:w="2802" w:type="dxa"/>
          </w:tcPr>
          <w:p w14:paraId="78A4267E"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Název a označení indikátoru: </w:t>
            </w:r>
          </w:p>
        </w:tc>
        <w:tc>
          <w:tcPr>
            <w:tcW w:w="6486" w:type="dxa"/>
          </w:tcPr>
          <w:p w14:paraId="4C65B0B9" w14:textId="77777777" w:rsidR="00EA2748" w:rsidRPr="00375C6C" w:rsidRDefault="008A57D7" w:rsidP="00C51B65">
            <w:pPr>
              <w:spacing w:line="276" w:lineRule="auto"/>
              <w:rPr>
                <w:rFonts w:ascii="Arial" w:eastAsia="Arial" w:hAnsi="Arial" w:cs="Arial"/>
                <w:b/>
                <w:color w:val="000000"/>
                <w:sz w:val="22"/>
                <w:szCs w:val="22"/>
              </w:rPr>
            </w:pPr>
            <w:r>
              <w:rPr>
                <w:rFonts w:ascii="Arial" w:eastAsia="Arial" w:hAnsi="Arial" w:cs="Arial"/>
                <w:b/>
                <w:color w:val="000000"/>
                <w:sz w:val="22"/>
                <w:szCs w:val="22"/>
              </w:rPr>
              <w:t>17</w:t>
            </w:r>
            <w:r w:rsidR="00EA2748" w:rsidRPr="00375C6C">
              <w:rPr>
                <w:rFonts w:ascii="Arial" w:eastAsia="Arial" w:hAnsi="Arial" w:cs="Arial"/>
                <w:b/>
                <w:color w:val="000000"/>
                <w:sz w:val="22"/>
                <w:szCs w:val="22"/>
              </w:rPr>
              <w:t>.3.4 Počet sociálních bytů na bytovém fondu obce</w:t>
            </w:r>
          </w:p>
          <w:p w14:paraId="74399A45" w14:textId="77777777" w:rsidR="00EA2748" w:rsidRPr="00375C6C" w:rsidRDefault="00EA2748" w:rsidP="00C51B65">
            <w:pPr>
              <w:spacing w:line="276" w:lineRule="auto"/>
              <w:rPr>
                <w:rFonts w:ascii="Arial" w:eastAsia="Arial" w:hAnsi="Arial" w:cs="Arial"/>
                <w:color w:val="000000"/>
                <w:sz w:val="22"/>
                <w:szCs w:val="22"/>
              </w:rPr>
            </w:pPr>
          </w:p>
        </w:tc>
      </w:tr>
      <w:tr w:rsidR="00EA2748" w:rsidRPr="0007074B" w14:paraId="3546EBE2" w14:textId="77777777" w:rsidTr="00B460D5">
        <w:tc>
          <w:tcPr>
            <w:tcW w:w="2802" w:type="dxa"/>
          </w:tcPr>
          <w:p w14:paraId="17F48767"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lastRenderedPageBreak/>
              <w:t xml:space="preserve">Stručná definice: </w:t>
            </w:r>
          </w:p>
        </w:tc>
        <w:tc>
          <w:tcPr>
            <w:tcW w:w="6486" w:type="dxa"/>
          </w:tcPr>
          <w:p w14:paraId="1AFB49B2" w14:textId="77777777" w:rsidR="00EA2748" w:rsidRPr="00375C6C" w:rsidRDefault="00EA2748" w:rsidP="00C516EA">
            <w:pPr>
              <w:spacing w:line="276" w:lineRule="auto"/>
              <w:jc w:val="both"/>
              <w:rPr>
                <w:rFonts w:ascii="Arial" w:hAnsi="Arial" w:cs="Arial"/>
                <w:sz w:val="22"/>
                <w:szCs w:val="22"/>
              </w:rPr>
            </w:pPr>
            <w:r w:rsidRPr="00375C6C">
              <w:rPr>
                <w:rFonts w:ascii="Arial" w:hAnsi="Arial" w:cs="Arial"/>
                <w:sz w:val="22"/>
                <w:szCs w:val="22"/>
              </w:rPr>
              <w:t>Podíl bytů ve vlastnictví obce využívaných k sociálnímu bydlení (nízkonákladové byty, tréninkové byty a vícestupňové bydlení, byty v domech s pečovatelskou službou, startovací byty, náhradní byty, bezbariérové byty)</w:t>
            </w:r>
          </w:p>
        </w:tc>
      </w:tr>
      <w:tr w:rsidR="00EA2748" w:rsidRPr="0007074B" w14:paraId="791407A0" w14:textId="77777777" w:rsidTr="00B460D5">
        <w:tc>
          <w:tcPr>
            <w:tcW w:w="2802" w:type="dxa"/>
          </w:tcPr>
          <w:p w14:paraId="7CD41C1B"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Jednotka:</w:t>
            </w:r>
          </w:p>
        </w:tc>
        <w:tc>
          <w:tcPr>
            <w:tcW w:w="6486" w:type="dxa"/>
          </w:tcPr>
          <w:p w14:paraId="7047444C" w14:textId="77777777" w:rsidR="00EA2748" w:rsidRPr="00375C6C" w:rsidRDefault="008A57D7" w:rsidP="00C516EA">
            <w:pPr>
              <w:spacing w:line="276" w:lineRule="auto"/>
              <w:jc w:val="both"/>
              <w:rPr>
                <w:rFonts w:ascii="Arial" w:hAnsi="Arial" w:cs="Arial"/>
                <w:sz w:val="22"/>
                <w:szCs w:val="22"/>
              </w:rPr>
            </w:pPr>
            <w:r>
              <w:rPr>
                <w:rFonts w:ascii="Arial" w:hAnsi="Arial" w:cs="Arial"/>
                <w:sz w:val="22"/>
                <w:szCs w:val="22"/>
              </w:rPr>
              <w:t xml:space="preserve">Podíl (v </w:t>
            </w:r>
            <w:r w:rsidR="00EA2748" w:rsidRPr="00375C6C">
              <w:rPr>
                <w:rFonts w:ascii="Arial" w:hAnsi="Arial" w:cs="Arial"/>
                <w:sz w:val="22"/>
                <w:szCs w:val="22"/>
              </w:rPr>
              <w:t>%</w:t>
            </w:r>
            <w:r>
              <w:rPr>
                <w:rFonts w:ascii="Arial" w:hAnsi="Arial" w:cs="Arial"/>
                <w:sz w:val="22"/>
                <w:szCs w:val="22"/>
              </w:rPr>
              <w:t>)</w:t>
            </w:r>
          </w:p>
        </w:tc>
      </w:tr>
      <w:tr w:rsidR="00EA2748" w:rsidRPr="0007074B" w14:paraId="6C81D0A0" w14:textId="77777777" w:rsidTr="00B460D5">
        <w:tc>
          <w:tcPr>
            <w:tcW w:w="2802" w:type="dxa"/>
          </w:tcPr>
          <w:p w14:paraId="1075743F"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Gestor: </w:t>
            </w:r>
          </w:p>
        </w:tc>
        <w:tc>
          <w:tcPr>
            <w:tcW w:w="6486" w:type="dxa"/>
          </w:tcPr>
          <w:p w14:paraId="04F956C1" w14:textId="77777777" w:rsidR="00EA2748" w:rsidRPr="00375C6C" w:rsidRDefault="00EA2748" w:rsidP="00C516EA">
            <w:pPr>
              <w:spacing w:line="276" w:lineRule="auto"/>
              <w:jc w:val="both"/>
              <w:rPr>
                <w:rFonts w:ascii="Arial" w:hAnsi="Arial" w:cs="Arial"/>
                <w:sz w:val="22"/>
                <w:szCs w:val="22"/>
              </w:rPr>
            </w:pPr>
            <w:r w:rsidRPr="00375C6C">
              <w:rPr>
                <w:rFonts w:ascii="Arial" w:hAnsi="Arial" w:cs="Arial"/>
                <w:sz w:val="22"/>
                <w:szCs w:val="22"/>
              </w:rPr>
              <w:t>M</w:t>
            </w:r>
            <w:r w:rsidR="008A57D7">
              <w:rPr>
                <w:rFonts w:ascii="Arial" w:hAnsi="Arial" w:cs="Arial"/>
                <w:sz w:val="22"/>
                <w:szCs w:val="22"/>
              </w:rPr>
              <w:t>inisterstvo práce a sociálních věcí</w:t>
            </w:r>
          </w:p>
        </w:tc>
      </w:tr>
      <w:tr w:rsidR="00EA2748" w:rsidRPr="0007074B" w14:paraId="66BA3457" w14:textId="77777777" w:rsidTr="00B460D5">
        <w:tc>
          <w:tcPr>
            <w:tcW w:w="2802" w:type="dxa"/>
          </w:tcPr>
          <w:p w14:paraId="4B2D71E6"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Význam indikátoru: </w:t>
            </w:r>
          </w:p>
        </w:tc>
        <w:tc>
          <w:tcPr>
            <w:tcW w:w="6486" w:type="dxa"/>
          </w:tcPr>
          <w:p w14:paraId="2977746D" w14:textId="77777777" w:rsidR="00EA2748" w:rsidRPr="00375C6C" w:rsidRDefault="00EA2748" w:rsidP="00C516EA">
            <w:pPr>
              <w:spacing w:line="276" w:lineRule="auto"/>
              <w:jc w:val="both"/>
              <w:rPr>
                <w:rFonts w:ascii="Arial" w:hAnsi="Arial" w:cs="Arial"/>
                <w:sz w:val="22"/>
                <w:szCs w:val="22"/>
              </w:rPr>
            </w:pPr>
            <w:r w:rsidRPr="00375C6C">
              <w:rPr>
                <w:rFonts w:ascii="Arial" w:hAnsi="Arial" w:cs="Arial"/>
                <w:sz w:val="22"/>
                <w:szCs w:val="22"/>
              </w:rPr>
              <w:t xml:space="preserve">Sociální bydlení poskytuje stát potřebným občanům na základě právní úpravy a soustavy nástrojů bytové a sociální politiky. Tuto veřejnou službu stát realizuje prostřednictvím obce. Zahrnuje v sobě typy bydlení, které snižují riziko různých ohrožených skupin upadnout do bezdomovectví. </w:t>
            </w:r>
          </w:p>
        </w:tc>
      </w:tr>
      <w:tr w:rsidR="00EA2748" w:rsidRPr="0007074B" w14:paraId="159A58A4" w14:textId="77777777" w:rsidTr="00B460D5">
        <w:tc>
          <w:tcPr>
            <w:tcW w:w="2802" w:type="dxa"/>
          </w:tcPr>
          <w:p w14:paraId="1076D708"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Časová řada: </w:t>
            </w:r>
          </w:p>
        </w:tc>
        <w:tc>
          <w:tcPr>
            <w:tcW w:w="6486" w:type="dxa"/>
          </w:tcPr>
          <w:p w14:paraId="3A241730" w14:textId="77777777" w:rsidR="00EA2748" w:rsidRPr="00375C6C" w:rsidRDefault="00EA2748" w:rsidP="00C516EA">
            <w:pPr>
              <w:spacing w:line="276" w:lineRule="auto"/>
              <w:jc w:val="both"/>
              <w:rPr>
                <w:rFonts w:ascii="Arial" w:hAnsi="Arial" w:cs="Arial"/>
                <w:sz w:val="22"/>
                <w:szCs w:val="22"/>
              </w:rPr>
            </w:pPr>
            <w:r w:rsidRPr="00375C6C">
              <w:rPr>
                <w:rFonts w:ascii="Arial" w:hAnsi="Arial" w:cs="Arial"/>
                <w:sz w:val="22"/>
                <w:szCs w:val="22"/>
              </w:rPr>
              <w:t>V roce 2016 realizován výzkum „Analýza struktury obecních bytů v ČR“ (zapojeno 36 % obcí)</w:t>
            </w:r>
          </w:p>
        </w:tc>
      </w:tr>
      <w:tr w:rsidR="00EA2748" w:rsidRPr="0007074B" w14:paraId="2A5CAE16" w14:textId="77777777" w:rsidTr="00B460D5">
        <w:tc>
          <w:tcPr>
            <w:tcW w:w="2802" w:type="dxa"/>
          </w:tcPr>
          <w:p w14:paraId="5D475B00"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Frekvence výstupu: </w:t>
            </w:r>
          </w:p>
        </w:tc>
        <w:tc>
          <w:tcPr>
            <w:tcW w:w="6486" w:type="dxa"/>
          </w:tcPr>
          <w:p w14:paraId="157AFD86" w14:textId="55B4223B" w:rsidR="00EA2748" w:rsidRPr="00375C6C" w:rsidRDefault="00B07A19" w:rsidP="00C516EA">
            <w:pPr>
              <w:spacing w:line="276" w:lineRule="auto"/>
              <w:jc w:val="both"/>
              <w:rPr>
                <w:rFonts w:ascii="Arial" w:hAnsi="Arial" w:cs="Arial"/>
                <w:sz w:val="22"/>
                <w:szCs w:val="22"/>
              </w:rPr>
            </w:pPr>
            <w:r>
              <w:rPr>
                <w:rFonts w:ascii="Arial" w:hAnsi="Arial" w:cs="Arial"/>
                <w:sz w:val="22"/>
                <w:szCs w:val="22"/>
              </w:rPr>
              <w:t xml:space="preserve">Jednou za 3 roky </w:t>
            </w:r>
          </w:p>
        </w:tc>
      </w:tr>
      <w:tr w:rsidR="00EA2748" w:rsidRPr="0007074B" w14:paraId="2014A006" w14:textId="77777777" w:rsidTr="00B460D5">
        <w:trPr>
          <w:trHeight w:val="70"/>
        </w:trPr>
        <w:tc>
          <w:tcPr>
            <w:tcW w:w="2802" w:type="dxa"/>
          </w:tcPr>
          <w:p w14:paraId="408F4281"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Členění indikátoru: </w:t>
            </w:r>
          </w:p>
        </w:tc>
        <w:tc>
          <w:tcPr>
            <w:tcW w:w="6486" w:type="dxa"/>
          </w:tcPr>
          <w:p w14:paraId="52F737C3" w14:textId="77777777" w:rsidR="00EA2748" w:rsidRPr="00375C6C" w:rsidRDefault="00EA2748" w:rsidP="00C516EA">
            <w:pPr>
              <w:pStyle w:val="Odstavecseseznamem"/>
              <w:numPr>
                <w:ilvl w:val="0"/>
                <w:numId w:val="4"/>
              </w:numPr>
              <w:spacing w:line="276" w:lineRule="auto"/>
              <w:contextualSpacing/>
              <w:jc w:val="both"/>
              <w:rPr>
                <w:rFonts w:ascii="Arial" w:hAnsi="Arial" w:cs="Arial"/>
                <w:sz w:val="22"/>
                <w:szCs w:val="22"/>
              </w:rPr>
            </w:pPr>
            <w:r w:rsidRPr="00375C6C">
              <w:rPr>
                <w:rFonts w:ascii="Arial" w:hAnsi="Arial" w:cs="Arial"/>
                <w:sz w:val="22"/>
                <w:szCs w:val="22"/>
              </w:rPr>
              <w:t xml:space="preserve">dle velikosti obcí (do 1000 </w:t>
            </w:r>
            <w:proofErr w:type="gramStart"/>
            <w:r w:rsidRPr="00375C6C">
              <w:rPr>
                <w:rFonts w:ascii="Arial" w:hAnsi="Arial" w:cs="Arial"/>
                <w:sz w:val="22"/>
                <w:szCs w:val="22"/>
              </w:rPr>
              <w:t>ob./1000</w:t>
            </w:r>
            <w:proofErr w:type="gramEnd"/>
            <w:r w:rsidRPr="00375C6C">
              <w:rPr>
                <w:rFonts w:ascii="Arial" w:hAnsi="Arial" w:cs="Arial"/>
                <w:sz w:val="22"/>
                <w:szCs w:val="22"/>
              </w:rPr>
              <w:t>-4999/ 5000-9999/10 000-49 999, více než 50 000)</w:t>
            </w:r>
          </w:p>
          <w:p w14:paraId="71231911" w14:textId="77777777" w:rsidR="00EA2748" w:rsidRPr="00375C6C" w:rsidRDefault="00EA2748" w:rsidP="00C516EA">
            <w:pPr>
              <w:pStyle w:val="Odstavecseseznamem"/>
              <w:numPr>
                <w:ilvl w:val="0"/>
                <w:numId w:val="4"/>
              </w:numPr>
              <w:spacing w:line="276" w:lineRule="auto"/>
              <w:contextualSpacing/>
              <w:jc w:val="both"/>
              <w:rPr>
                <w:rFonts w:ascii="Arial" w:hAnsi="Arial" w:cs="Arial"/>
                <w:sz w:val="22"/>
                <w:szCs w:val="22"/>
              </w:rPr>
            </w:pPr>
            <w:r w:rsidRPr="00375C6C">
              <w:rPr>
                <w:rFonts w:ascii="Arial" w:hAnsi="Arial" w:cs="Arial"/>
                <w:sz w:val="22"/>
                <w:szCs w:val="22"/>
              </w:rPr>
              <w:t>dle typu obcí (I., II., III. stupeň)</w:t>
            </w:r>
          </w:p>
          <w:p w14:paraId="6A858A39" w14:textId="77777777" w:rsidR="00EA2748" w:rsidRPr="00375C6C" w:rsidRDefault="00EA2748" w:rsidP="00C516EA">
            <w:pPr>
              <w:pStyle w:val="Odstavecseseznamem"/>
              <w:numPr>
                <w:ilvl w:val="0"/>
                <w:numId w:val="4"/>
              </w:numPr>
              <w:spacing w:line="276" w:lineRule="auto"/>
              <w:contextualSpacing/>
              <w:jc w:val="both"/>
              <w:rPr>
                <w:rFonts w:ascii="Arial" w:hAnsi="Arial" w:cs="Arial"/>
                <w:sz w:val="22"/>
                <w:szCs w:val="22"/>
              </w:rPr>
            </w:pPr>
            <w:r w:rsidRPr="00375C6C">
              <w:rPr>
                <w:rFonts w:ascii="Arial" w:hAnsi="Arial" w:cs="Arial"/>
                <w:sz w:val="22"/>
                <w:szCs w:val="22"/>
              </w:rPr>
              <w:t>účely užití bytového fondu obce</w:t>
            </w:r>
          </w:p>
        </w:tc>
      </w:tr>
      <w:tr w:rsidR="00EA2748" w:rsidRPr="0007074B" w14:paraId="566FC146" w14:textId="77777777" w:rsidTr="00B460D5">
        <w:trPr>
          <w:trHeight w:val="70"/>
        </w:trPr>
        <w:tc>
          <w:tcPr>
            <w:tcW w:w="2802" w:type="dxa"/>
          </w:tcPr>
          <w:p w14:paraId="524BCE8F"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Mezinárodní srovnání:</w:t>
            </w:r>
          </w:p>
        </w:tc>
        <w:tc>
          <w:tcPr>
            <w:tcW w:w="6486" w:type="dxa"/>
          </w:tcPr>
          <w:p w14:paraId="41402F9F" w14:textId="77777777" w:rsidR="00EA2748" w:rsidRPr="008A1A8A" w:rsidRDefault="008A57D7" w:rsidP="00C51B65">
            <w:pPr>
              <w:spacing w:line="276" w:lineRule="auto"/>
            </w:pPr>
            <w:r>
              <w:t>-</w:t>
            </w:r>
          </w:p>
        </w:tc>
      </w:tr>
    </w:tbl>
    <w:p w14:paraId="18568475" w14:textId="77777777" w:rsidR="008A57D7" w:rsidRPr="008A57D7" w:rsidRDefault="008A57D7" w:rsidP="00C516EA">
      <w:pPr>
        <w:pStyle w:val="r2030podcle"/>
        <w:numPr>
          <w:ilvl w:val="1"/>
          <w:numId w:val="17"/>
        </w:numPr>
        <w:ind w:left="567" w:hanging="425"/>
      </w:pPr>
      <w:r w:rsidRPr="008A57D7">
        <w:t>Lokální integrované strategie snižují sociální disparity v území, posilují nekonfliktní soužití a zvyšují kvalitu života pro všechny.</w:t>
      </w:r>
    </w:p>
    <w:tbl>
      <w:tblPr>
        <w:tblStyle w:val="Mkatabulky"/>
        <w:tblW w:w="0" w:type="auto"/>
        <w:tblLook w:val="04A0" w:firstRow="1" w:lastRow="0" w:firstColumn="1" w:lastColumn="0" w:noHBand="0" w:noVBand="1"/>
      </w:tblPr>
      <w:tblGrid>
        <w:gridCol w:w="2802"/>
        <w:gridCol w:w="6486"/>
      </w:tblGrid>
      <w:tr w:rsidR="00EA2748" w:rsidRPr="0007074B" w14:paraId="33F614BF" w14:textId="77777777" w:rsidTr="00B460D5">
        <w:tc>
          <w:tcPr>
            <w:tcW w:w="2802" w:type="dxa"/>
          </w:tcPr>
          <w:p w14:paraId="4A2430CE"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Název a označení indikátoru: </w:t>
            </w:r>
          </w:p>
        </w:tc>
        <w:tc>
          <w:tcPr>
            <w:tcW w:w="6486" w:type="dxa"/>
          </w:tcPr>
          <w:p w14:paraId="6971206E" w14:textId="77777777" w:rsidR="00EA2748" w:rsidRPr="002F643E" w:rsidRDefault="008A57D7" w:rsidP="008A57D7">
            <w:pPr>
              <w:spacing w:line="276" w:lineRule="auto"/>
              <w:rPr>
                <w:rFonts w:ascii="Arial" w:eastAsia="Arial" w:hAnsi="Arial" w:cs="Arial"/>
                <w:b/>
                <w:color w:val="000000"/>
                <w:sz w:val="22"/>
                <w:szCs w:val="22"/>
              </w:rPr>
            </w:pPr>
            <w:r>
              <w:rPr>
                <w:rFonts w:ascii="Arial" w:eastAsia="Arial" w:hAnsi="Arial" w:cs="Arial"/>
                <w:b/>
                <w:color w:val="000000"/>
                <w:sz w:val="22"/>
                <w:szCs w:val="22"/>
              </w:rPr>
              <w:t xml:space="preserve">17.4.1 Počet území v rámci správních obvodů obcí s rozšířenou působností </w:t>
            </w:r>
            <w:r w:rsidR="00EA2748" w:rsidRPr="002F643E">
              <w:rPr>
                <w:rFonts w:ascii="Arial" w:eastAsia="Arial" w:hAnsi="Arial" w:cs="Arial"/>
                <w:b/>
                <w:color w:val="000000"/>
                <w:sz w:val="22"/>
                <w:szCs w:val="22"/>
              </w:rPr>
              <w:t>s výskytem sociálně vyloučených lokalit</w:t>
            </w:r>
          </w:p>
        </w:tc>
      </w:tr>
      <w:tr w:rsidR="00EA2748" w:rsidRPr="0007074B" w14:paraId="0817945A" w14:textId="77777777" w:rsidTr="00B460D5">
        <w:tc>
          <w:tcPr>
            <w:tcW w:w="2802" w:type="dxa"/>
          </w:tcPr>
          <w:p w14:paraId="0286B5BD"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Stručná definice: </w:t>
            </w:r>
          </w:p>
        </w:tc>
        <w:tc>
          <w:tcPr>
            <w:tcW w:w="6486" w:type="dxa"/>
          </w:tcPr>
          <w:p w14:paraId="04F6B8AE" w14:textId="77777777" w:rsidR="00EA2748" w:rsidRPr="0007074B" w:rsidRDefault="00EA2748" w:rsidP="00C516EA">
            <w:pPr>
              <w:spacing w:line="276" w:lineRule="auto"/>
              <w:jc w:val="both"/>
              <w:rPr>
                <w:rFonts w:ascii="Arial" w:hAnsi="Arial" w:cs="Arial"/>
                <w:sz w:val="22"/>
                <w:szCs w:val="22"/>
              </w:rPr>
            </w:pPr>
            <w:r w:rsidRPr="0007074B">
              <w:rPr>
                <w:rFonts w:ascii="Arial" w:hAnsi="Arial" w:cs="Arial"/>
                <w:sz w:val="22"/>
                <w:szCs w:val="22"/>
              </w:rPr>
              <w:t>Počet územních jednotek (obcí) v SO ORP, na jejichž území je identifikována sociálně vyloučená lokalita</w:t>
            </w:r>
          </w:p>
        </w:tc>
      </w:tr>
      <w:tr w:rsidR="00EA2748" w:rsidRPr="0007074B" w14:paraId="6731C840" w14:textId="77777777" w:rsidTr="00B460D5">
        <w:tc>
          <w:tcPr>
            <w:tcW w:w="2802" w:type="dxa"/>
          </w:tcPr>
          <w:p w14:paraId="0BA30074"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Jednotka:</w:t>
            </w:r>
          </w:p>
        </w:tc>
        <w:tc>
          <w:tcPr>
            <w:tcW w:w="6486" w:type="dxa"/>
          </w:tcPr>
          <w:p w14:paraId="07551C77" w14:textId="77777777" w:rsidR="00EA2748" w:rsidRPr="0007074B" w:rsidRDefault="00EA2748" w:rsidP="00C516EA">
            <w:pPr>
              <w:spacing w:line="276" w:lineRule="auto"/>
              <w:jc w:val="both"/>
              <w:rPr>
                <w:rFonts w:ascii="Arial" w:hAnsi="Arial" w:cs="Arial"/>
                <w:sz w:val="22"/>
                <w:szCs w:val="22"/>
              </w:rPr>
            </w:pPr>
            <w:r w:rsidRPr="0007074B">
              <w:rPr>
                <w:rFonts w:ascii="Arial" w:hAnsi="Arial" w:cs="Arial"/>
                <w:sz w:val="22"/>
                <w:szCs w:val="22"/>
              </w:rPr>
              <w:t>Územní jednotka (obec)</w:t>
            </w:r>
          </w:p>
        </w:tc>
      </w:tr>
      <w:tr w:rsidR="00EA2748" w:rsidRPr="0007074B" w14:paraId="28E6C218" w14:textId="77777777" w:rsidTr="00B460D5">
        <w:tc>
          <w:tcPr>
            <w:tcW w:w="2802" w:type="dxa"/>
          </w:tcPr>
          <w:p w14:paraId="7BDC37AF"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Gestor: </w:t>
            </w:r>
          </w:p>
        </w:tc>
        <w:tc>
          <w:tcPr>
            <w:tcW w:w="6486" w:type="dxa"/>
          </w:tcPr>
          <w:p w14:paraId="4A513839" w14:textId="77777777" w:rsidR="00EA2748" w:rsidRPr="0007074B" w:rsidRDefault="008A57D7" w:rsidP="00C516EA">
            <w:pPr>
              <w:spacing w:line="276" w:lineRule="auto"/>
              <w:jc w:val="both"/>
              <w:rPr>
                <w:rFonts w:ascii="Arial" w:hAnsi="Arial" w:cs="Arial"/>
                <w:sz w:val="22"/>
                <w:szCs w:val="22"/>
              </w:rPr>
            </w:pPr>
            <w:r>
              <w:rPr>
                <w:rFonts w:ascii="Arial" w:hAnsi="Arial" w:cs="Arial"/>
                <w:sz w:val="22"/>
                <w:szCs w:val="22"/>
              </w:rPr>
              <w:t>Úřad vlády</w:t>
            </w:r>
          </w:p>
        </w:tc>
      </w:tr>
      <w:tr w:rsidR="00EA2748" w:rsidRPr="0007074B" w14:paraId="516F7957" w14:textId="77777777" w:rsidTr="00B460D5">
        <w:tc>
          <w:tcPr>
            <w:tcW w:w="2802" w:type="dxa"/>
          </w:tcPr>
          <w:p w14:paraId="37B0CEF6" w14:textId="77777777" w:rsidR="00EA2748" w:rsidRPr="0007074B" w:rsidRDefault="00EA2748" w:rsidP="00C51B65">
            <w:pPr>
              <w:spacing w:line="276" w:lineRule="auto"/>
              <w:rPr>
                <w:rFonts w:ascii="Arial" w:hAnsi="Arial" w:cs="Arial"/>
                <w:sz w:val="22"/>
                <w:szCs w:val="22"/>
              </w:rPr>
            </w:pPr>
            <w:r>
              <w:rPr>
                <w:rFonts w:ascii="Arial" w:hAnsi="Arial" w:cs="Arial"/>
                <w:sz w:val="22"/>
                <w:szCs w:val="22"/>
              </w:rPr>
              <w:t xml:space="preserve"> </w:t>
            </w:r>
            <w:r w:rsidRPr="0007074B">
              <w:rPr>
                <w:rFonts w:ascii="Arial" w:hAnsi="Arial" w:cs="Arial"/>
                <w:sz w:val="22"/>
                <w:szCs w:val="22"/>
              </w:rPr>
              <w:t xml:space="preserve">Význam indikátoru: </w:t>
            </w:r>
          </w:p>
        </w:tc>
        <w:tc>
          <w:tcPr>
            <w:tcW w:w="6486" w:type="dxa"/>
          </w:tcPr>
          <w:p w14:paraId="15008EB5" w14:textId="77777777" w:rsidR="00EA2748" w:rsidRPr="0007074B" w:rsidRDefault="00EA2748" w:rsidP="00C516EA">
            <w:pPr>
              <w:spacing w:line="276" w:lineRule="auto"/>
              <w:jc w:val="both"/>
              <w:rPr>
                <w:rFonts w:ascii="Arial" w:hAnsi="Arial" w:cs="Arial"/>
                <w:sz w:val="22"/>
                <w:szCs w:val="22"/>
              </w:rPr>
            </w:pPr>
            <w:r w:rsidRPr="0007074B">
              <w:rPr>
                <w:rFonts w:ascii="Arial" w:hAnsi="Arial" w:cs="Arial"/>
                <w:sz w:val="22"/>
                <w:szCs w:val="22"/>
              </w:rPr>
              <w:t>Identifikace míry potřebné podpory pro územní jednotku</w:t>
            </w:r>
          </w:p>
        </w:tc>
      </w:tr>
      <w:tr w:rsidR="00EA2748" w:rsidRPr="0007074B" w14:paraId="4D94D533" w14:textId="77777777" w:rsidTr="00B460D5">
        <w:tc>
          <w:tcPr>
            <w:tcW w:w="2802" w:type="dxa"/>
          </w:tcPr>
          <w:p w14:paraId="3C8ED24D"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Časová řada: </w:t>
            </w:r>
          </w:p>
        </w:tc>
        <w:tc>
          <w:tcPr>
            <w:tcW w:w="6486" w:type="dxa"/>
          </w:tcPr>
          <w:p w14:paraId="4E26A9B1" w14:textId="724700B2" w:rsidR="00EA2748" w:rsidRPr="0007074B" w:rsidRDefault="00EA2748" w:rsidP="00C516EA">
            <w:pPr>
              <w:spacing w:line="276" w:lineRule="auto"/>
              <w:jc w:val="both"/>
              <w:rPr>
                <w:rFonts w:ascii="Arial" w:hAnsi="Arial" w:cs="Arial"/>
                <w:sz w:val="22"/>
                <w:szCs w:val="22"/>
              </w:rPr>
            </w:pPr>
            <w:r w:rsidRPr="0007074B">
              <w:rPr>
                <w:rFonts w:ascii="Arial" w:hAnsi="Arial" w:cs="Arial"/>
                <w:sz w:val="22"/>
                <w:szCs w:val="22"/>
              </w:rPr>
              <w:t>Výchozí stav: 2015 - Mapa sociálně vyloučených lokalit v ČR (MPSV, 2015)</w:t>
            </w:r>
            <w:r w:rsidR="00267BA8">
              <w:rPr>
                <w:rFonts w:ascii="Arial" w:hAnsi="Arial" w:cs="Arial"/>
                <w:sz w:val="22"/>
                <w:szCs w:val="22"/>
              </w:rPr>
              <w:t xml:space="preserve">, </w:t>
            </w:r>
          </w:p>
          <w:p w14:paraId="3C48BD59" w14:textId="77777777" w:rsidR="00EA2748" w:rsidRPr="0007074B" w:rsidRDefault="00EA2748" w:rsidP="00C516EA">
            <w:pPr>
              <w:spacing w:line="276" w:lineRule="auto"/>
              <w:jc w:val="both"/>
              <w:rPr>
                <w:rFonts w:ascii="Arial" w:hAnsi="Arial" w:cs="Arial"/>
                <w:sz w:val="22"/>
                <w:szCs w:val="22"/>
              </w:rPr>
            </w:pPr>
            <w:r w:rsidRPr="0007074B">
              <w:rPr>
                <w:rFonts w:ascii="Arial" w:hAnsi="Arial" w:cs="Arial"/>
                <w:sz w:val="22"/>
                <w:szCs w:val="22"/>
              </w:rPr>
              <w:t xml:space="preserve">1. aktualizace </w:t>
            </w:r>
            <w:r>
              <w:rPr>
                <w:rFonts w:ascii="Arial" w:hAnsi="Arial" w:cs="Arial"/>
                <w:sz w:val="22"/>
                <w:szCs w:val="22"/>
              </w:rPr>
              <w:t>–</w:t>
            </w:r>
            <w:r w:rsidRPr="0007074B">
              <w:rPr>
                <w:rFonts w:ascii="Arial" w:hAnsi="Arial" w:cs="Arial"/>
                <w:sz w:val="22"/>
                <w:szCs w:val="22"/>
              </w:rPr>
              <w:t xml:space="preserve"> 2018</w:t>
            </w:r>
          </w:p>
        </w:tc>
      </w:tr>
      <w:tr w:rsidR="00EA2748" w:rsidRPr="0007074B" w14:paraId="04373EB8" w14:textId="77777777" w:rsidTr="00B460D5">
        <w:tc>
          <w:tcPr>
            <w:tcW w:w="2802" w:type="dxa"/>
          </w:tcPr>
          <w:p w14:paraId="61C3E582"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Frekvence výstupu: </w:t>
            </w:r>
          </w:p>
        </w:tc>
        <w:tc>
          <w:tcPr>
            <w:tcW w:w="6486" w:type="dxa"/>
          </w:tcPr>
          <w:p w14:paraId="3348A037" w14:textId="77777777" w:rsidR="00EA2748" w:rsidRPr="0007074B" w:rsidRDefault="008A57D7" w:rsidP="00C516EA">
            <w:pPr>
              <w:spacing w:line="276" w:lineRule="auto"/>
              <w:jc w:val="both"/>
              <w:rPr>
                <w:rFonts w:ascii="Arial" w:hAnsi="Arial" w:cs="Arial"/>
                <w:sz w:val="22"/>
                <w:szCs w:val="22"/>
              </w:rPr>
            </w:pPr>
            <w:r>
              <w:rPr>
                <w:rFonts w:ascii="Arial" w:hAnsi="Arial" w:cs="Arial"/>
                <w:sz w:val="22"/>
                <w:szCs w:val="22"/>
              </w:rPr>
              <w:t xml:space="preserve">Ročně </w:t>
            </w:r>
          </w:p>
        </w:tc>
      </w:tr>
      <w:tr w:rsidR="00EA2748" w:rsidRPr="0007074B" w14:paraId="3DEBC517" w14:textId="77777777" w:rsidTr="00B460D5">
        <w:trPr>
          <w:trHeight w:val="70"/>
        </w:trPr>
        <w:tc>
          <w:tcPr>
            <w:tcW w:w="2802" w:type="dxa"/>
          </w:tcPr>
          <w:p w14:paraId="566DB910"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Členění indikátoru: </w:t>
            </w:r>
          </w:p>
        </w:tc>
        <w:tc>
          <w:tcPr>
            <w:tcW w:w="6486" w:type="dxa"/>
          </w:tcPr>
          <w:p w14:paraId="1860355C" w14:textId="3E777DA0" w:rsidR="00EA2748" w:rsidRPr="0007074B" w:rsidRDefault="00EA2748" w:rsidP="00C516EA">
            <w:pPr>
              <w:spacing w:line="276" w:lineRule="auto"/>
              <w:jc w:val="both"/>
              <w:rPr>
                <w:rFonts w:ascii="Arial" w:hAnsi="Arial" w:cs="Arial"/>
                <w:sz w:val="22"/>
                <w:szCs w:val="22"/>
              </w:rPr>
            </w:pPr>
            <w:r w:rsidRPr="0007074B">
              <w:rPr>
                <w:rFonts w:ascii="Arial" w:hAnsi="Arial" w:cs="Arial"/>
                <w:sz w:val="22"/>
                <w:szCs w:val="22"/>
              </w:rPr>
              <w:t>Počet jednotek v rámci SO ORP</w:t>
            </w:r>
            <w:r w:rsidR="00267BA8">
              <w:rPr>
                <w:rFonts w:ascii="Arial" w:hAnsi="Arial" w:cs="Arial"/>
                <w:sz w:val="22"/>
                <w:szCs w:val="22"/>
              </w:rPr>
              <w:t>, p</w:t>
            </w:r>
            <w:r w:rsidRPr="0007074B">
              <w:rPr>
                <w:rFonts w:ascii="Arial" w:hAnsi="Arial" w:cs="Arial"/>
                <w:sz w:val="22"/>
                <w:szCs w:val="22"/>
              </w:rPr>
              <w:t>očet jednotek v</w:t>
            </w:r>
            <w:r w:rsidR="008A57D7">
              <w:rPr>
                <w:rFonts w:ascii="Arial" w:hAnsi="Arial" w:cs="Arial"/>
                <w:sz w:val="22"/>
                <w:szCs w:val="22"/>
              </w:rPr>
              <w:t> </w:t>
            </w:r>
            <w:r w:rsidRPr="0007074B">
              <w:rPr>
                <w:rFonts w:ascii="Arial" w:hAnsi="Arial" w:cs="Arial"/>
                <w:sz w:val="22"/>
                <w:szCs w:val="22"/>
              </w:rPr>
              <w:t>kraji</w:t>
            </w:r>
          </w:p>
        </w:tc>
      </w:tr>
      <w:tr w:rsidR="00EA2748" w:rsidRPr="0007074B" w14:paraId="4153B48F" w14:textId="77777777" w:rsidTr="00B460D5">
        <w:trPr>
          <w:trHeight w:val="70"/>
        </w:trPr>
        <w:tc>
          <w:tcPr>
            <w:tcW w:w="2802" w:type="dxa"/>
          </w:tcPr>
          <w:p w14:paraId="18F4E5D0"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Mezinárodní srovnání:</w:t>
            </w:r>
          </w:p>
        </w:tc>
        <w:tc>
          <w:tcPr>
            <w:tcW w:w="6486" w:type="dxa"/>
          </w:tcPr>
          <w:p w14:paraId="062129F8" w14:textId="77777777" w:rsidR="00EA2748" w:rsidRPr="0007074B" w:rsidRDefault="00EA2748" w:rsidP="00C516EA">
            <w:pPr>
              <w:spacing w:line="276" w:lineRule="auto"/>
              <w:jc w:val="both"/>
              <w:rPr>
                <w:rFonts w:ascii="Arial" w:hAnsi="Arial" w:cs="Arial"/>
                <w:sz w:val="22"/>
                <w:szCs w:val="22"/>
              </w:rPr>
            </w:pPr>
            <w:r w:rsidRPr="0007074B">
              <w:rPr>
                <w:rFonts w:ascii="Arial" w:hAnsi="Arial" w:cs="Arial"/>
                <w:sz w:val="22"/>
                <w:szCs w:val="22"/>
              </w:rPr>
              <w:t xml:space="preserve">Odpovídající analýzy a monitorovací systémy v členských zemích EU (např. Atlas romských komunit na Slovensku 2013; Lechner Institut v Budapešti; </w:t>
            </w:r>
            <w:proofErr w:type="spellStart"/>
            <w:r w:rsidRPr="0007074B">
              <w:rPr>
                <w:rFonts w:ascii="Arial" w:hAnsi="Arial" w:cs="Arial"/>
                <w:sz w:val="22"/>
                <w:szCs w:val="22"/>
              </w:rPr>
              <w:t>Scottish</w:t>
            </w:r>
            <w:proofErr w:type="spellEnd"/>
            <w:r w:rsidRPr="0007074B">
              <w:rPr>
                <w:rFonts w:ascii="Arial" w:hAnsi="Arial" w:cs="Arial"/>
                <w:sz w:val="22"/>
                <w:szCs w:val="22"/>
              </w:rPr>
              <w:t xml:space="preserve"> index </w:t>
            </w:r>
            <w:proofErr w:type="spellStart"/>
            <w:r w:rsidRPr="0007074B">
              <w:rPr>
                <w:rFonts w:ascii="Arial" w:hAnsi="Arial" w:cs="Arial"/>
                <w:sz w:val="22"/>
                <w:szCs w:val="22"/>
              </w:rPr>
              <w:t>of</w:t>
            </w:r>
            <w:proofErr w:type="spellEnd"/>
            <w:r w:rsidRPr="0007074B">
              <w:rPr>
                <w:rFonts w:ascii="Arial" w:hAnsi="Arial" w:cs="Arial"/>
                <w:sz w:val="22"/>
                <w:szCs w:val="22"/>
              </w:rPr>
              <w:t xml:space="preserve"> </w:t>
            </w:r>
            <w:proofErr w:type="spellStart"/>
            <w:r w:rsidRPr="0007074B">
              <w:rPr>
                <w:rFonts w:ascii="Arial" w:hAnsi="Arial" w:cs="Arial"/>
                <w:sz w:val="22"/>
                <w:szCs w:val="22"/>
              </w:rPr>
              <w:t>multiple</w:t>
            </w:r>
            <w:proofErr w:type="spellEnd"/>
            <w:r w:rsidRPr="0007074B">
              <w:rPr>
                <w:rFonts w:ascii="Arial" w:hAnsi="Arial" w:cs="Arial"/>
                <w:sz w:val="22"/>
                <w:szCs w:val="22"/>
              </w:rPr>
              <w:t xml:space="preserve"> </w:t>
            </w:r>
            <w:proofErr w:type="spellStart"/>
            <w:r w:rsidRPr="0007074B">
              <w:rPr>
                <w:rFonts w:ascii="Arial" w:hAnsi="Arial" w:cs="Arial"/>
                <w:sz w:val="22"/>
                <w:szCs w:val="22"/>
              </w:rPr>
              <w:t>deprivation</w:t>
            </w:r>
            <w:proofErr w:type="spellEnd"/>
            <w:r w:rsidRPr="0007074B">
              <w:rPr>
                <w:rFonts w:ascii="Arial" w:hAnsi="Arial" w:cs="Arial"/>
                <w:sz w:val="22"/>
                <w:szCs w:val="22"/>
              </w:rPr>
              <w:t xml:space="preserve">; </w:t>
            </w:r>
            <w:proofErr w:type="spellStart"/>
            <w:r w:rsidRPr="0007074B">
              <w:rPr>
                <w:rFonts w:ascii="Arial" w:hAnsi="Arial" w:cs="Arial"/>
                <w:sz w:val="22"/>
                <w:szCs w:val="22"/>
              </w:rPr>
              <w:t>Bundesinstitut</w:t>
            </w:r>
            <w:proofErr w:type="spellEnd"/>
            <w:r w:rsidRPr="0007074B">
              <w:rPr>
                <w:rFonts w:ascii="Arial" w:hAnsi="Arial" w:cs="Arial"/>
                <w:sz w:val="22"/>
                <w:szCs w:val="22"/>
              </w:rPr>
              <w:t xml:space="preserve"> </w:t>
            </w:r>
            <w:proofErr w:type="spellStart"/>
            <w:r w:rsidRPr="0007074B">
              <w:rPr>
                <w:rFonts w:ascii="Arial" w:hAnsi="Arial" w:cs="Arial"/>
                <w:sz w:val="22"/>
                <w:szCs w:val="22"/>
              </w:rPr>
              <w:t>für</w:t>
            </w:r>
            <w:proofErr w:type="spellEnd"/>
            <w:r w:rsidRPr="0007074B">
              <w:rPr>
                <w:rFonts w:ascii="Arial" w:hAnsi="Arial" w:cs="Arial"/>
                <w:sz w:val="22"/>
                <w:szCs w:val="22"/>
              </w:rPr>
              <w:t xml:space="preserve"> </w:t>
            </w:r>
            <w:proofErr w:type="spellStart"/>
            <w:r w:rsidRPr="0007074B">
              <w:rPr>
                <w:rFonts w:ascii="Arial" w:hAnsi="Arial" w:cs="Arial"/>
                <w:sz w:val="22"/>
                <w:szCs w:val="22"/>
              </w:rPr>
              <w:t>Bau</w:t>
            </w:r>
            <w:proofErr w:type="spellEnd"/>
            <w:r w:rsidRPr="0007074B">
              <w:rPr>
                <w:rFonts w:ascii="Arial" w:hAnsi="Arial" w:cs="Arial"/>
                <w:sz w:val="22"/>
                <w:szCs w:val="22"/>
              </w:rPr>
              <w:t xml:space="preserve">-, </w:t>
            </w:r>
            <w:proofErr w:type="spellStart"/>
            <w:r w:rsidRPr="0007074B">
              <w:rPr>
                <w:rFonts w:ascii="Arial" w:hAnsi="Arial" w:cs="Arial"/>
                <w:sz w:val="22"/>
                <w:szCs w:val="22"/>
              </w:rPr>
              <w:t>Stadt</w:t>
            </w:r>
            <w:proofErr w:type="spellEnd"/>
            <w:r w:rsidRPr="0007074B">
              <w:rPr>
                <w:rFonts w:ascii="Arial" w:hAnsi="Arial" w:cs="Arial"/>
                <w:sz w:val="22"/>
                <w:szCs w:val="22"/>
              </w:rPr>
              <w:t xml:space="preserve">- </w:t>
            </w:r>
            <w:proofErr w:type="spellStart"/>
            <w:r w:rsidRPr="0007074B">
              <w:rPr>
                <w:rFonts w:ascii="Arial" w:hAnsi="Arial" w:cs="Arial"/>
                <w:sz w:val="22"/>
                <w:szCs w:val="22"/>
              </w:rPr>
              <w:t>und</w:t>
            </w:r>
            <w:proofErr w:type="spellEnd"/>
            <w:r w:rsidRPr="0007074B">
              <w:rPr>
                <w:rFonts w:ascii="Arial" w:hAnsi="Arial" w:cs="Arial"/>
                <w:sz w:val="22"/>
                <w:szCs w:val="22"/>
              </w:rPr>
              <w:t xml:space="preserve"> </w:t>
            </w:r>
            <w:proofErr w:type="spellStart"/>
            <w:r w:rsidRPr="0007074B">
              <w:rPr>
                <w:rFonts w:ascii="Arial" w:hAnsi="Arial" w:cs="Arial"/>
                <w:sz w:val="22"/>
                <w:szCs w:val="22"/>
              </w:rPr>
              <w:t>Raumforschung</w:t>
            </w:r>
            <w:proofErr w:type="spellEnd"/>
            <w:r w:rsidRPr="0007074B">
              <w:rPr>
                <w:rFonts w:ascii="Arial" w:hAnsi="Arial" w:cs="Arial"/>
                <w:sz w:val="22"/>
                <w:szCs w:val="22"/>
              </w:rPr>
              <w:t>)</w:t>
            </w:r>
          </w:p>
        </w:tc>
      </w:tr>
    </w:tbl>
    <w:p w14:paraId="4342A4E5" w14:textId="77777777" w:rsidR="00EA2748" w:rsidRPr="0007074B" w:rsidRDefault="00EA2748" w:rsidP="00C51B65">
      <w:pPr>
        <w:spacing w:line="276" w:lineRule="auto"/>
        <w:ind w:left="567"/>
        <w:jc w:val="both"/>
        <w:rPr>
          <w:rFonts w:ascii="Arial" w:eastAsia="Calibri" w:hAnsi="Arial" w:cs="Arial"/>
          <w:i/>
          <w:sz w:val="22"/>
          <w:szCs w:val="22"/>
        </w:rPr>
      </w:pPr>
    </w:p>
    <w:tbl>
      <w:tblPr>
        <w:tblStyle w:val="Mkatabulky"/>
        <w:tblW w:w="0" w:type="auto"/>
        <w:tblLook w:val="04A0" w:firstRow="1" w:lastRow="0" w:firstColumn="1" w:lastColumn="0" w:noHBand="0" w:noVBand="1"/>
      </w:tblPr>
      <w:tblGrid>
        <w:gridCol w:w="2802"/>
        <w:gridCol w:w="6486"/>
      </w:tblGrid>
      <w:tr w:rsidR="00EA2748" w:rsidRPr="0007074B" w14:paraId="1CC193F8" w14:textId="77777777" w:rsidTr="00B460D5">
        <w:tc>
          <w:tcPr>
            <w:tcW w:w="2802" w:type="dxa"/>
          </w:tcPr>
          <w:p w14:paraId="6EBCC1F3"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Název a označení indikátoru: </w:t>
            </w:r>
          </w:p>
        </w:tc>
        <w:tc>
          <w:tcPr>
            <w:tcW w:w="6486" w:type="dxa"/>
          </w:tcPr>
          <w:p w14:paraId="5A698288" w14:textId="77777777" w:rsidR="00EA2748" w:rsidRPr="002F643E" w:rsidRDefault="008A57D7" w:rsidP="00C51B65">
            <w:pPr>
              <w:spacing w:line="276" w:lineRule="auto"/>
              <w:rPr>
                <w:rFonts w:ascii="Arial" w:eastAsia="Arial" w:hAnsi="Arial" w:cs="Arial"/>
                <w:b/>
                <w:color w:val="000000"/>
                <w:sz w:val="22"/>
                <w:szCs w:val="22"/>
              </w:rPr>
            </w:pPr>
            <w:r>
              <w:rPr>
                <w:rFonts w:ascii="Arial" w:eastAsia="Arial" w:hAnsi="Arial" w:cs="Arial"/>
                <w:b/>
                <w:color w:val="000000"/>
                <w:sz w:val="22"/>
                <w:szCs w:val="22"/>
              </w:rPr>
              <w:t>17</w:t>
            </w:r>
            <w:r w:rsidR="00EA2748" w:rsidRPr="002F643E">
              <w:rPr>
                <w:rFonts w:ascii="Arial" w:eastAsia="Arial" w:hAnsi="Arial" w:cs="Arial"/>
                <w:b/>
                <w:color w:val="000000"/>
                <w:sz w:val="22"/>
                <w:szCs w:val="22"/>
              </w:rPr>
              <w:t xml:space="preserve">.4.2 Podíl osob vykazujících známky sociálního vyloučení </w:t>
            </w:r>
          </w:p>
        </w:tc>
      </w:tr>
      <w:tr w:rsidR="00EA2748" w:rsidRPr="0007074B" w14:paraId="68B330F6" w14:textId="77777777" w:rsidTr="00B460D5">
        <w:tc>
          <w:tcPr>
            <w:tcW w:w="2802" w:type="dxa"/>
          </w:tcPr>
          <w:p w14:paraId="49564E89"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Stručná definice: </w:t>
            </w:r>
          </w:p>
        </w:tc>
        <w:tc>
          <w:tcPr>
            <w:tcW w:w="6486" w:type="dxa"/>
          </w:tcPr>
          <w:p w14:paraId="0F0FB584" w14:textId="77777777" w:rsidR="00EA2748" w:rsidRPr="0007074B" w:rsidRDefault="00EA2748" w:rsidP="00C516EA">
            <w:pPr>
              <w:spacing w:line="276" w:lineRule="auto"/>
              <w:jc w:val="both"/>
              <w:rPr>
                <w:rFonts w:ascii="Arial" w:hAnsi="Arial" w:cs="Arial"/>
                <w:sz w:val="22"/>
                <w:szCs w:val="22"/>
              </w:rPr>
            </w:pPr>
            <w:r w:rsidRPr="0007074B">
              <w:rPr>
                <w:rFonts w:ascii="Arial" w:hAnsi="Arial" w:cs="Arial"/>
                <w:sz w:val="22"/>
                <w:szCs w:val="22"/>
              </w:rPr>
              <w:t xml:space="preserve">Podíl osob vykazujících komplex sociálních problémů (chudoba, zadluženost, nízké vzdělání, nízká ekonomická intenzita, nízká </w:t>
            </w:r>
            <w:r w:rsidRPr="0007074B">
              <w:rPr>
                <w:rFonts w:ascii="Arial" w:hAnsi="Arial" w:cs="Arial"/>
                <w:sz w:val="22"/>
                <w:szCs w:val="22"/>
              </w:rPr>
              <w:lastRenderedPageBreak/>
              <w:t xml:space="preserve">sociální mobilita, </w:t>
            </w:r>
            <w:proofErr w:type="spellStart"/>
            <w:r w:rsidRPr="0007074B">
              <w:rPr>
                <w:rFonts w:ascii="Arial" w:hAnsi="Arial" w:cs="Arial"/>
                <w:sz w:val="22"/>
                <w:szCs w:val="22"/>
              </w:rPr>
              <w:t>substandardní</w:t>
            </w:r>
            <w:proofErr w:type="spellEnd"/>
            <w:r w:rsidRPr="0007074B">
              <w:rPr>
                <w:rFonts w:ascii="Arial" w:hAnsi="Arial" w:cs="Arial"/>
                <w:sz w:val="22"/>
                <w:szCs w:val="22"/>
              </w:rPr>
              <w:t xml:space="preserve"> bydlení) k celkové populaci v rámci dané územní jednotky</w:t>
            </w:r>
          </w:p>
        </w:tc>
      </w:tr>
      <w:tr w:rsidR="00EA2748" w:rsidRPr="0007074B" w14:paraId="66F16AB9" w14:textId="77777777" w:rsidTr="00B460D5">
        <w:tc>
          <w:tcPr>
            <w:tcW w:w="2802" w:type="dxa"/>
          </w:tcPr>
          <w:p w14:paraId="3D6A4D6C"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lastRenderedPageBreak/>
              <w:t>Jednotka:</w:t>
            </w:r>
          </w:p>
        </w:tc>
        <w:tc>
          <w:tcPr>
            <w:tcW w:w="6486" w:type="dxa"/>
          </w:tcPr>
          <w:p w14:paraId="3228EBF9" w14:textId="77777777" w:rsidR="00EA2748" w:rsidRPr="0007074B" w:rsidRDefault="008A57D7" w:rsidP="00C516EA">
            <w:pPr>
              <w:spacing w:line="276" w:lineRule="auto"/>
              <w:jc w:val="both"/>
              <w:rPr>
                <w:rFonts w:ascii="Arial" w:hAnsi="Arial" w:cs="Arial"/>
                <w:sz w:val="22"/>
                <w:szCs w:val="22"/>
              </w:rPr>
            </w:pPr>
            <w:r>
              <w:rPr>
                <w:rFonts w:ascii="Arial" w:hAnsi="Arial" w:cs="Arial"/>
                <w:sz w:val="22"/>
                <w:szCs w:val="22"/>
              </w:rPr>
              <w:t>Podíl osob</w:t>
            </w:r>
          </w:p>
        </w:tc>
      </w:tr>
      <w:tr w:rsidR="00EA2748" w:rsidRPr="0007074B" w14:paraId="042C775C" w14:textId="77777777" w:rsidTr="00B460D5">
        <w:tc>
          <w:tcPr>
            <w:tcW w:w="2802" w:type="dxa"/>
          </w:tcPr>
          <w:p w14:paraId="56982F0C"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Gestor: </w:t>
            </w:r>
          </w:p>
        </w:tc>
        <w:tc>
          <w:tcPr>
            <w:tcW w:w="6486" w:type="dxa"/>
          </w:tcPr>
          <w:p w14:paraId="2751B228" w14:textId="77777777" w:rsidR="00EA2748" w:rsidRPr="0007074B" w:rsidRDefault="008A57D7" w:rsidP="00C516EA">
            <w:pPr>
              <w:spacing w:line="276" w:lineRule="auto"/>
              <w:jc w:val="both"/>
              <w:rPr>
                <w:rFonts w:ascii="Arial" w:hAnsi="Arial" w:cs="Arial"/>
                <w:sz w:val="22"/>
                <w:szCs w:val="22"/>
              </w:rPr>
            </w:pPr>
            <w:r>
              <w:rPr>
                <w:rFonts w:ascii="Arial" w:hAnsi="Arial" w:cs="Arial"/>
                <w:sz w:val="22"/>
                <w:szCs w:val="22"/>
              </w:rPr>
              <w:t>Úřad vlády</w:t>
            </w:r>
          </w:p>
        </w:tc>
      </w:tr>
      <w:tr w:rsidR="00EA2748" w:rsidRPr="0007074B" w14:paraId="3460F1A6" w14:textId="77777777" w:rsidTr="00B460D5">
        <w:tc>
          <w:tcPr>
            <w:tcW w:w="2802" w:type="dxa"/>
          </w:tcPr>
          <w:p w14:paraId="38EBBB32"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Význam indikátoru: </w:t>
            </w:r>
          </w:p>
        </w:tc>
        <w:tc>
          <w:tcPr>
            <w:tcW w:w="6486" w:type="dxa"/>
          </w:tcPr>
          <w:p w14:paraId="46793E89" w14:textId="77777777" w:rsidR="00EA2748" w:rsidRPr="0007074B" w:rsidRDefault="00EA2748" w:rsidP="00C516EA">
            <w:pPr>
              <w:spacing w:line="276" w:lineRule="auto"/>
              <w:jc w:val="both"/>
              <w:rPr>
                <w:rFonts w:ascii="Arial" w:hAnsi="Arial" w:cs="Arial"/>
                <w:sz w:val="22"/>
                <w:szCs w:val="22"/>
              </w:rPr>
            </w:pPr>
            <w:r w:rsidRPr="0007074B">
              <w:rPr>
                <w:rFonts w:ascii="Arial" w:hAnsi="Arial" w:cs="Arial"/>
                <w:sz w:val="22"/>
                <w:szCs w:val="22"/>
              </w:rPr>
              <w:t>Identifikace míry potřebné podpory pro územní jednotku</w:t>
            </w:r>
          </w:p>
        </w:tc>
      </w:tr>
      <w:tr w:rsidR="00EA2748" w:rsidRPr="0007074B" w14:paraId="3A51E481" w14:textId="77777777" w:rsidTr="00B460D5">
        <w:tc>
          <w:tcPr>
            <w:tcW w:w="2802" w:type="dxa"/>
          </w:tcPr>
          <w:p w14:paraId="06234C05"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Časová řada: </w:t>
            </w:r>
          </w:p>
        </w:tc>
        <w:tc>
          <w:tcPr>
            <w:tcW w:w="6486" w:type="dxa"/>
          </w:tcPr>
          <w:p w14:paraId="1327FFB6" w14:textId="77777777" w:rsidR="00EA2748" w:rsidRPr="0007074B" w:rsidRDefault="00EA2748" w:rsidP="00C516EA">
            <w:pPr>
              <w:spacing w:line="276" w:lineRule="auto"/>
              <w:jc w:val="both"/>
              <w:rPr>
                <w:rFonts w:ascii="Arial" w:hAnsi="Arial" w:cs="Arial"/>
                <w:sz w:val="22"/>
                <w:szCs w:val="22"/>
              </w:rPr>
            </w:pPr>
            <w:r w:rsidRPr="0007074B">
              <w:rPr>
                <w:rFonts w:ascii="Arial" w:hAnsi="Arial" w:cs="Arial"/>
                <w:sz w:val="22"/>
                <w:szCs w:val="22"/>
              </w:rPr>
              <w:t xml:space="preserve">Výchozí stav: 2015 - Mapa sociálně vyloučených lokalit v ČR (MPSV, 2015) </w:t>
            </w:r>
          </w:p>
          <w:p w14:paraId="00899CD2" w14:textId="77777777" w:rsidR="00EA2748" w:rsidRPr="0007074B" w:rsidRDefault="00EA2748" w:rsidP="00C516EA">
            <w:pPr>
              <w:spacing w:line="276" w:lineRule="auto"/>
              <w:jc w:val="both"/>
              <w:rPr>
                <w:rFonts w:ascii="Arial" w:hAnsi="Arial" w:cs="Arial"/>
                <w:sz w:val="22"/>
                <w:szCs w:val="22"/>
              </w:rPr>
            </w:pPr>
            <w:r w:rsidRPr="0007074B">
              <w:rPr>
                <w:rFonts w:ascii="Arial" w:hAnsi="Arial" w:cs="Arial"/>
                <w:sz w:val="22"/>
                <w:szCs w:val="22"/>
              </w:rPr>
              <w:t xml:space="preserve">1. aktualizace </w:t>
            </w:r>
            <w:r>
              <w:rPr>
                <w:rFonts w:ascii="Arial" w:hAnsi="Arial" w:cs="Arial"/>
                <w:sz w:val="22"/>
                <w:szCs w:val="22"/>
              </w:rPr>
              <w:t>–</w:t>
            </w:r>
            <w:r w:rsidRPr="0007074B">
              <w:rPr>
                <w:rFonts w:ascii="Arial" w:hAnsi="Arial" w:cs="Arial"/>
                <w:sz w:val="22"/>
                <w:szCs w:val="22"/>
              </w:rPr>
              <w:t xml:space="preserve"> 2018</w:t>
            </w:r>
          </w:p>
        </w:tc>
      </w:tr>
      <w:tr w:rsidR="00EA2748" w:rsidRPr="0007074B" w14:paraId="2348A11D" w14:textId="77777777" w:rsidTr="00B460D5">
        <w:tc>
          <w:tcPr>
            <w:tcW w:w="2802" w:type="dxa"/>
          </w:tcPr>
          <w:p w14:paraId="72B7F5E3"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Frekvence výstupu: </w:t>
            </w:r>
          </w:p>
        </w:tc>
        <w:tc>
          <w:tcPr>
            <w:tcW w:w="6486" w:type="dxa"/>
          </w:tcPr>
          <w:p w14:paraId="166106A5" w14:textId="77777777" w:rsidR="00EA2748" w:rsidRPr="0007074B" w:rsidRDefault="008A57D7" w:rsidP="00C516EA">
            <w:pPr>
              <w:spacing w:line="276" w:lineRule="auto"/>
              <w:jc w:val="both"/>
              <w:rPr>
                <w:rFonts w:ascii="Arial" w:hAnsi="Arial" w:cs="Arial"/>
                <w:sz w:val="22"/>
                <w:szCs w:val="22"/>
              </w:rPr>
            </w:pPr>
            <w:r>
              <w:rPr>
                <w:rFonts w:ascii="Arial" w:hAnsi="Arial" w:cs="Arial"/>
                <w:sz w:val="22"/>
                <w:szCs w:val="22"/>
              </w:rPr>
              <w:t>Ročně</w:t>
            </w:r>
          </w:p>
        </w:tc>
      </w:tr>
      <w:tr w:rsidR="00EA2748" w:rsidRPr="0007074B" w14:paraId="25CC47F4" w14:textId="77777777" w:rsidTr="00B460D5">
        <w:trPr>
          <w:trHeight w:val="70"/>
        </w:trPr>
        <w:tc>
          <w:tcPr>
            <w:tcW w:w="2802" w:type="dxa"/>
          </w:tcPr>
          <w:p w14:paraId="34599FB7"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Členění indikátoru: </w:t>
            </w:r>
          </w:p>
        </w:tc>
        <w:tc>
          <w:tcPr>
            <w:tcW w:w="6486" w:type="dxa"/>
          </w:tcPr>
          <w:p w14:paraId="47C32E19" w14:textId="78DE5FEC" w:rsidR="00EA2748" w:rsidRPr="0007074B" w:rsidRDefault="00EA2748" w:rsidP="00C516EA">
            <w:pPr>
              <w:spacing w:line="276" w:lineRule="auto"/>
              <w:jc w:val="both"/>
              <w:rPr>
                <w:rFonts w:ascii="Arial" w:hAnsi="Arial" w:cs="Arial"/>
                <w:sz w:val="22"/>
                <w:szCs w:val="22"/>
              </w:rPr>
            </w:pPr>
            <w:r w:rsidRPr="0007074B">
              <w:rPr>
                <w:rFonts w:ascii="Arial" w:hAnsi="Arial" w:cs="Arial"/>
                <w:sz w:val="22"/>
                <w:szCs w:val="22"/>
              </w:rPr>
              <w:t>Podíl osob vykazujících známky sociální</w:t>
            </w:r>
            <w:r w:rsidR="00744A4F">
              <w:rPr>
                <w:rFonts w:ascii="Arial" w:hAnsi="Arial" w:cs="Arial"/>
                <w:sz w:val="22"/>
                <w:szCs w:val="22"/>
              </w:rPr>
              <w:t>ho vyloučení v územní jednotce</w:t>
            </w:r>
            <w:r w:rsidRPr="0007074B">
              <w:rPr>
                <w:rFonts w:ascii="Arial" w:hAnsi="Arial" w:cs="Arial"/>
                <w:sz w:val="22"/>
                <w:szCs w:val="22"/>
              </w:rPr>
              <w:t xml:space="preserve"> </w:t>
            </w:r>
            <w:r w:rsidR="00744A4F">
              <w:rPr>
                <w:rFonts w:ascii="Arial" w:hAnsi="Arial" w:cs="Arial"/>
                <w:sz w:val="22"/>
                <w:szCs w:val="22"/>
              </w:rPr>
              <w:t>(</w:t>
            </w:r>
            <w:r w:rsidRPr="0007074B">
              <w:rPr>
                <w:rFonts w:ascii="Arial" w:hAnsi="Arial" w:cs="Arial"/>
                <w:sz w:val="22"/>
                <w:szCs w:val="22"/>
              </w:rPr>
              <w:t>obci</w:t>
            </w:r>
            <w:r w:rsidR="00744A4F">
              <w:rPr>
                <w:rFonts w:ascii="Arial" w:hAnsi="Arial" w:cs="Arial"/>
                <w:sz w:val="22"/>
                <w:szCs w:val="22"/>
              </w:rPr>
              <w:t>, kraji a SO ORP)</w:t>
            </w:r>
          </w:p>
        </w:tc>
      </w:tr>
      <w:tr w:rsidR="00EA2748" w:rsidRPr="0007074B" w14:paraId="1A9E035B" w14:textId="77777777" w:rsidTr="00B460D5">
        <w:trPr>
          <w:trHeight w:val="70"/>
        </w:trPr>
        <w:tc>
          <w:tcPr>
            <w:tcW w:w="2802" w:type="dxa"/>
          </w:tcPr>
          <w:p w14:paraId="28F1316F"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Mezinárodní srovnání:</w:t>
            </w:r>
          </w:p>
        </w:tc>
        <w:tc>
          <w:tcPr>
            <w:tcW w:w="6486" w:type="dxa"/>
          </w:tcPr>
          <w:p w14:paraId="48024857" w14:textId="77777777" w:rsidR="00EA2748" w:rsidRPr="0007074B" w:rsidRDefault="00EA2748" w:rsidP="00C516EA">
            <w:pPr>
              <w:spacing w:line="276" w:lineRule="auto"/>
              <w:jc w:val="both"/>
              <w:rPr>
                <w:rFonts w:ascii="Arial" w:hAnsi="Arial" w:cs="Arial"/>
                <w:sz w:val="22"/>
                <w:szCs w:val="22"/>
              </w:rPr>
            </w:pPr>
            <w:r w:rsidRPr="0007074B">
              <w:rPr>
                <w:rFonts w:ascii="Arial" w:hAnsi="Arial" w:cs="Arial"/>
                <w:sz w:val="22"/>
                <w:szCs w:val="22"/>
              </w:rPr>
              <w:t xml:space="preserve">Odpovídající analýzy a monitorovací systémy v členských zemích EU (např. Atlas romských komunit na Slovensku 2013; Lechner Institut v Budapešti; </w:t>
            </w:r>
            <w:proofErr w:type="spellStart"/>
            <w:r w:rsidRPr="0007074B">
              <w:rPr>
                <w:rFonts w:ascii="Arial" w:hAnsi="Arial" w:cs="Arial"/>
                <w:sz w:val="22"/>
                <w:szCs w:val="22"/>
              </w:rPr>
              <w:t>Scottish</w:t>
            </w:r>
            <w:proofErr w:type="spellEnd"/>
            <w:r w:rsidRPr="0007074B">
              <w:rPr>
                <w:rFonts w:ascii="Arial" w:hAnsi="Arial" w:cs="Arial"/>
                <w:sz w:val="22"/>
                <w:szCs w:val="22"/>
              </w:rPr>
              <w:t xml:space="preserve"> index </w:t>
            </w:r>
            <w:proofErr w:type="spellStart"/>
            <w:r w:rsidRPr="0007074B">
              <w:rPr>
                <w:rFonts w:ascii="Arial" w:hAnsi="Arial" w:cs="Arial"/>
                <w:sz w:val="22"/>
                <w:szCs w:val="22"/>
              </w:rPr>
              <w:t>of</w:t>
            </w:r>
            <w:proofErr w:type="spellEnd"/>
            <w:r w:rsidRPr="0007074B">
              <w:rPr>
                <w:rFonts w:ascii="Arial" w:hAnsi="Arial" w:cs="Arial"/>
                <w:sz w:val="22"/>
                <w:szCs w:val="22"/>
              </w:rPr>
              <w:t xml:space="preserve"> </w:t>
            </w:r>
            <w:proofErr w:type="spellStart"/>
            <w:r w:rsidRPr="0007074B">
              <w:rPr>
                <w:rFonts w:ascii="Arial" w:hAnsi="Arial" w:cs="Arial"/>
                <w:sz w:val="22"/>
                <w:szCs w:val="22"/>
              </w:rPr>
              <w:t>multiple</w:t>
            </w:r>
            <w:proofErr w:type="spellEnd"/>
            <w:r w:rsidRPr="0007074B">
              <w:rPr>
                <w:rFonts w:ascii="Arial" w:hAnsi="Arial" w:cs="Arial"/>
                <w:sz w:val="22"/>
                <w:szCs w:val="22"/>
              </w:rPr>
              <w:t xml:space="preserve"> </w:t>
            </w:r>
            <w:proofErr w:type="spellStart"/>
            <w:r w:rsidRPr="0007074B">
              <w:rPr>
                <w:rFonts w:ascii="Arial" w:hAnsi="Arial" w:cs="Arial"/>
                <w:sz w:val="22"/>
                <w:szCs w:val="22"/>
              </w:rPr>
              <w:t>deprivation</w:t>
            </w:r>
            <w:proofErr w:type="spellEnd"/>
            <w:r w:rsidRPr="0007074B">
              <w:rPr>
                <w:rFonts w:ascii="Arial" w:hAnsi="Arial" w:cs="Arial"/>
                <w:sz w:val="22"/>
                <w:szCs w:val="22"/>
              </w:rPr>
              <w:t xml:space="preserve">; </w:t>
            </w:r>
            <w:proofErr w:type="spellStart"/>
            <w:r w:rsidRPr="0007074B">
              <w:rPr>
                <w:rFonts w:ascii="Arial" w:hAnsi="Arial" w:cs="Arial"/>
                <w:sz w:val="22"/>
                <w:szCs w:val="22"/>
              </w:rPr>
              <w:t>Bundesinstitut</w:t>
            </w:r>
            <w:proofErr w:type="spellEnd"/>
            <w:r w:rsidRPr="0007074B">
              <w:rPr>
                <w:rFonts w:ascii="Arial" w:hAnsi="Arial" w:cs="Arial"/>
                <w:sz w:val="22"/>
                <w:szCs w:val="22"/>
              </w:rPr>
              <w:t xml:space="preserve"> </w:t>
            </w:r>
            <w:proofErr w:type="spellStart"/>
            <w:r w:rsidRPr="0007074B">
              <w:rPr>
                <w:rFonts w:ascii="Arial" w:hAnsi="Arial" w:cs="Arial"/>
                <w:sz w:val="22"/>
                <w:szCs w:val="22"/>
              </w:rPr>
              <w:t>für</w:t>
            </w:r>
            <w:proofErr w:type="spellEnd"/>
            <w:r w:rsidRPr="0007074B">
              <w:rPr>
                <w:rFonts w:ascii="Arial" w:hAnsi="Arial" w:cs="Arial"/>
                <w:sz w:val="22"/>
                <w:szCs w:val="22"/>
              </w:rPr>
              <w:t xml:space="preserve"> </w:t>
            </w:r>
            <w:proofErr w:type="spellStart"/>
            <w:r w:rsidRPr="0007074B">
              <w:rPr>
                <w:rFonts w:ascii="Arial" w:hAnsi="Arial" w:cs="Arial"/>
                <w:sz w:val="22"/>
                <w:szCs w:val="22"/>
              </w:rPr>
              <w:t>Bau</w:t>
            </w:r>
            <w:proofErr w:type="spellEnd"/>
            <w:r w:rsidRPr="0007074B">
              <w:rPr>
                <w:rFonts w:ascii="Arial" w:hAnsi="Arial" w:cs="Arial"/>
                <w:sz w:val="22"/>
                <w:szCs w:val="22"/>
              </w:rPr>
              <w:t xml:space="preserve">-, </w:t>
            </w:r>
            <w:proofErr w:type="spellStart"/>
            <w:r w:rsidRPr="0007074B">
              <w:rPr>
                <w:rFonts w:ascii="Arial" w:hAnsi="Arial" w:cs="Arial"/>
                <w:sz w:val="22"/>
                <w:szCs w:val="22"/>
              </w:rPr>
              <w:t>Stadt</w:t>
            </w:r>
            <w:proofErr w:type="spellEnd"/>
            <w:r w:rsidRPr="0007074B">
              <w:rPr>
                <w:rFonts w:ascii="Arial" w:hAnsi="Arial" w:cs="Arial"/>
                <w:sz w:val="22"/>
                <w:szCs w:val="22"/>
              </w:rPr>
              <w:t xml:space="preserve">- </w:t>
            </w:r>
            <w:proofErr w:type="spellStart"/>
            <w:r w:rsidRPr="0007074B">
              <w:rPr>
                <w:rFonts w:ascii="Arial" w:hAnsi="Arial" w:cs="Arial"/>
                <w:sz w:val="22"/>
                <w:szCs w:val="22"/>
              </w:rPr>
              <w:t>und</w:t>
            </w:r>
            <w:proofErr w:type="spellEnd"/>
            <w:r w:rsidRPr="0007074B">
              <w:rPr>
                <w:rFonts w:ascii="Arial" w:hAnsi="Arial" w:cs="Arial"/>
                <w:sz w:val="22"/>
                <w:szCs w:val="22"/>
              </w:rPr>
              <w:t xml:space="preserve"> </w:t>
            </w:r>
            <w:proofErr w:type="spellStart"/>
            <w:r w:rsidRPr="0007074B">
              <w:rPr>
                <w:rFonts w:ascii="Arial" w:hAnsi="Arial" w:cs="Arial"/>
                <w:sz w:val="22"/>
                <w:szCs w:val="22"/>
              </w:rPr>
              <w:t>Raumforschung</w:t>
            </w:r>
            <w:proofErr w:type="spellEnd"/>
            <w:r w:rsidRPr="0007074B">
              <w:rPr>
                <w:rFonts w:ascii="Arial" w:hAnsi="Arial" w:cs="Arial"/>
                <w:sz w:val="22"/>
                <w:szCs w:val="22"/>
              </w:rPr>
              <w:t>)</w:t>
            </w:r>
          </w:p>
        </w:tc>
      </w:tr>
    </w:tbl>
    <w:p w14:paraId="3AF3740E" w14:textId="77777777" w:rsidR="00EA2748" w:rsidRPr="0007074B" w:rsidRDefault="00EA2748" w:rsidP="00C51B65">
      <w:pPr>
        <w:spacing w:line="276" w:lineRule="auto"/>
        <w:ind w:left="567"/>
        <w:jc w:val="both"/>
        <w:rPr>
          <w:rFonts w:ascii="Arial" w:eastAsia="Calibri" w:hAnsi="Arial" w:cs="Arial"/>
          <w:i/>
          <w:sz w:val="22"/>
          <w:szCs w:val="22"/>
        </w:rPr>
      </w:pPr>
    </w:p>
    <w:tbl>
      <w:tblPr>
        <w:tblStyle w:val="Mkatabulky"/>
        <w:tblW w:w="0" w:type="auto"/>
        <w:tblLook w:val="04A0" w:firstRow="1" w:lastRow="0" w:firstColumn="1" w:lastColumn="0" w:noHBand="0" w:noVBand="1"/>
      </w:tblPr>
      <w:tblGrid>
        <w:gridCol w:w="2802"/>
        <w:gridCol w:w="6486"/>
      </w:tblGrid>
      <w:tr w:rsidR="00EA2748" w:rsidRPr="0007074B" w14:paraId="406C0BA6" w14:textId="77777777" w:rsidTr="00B460D5">
        <w:tc>
          <w:tcPr>
            <w:tcW w:w="2802" w:type="dxa"/>
          </w:tcPr>
          <w:p w14:paraId="28B80731"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Název a označení indikátoru: </w:t>
            </w:r>
          </w:p>
        </w:tc>
        <w:tc>
          <w:tcPr>
            <w:tcW w:w="6486" w:type="dxa"/>
          </w:tcPr>
          <w:p w14:paraId="36F8AEEE" w14:textId="77777777" w:rsidR="00EA2748" w:rsidRPr="002F643E" w:rsidRDefault="008A57D7" w:rsidP="00C51B65">
            <w:pPr>
              <w:spacing w:line="276" w:lineRule="auto"/>
              <w:rPr>
                <w:rFonts w:ascii="Arial" w:eastAsia="Arial" w:hAnsi="Arial" w:cs="Arial"/>
                <w:b/>
                <w:color w:val="000000"/>
                <w:sz w:val="22"/>
                <w:szCs w:val="22"/>
              </w:rPr>
            </w:pPr>
            <w:r>
              <w:rPr>
                <w:rFonts w:ascii="Arial" w:eastAsia="Arial" w:hAnsi="Arial" w:cs="Arial"/>
                <w:b/>
                <w:color w:val="000000"/>
                <w:sz w:val="22"/>
                <w:szCs w:val="22"/>
              </w:rPr>
              <w:t>17</w:t>
            </w:r>
            <w:r w:rsidR="00EA2748" w:rsidRPr="002F643E">
              <w:rPr>
                <w:rFonts w:ascii="Arial" w:eastAsia="Arial" w:hAnsi="Arial" w:cs="Arial"/>
                <w:b/>
                <w:color w:val="000000"/>
                <w:sz w:val="22"/>
                <w:szCs w:val="22"/>
              </w:rPr>
              <w:t>.4.3 Počet místních integrovaných strategií</w:t>
            </w:r>
          </w:p>
          <w:p w14:paraId="7D5BA8EA" w14:textId="77777777" w:rsidR="00EA2748" w:rsidRPr="0007074B" w:rsidRDefault="00EA2748" w:rsidP="00C51B65">
            <w:pPr>
              <w:spacing w:line="276" w:lineRule="auto"/>
              <w:rPr>
                <w:rFonts w:ascii="Arial" w:eastAsia="Arial" w:hAnsi="Arial" w:cs="Arial"/>
                <w:color w:val="000000"/>
                <w:sz w:val="22"/>
                <w:szCs w:val="22"/>
              </w:rPr>
            </w:pPr>
          </w:p>
        </w:tc>
      </w:tr>
      <w:tr w:rsidR="00EA2748" w:rsidRPr="0007074B" w14:paraId="631608BC" w14:textId="77777777" w:rsidTr="00911B87">
        <w:trPr>
          <w:trHeight w:val="1458"/>
        </w:trPr>
        <w:tc>
          <w:tcPr>
            <w:tcW w:w="2802" w:type="dxa"/>
          </w:tcPr>
          <w:p w14:paraId="0C07B5DA"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Stručná definice: </w:t>
            </w:r>
          </w:p>
        </w:tc>
        <w:tc>
          <w:tcPr>
            <w:tcW w:w="6486" w:type="dxa"/>
          </w:tcPr>
          <w:p w14:paraId="1ED817CE" w14:textId="77777777" w:rsidR="00EA2748" w:rsidRPr="0007074B" w:rsidRDefault="00EA2748" w:rsidP="00C516EA">
            <w:pPr>
              <w:spacing w:line="276" w:lineRule="auto"/>
              <w:jc w:val="both"/>
              <w:rPr>
                <w:rFonts w:ascii="Arial" w:hAnsi="Arial" w:cs="Arial"/>
                <w:sz w:val="22"/>
                <w:szCs w:val="22"/>
              </w:rPr>
            </w:pPr>
            <w:r w:rsidRPr="0007074B">
              <w:rPr>
                <w:rFonts w:ascii="Arial" w:hAnsi="Arial" w:cs="Arial"/>
                <w:sz w:val="22"/>
                <w:szCs w:val="22"/>
              </w:rPr>
              <w:t>Počet strategických dokumentů zabývajících se komplexně a koordinovaně problematikou sociálního začleňování alespoň ve třech z následujících oblastí (bydlení, zaměstnanost, vzdělávání, zadlužení, občanská participace, zdraví, rodina, sociální služby, bezpečnost) v rámci dané územní jednotky</w:t>
            </w:r>
          </w:p>
        </w:tc>
      </w:tr>
      <w:tr w:rsidR="00EA2748" w:rsidRPr="0007074B" w14:paraId="770C085F" w14:textId="77777777" w:rsidTr="00B460D5">
        <w:tc>
          <w:tcPr>
            <w:tcW w:w="2802" w:type="dxa"/>
          </w:tcPr>
          <w:p w14:paraId="5F59F866"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Jednotka:</w:t>
            </w:r>
          </w:p>
        </w:tc>
        <w:tc>
          <w:tcPr>
            <w:tcW w:w="6486" w:type="dxa"/>
          </w:tcPr>
          <w:p w14:paraId="199B54AC" w14:textId="77777777" w:rsidR="00EA2748" w:rsidRPr="0007074B" w:rsidRDefault="008A57D7" w:rsidP="00C516EA">
            <w:pPr>
              <w:spacing w:line="276" w:lineRule="auto"/>
              <w:jc w:val="both"/>
              <w:rPr>
                <w:rFonts w:ascii="Arial" w:hAnsi="Arial" w:cs="Arial"/>
                <w:sz w:val="22"/>
                <w:szCs w:val="22"/>
              </w:rPr>
            </w:pPr>
            <w:r>
              <w:rPr>
                <w:rFonts w:ascii="Arial" w:hAnsi="Arial" w:cs="Arial"/>
                <w:sz w:val="22"/>
                <w:szCs w:val="22"/>
              </w:rPr>
              <w:t>Počet</w:t>
            </w:r>
          </w:p>
        </w:tc>
      </w:tr>
      <w:tr w:rsidR="00EA2748" w:rsidRPr="0007074B" w14:paraId="2C05CD76" w14:textId="77777777" w:rsidTr="00B460D5">
        <w:tc>
          <w:tcPr>
            <w:tcW w:w="2802" w:type="dxa"/>
          </w:tcPr>
          <w:p w14:paraId="23AA2611"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Gestor: </w:t>
            </w:r>
          </w:p>
        </w:tc>
        <w:tc>
          <w:tcPr>
            <w:tcW w:w="6486" w:type="dxa"/>
          </w:tcPr>
          <w:p w14:paraId="51830FE6" w14:textId="77777777" w:rsidR="00EA2748" w:rsidRPr="0007074B" w:rsidRDefault="008A57D7" w:rsidP="00C516EA">
            <w:pPr>
              <w:spacing w:line="276" w:lineRule="auto"/>
              <w:jc w:val="both"/>
              <w:rPr>
                <w:rFonts w:ascii="Arial" w:hAnsi="Arial" w:cs="Arial"/>
                <w:sz w:val="22"/>
                <w:szCs w:val="22"/>
              </w:rPr>
            </w:pPr>
            <w:r>
              <w:rPr>
                <w:rFonts w:ascii="Arial" w:hAnsi="Arial" w:cs="Arial"/>
                <w:sz w:val="22"/>
                <w:szCs w:val="22"/>
              </w:rPr>
              <w:t>Úřad vlády</w:t>
            </w:r>
          </w:p>
        </w:tc>
      </w:tr>
      <w:tr w:rsidR="00EA2748" w:rsidRPr="0007074B" w14:paraId="5E09E242" w14:textId="77777777" w:rsidTr="00B460D5">
        <w:tc>
          <w:tcPr>
            <w:tcW w:w="2802" w:type="dxa"/>
          </w:tcPr>
          <w:p w14:paraId="75A7F8B6"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Význam indikátoru: </w:t>
            </w:r>
          </w:p>
        </w:tc>
        <w:tc>
          <w:tcPr>
            <w:tcW w:w="6486" w:type="dxa"/>
          </w:tcPr>
          <w:p w14:paraId="47FD5DF2" w14:textId="77777777" w:rsidR="00EA2748" w:rsidRPr="0007074B" w:rsidRDefault="00EA2748" w:rsidP="00C516EA">
            <w:pPr>
              <w:spacing w:line="276" w:lineRule="auto"/>
              <w:jc w:val="both"/>
              <w:rPr>
                <w:rFonts w:ascii="Arial" w:hAnsi="Arial" w:cs="Arial"/>
                <w:sz w:val="22"/>
                <w:szCs w:val="22"/>
              </w:rPr>
            </w:pPr>
            <w:r w:rsidRPr="0007074B">
              <w:rPr>
                <w:rFonts w:ascii="Arial" w:hAnsi="Arial" w:cs="Arial"/>
                <w:sz w:val="22"/>
                <w:szCs w:val="22"/>
              </w:rPr>
              <w:t>Znalost míry řešení sociálního vyloučení na místní úrovni</w:t>
            </w:r>
          </w:p>
        </w:tc>
      </w:tr>
      <w:tr w:rsidR="00EA2748" w:rsidRPr="0007074B" w14:paraId="5FD5B934" w14:textId="77777777" w:rsidTr="00B460D5">
        <w:tc>
          <w:tcPr>
            <w:tcW w:w="2802" w:type="dxa"/>
          </w:tcPr>
          <w:p w14:paraId="3C39D38C"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Časová řada: </w:t>
            </w:r>
          </w:p>
        </w:tc>
        <w:tc>
          <w:tcPr>
            <w:tcW w:w="6486" w:type="dxa"/>
          </w:tcPr>
          <w:p w14:paraId="117565F9" w14:textId="77777777" w:rsidR="00EA2748" w:rsidRPr="0007074B" w:rsidRDefault="00EA2748" w:rsidP="00C516EA">
            <w:pPr>
              <w:spacing w:line="276" w:lineRule="auto"/>
              <w:jc w:val="both"/>
              <w:rPr>
                <w:rFonts w:ascii="Arial" w:hAnsi="Arial" w:cs="Arial"/>
                <w:sz w:val="22"/>
                <w:szCs w:val="22"/>
              </w:rPr>
            </w:pPr>
            <w:r w:rsidRPr="0007074B">
              <w:rPr>
                <w:rFonts w:ascii="Arial" w:hAnsi="Arial" w:cs="Arial"/>
                <w:sz w:val="22"/>
                <w:szCs w:val="22"/>
              </w:rPr>
              <w:t>Výchozí stav – 1. plošné šetření bude provedeno po schválení Strategie 2030</w:t>
            </w:r>
          </w:p>
        </w:tc>
      </w:tr>
      <w:tr w:rsidR="00EA2748" w:rsidRPr="0007074B" w14:paraId="3BAF57D4" w14:textId="77777777" w:rsidTr="00B460D5">
        <w:tc>
          <w:tcPr>
            <w:tcW w:w="2802" w:type="dxa"/>
          </w:tcPr>
          <w:p w14:paraId="252EDF20"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Frekvence výstupu: </w:t>
            </w:r>
          </w:p>
        </w:tc>
        <w:tc>
          <w:tcPr>
            <w:tcW w:w="6486" w:type="dxa"/>
          </w:tcPr>
          <w:p w14:paraId="1232A34C" w14:textId="77777777" w:rsidR="00EA2748" w:rsidRPr="0007074B" w:rsidRDefault="008A57D7" w:rsidP="00C516EA">
            <w:pPr>
              <w:spacing w:line="276" w:lineRule="auto"/>
              <w:jc w:val="both"/>
              <w:rPr>
                <w:rFonts w:ascii="Arial" w:hAnsi="Arial" w:cs="Arial"/>
                <w:sz w:val="22"/>
                <w:szCs w:val="22"/>
              </w:rPr>
            </w:pPr>
            <w:r>
              <w:rPr>
                <w:rFonts w:ascii="Arial" w:hAnsi="Arial" w:cs="Arial"/>
                <w:sz w:val="22"/>
                <w:szCs w:val="22"/>
              </w:rPr>
              <w:t>Ročně</w:t>
            </w:r>
          </w:p>
        </w:tc>
      </w:tr>
      <w:tr w:rsidR="00EA2748" w:rsidRPr="0007074B" w14:paraId="1E4B46A1" w14:textId="77777777" w:rsidTr="00B460D5">
        <w:trPr>
          <w:trHeight w:val="70"/>
        </w:trPr>
        <w:tc>
          <w:tcPr>
            <w:tcW w:w="2802" w:type="dxa"/>
          </w:tcPr>
          <w:p w14:paraId="50C922DA"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Členění indikátoru: </w:t>
            </w:r>
          </w:p>
        </w:tc>
        <w:tc>
          <w:tcPr>
            <w:tcW w:w="6486" w:type="dxa"/>
          </w:tcPr>
          <w:p w14:paraId="067DAC65" w14:textId="139C229D" w:rsidR="00EA2748" w:rsidRPr="0007074B" w:rsidRDefault="00EA2748" w:rsidP="00C516EA">
            <w:pPr>
              <w:spacing w:line="276" w:lineRule="auto"/>
              <w:jc w:val="both"/>
              <w:rPr>
                <w:rFonts w:ascii="Arial" w:hAnsi="Arial" w:cs="Arial"/>
                <w:sz w:val="22"/>
                <w:szCs w:val="22"/>
              </w:rPr>
            </w:pPr>
            <w:r w:rsidRPr="0007074B">
              <w:rPr>
                <w:rFonts w:ascii="Arial" w:hAnsi="Arial" w:cs="Arial"/>
                <w:sz w:val="22"/>
                <w:szCs w:val="22"/>
              </w:rPr>
              <w:t>Počet místních integrovaných strategií na území kraje</w:t>
            </w:r>
            <w:r w:rsidR="00744A4F">
              <w:rPr>
                <w:rFonts w:ascii="Arial" w:hAnsi="Arial" w:cs="Arial"/>
                <w:sz w:val="22"/>
                <w:szCs w:val="22"/>
              </w:rPr>
              <w:t xml:space="preserve"> a SO ORP</w:t>
            </w:r>
          </w:p>
        </w:tc>
      </w:tr>
      <w:tr w:rsidR="00EA2748" w:rsidRPr="0007074B" w14:paraId="07602F38" w14:textId="77777777" w:rsidTr="00B460D5">
        <w:trPr>
          <w:trHeight w:val="70"/>
        </w:trPr>
        <w:tc>
          <w:tcPr>
            <w:tcW w:w="2802" w:type="dxa"/>
          </w:tcPr>
          <w:p w14:paraId="48E16135"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Mezinárodní srovnání:</w:t>
            </w:r>
          </w:p>
        </w:tc>
        <w:tc>
          <w:tcPr>
            <w:tcW w:w="6486" w:type="dxa"/>
          </w:tcPr>
          <w:p w14:paraId="095B1C7A" w14:textId="77777777" w:rsidR="00EA2748" w:rsidRPr="0007074B" w:rsidRDefault="008A57D7" w:rsidP="00C51B65">
            <w:pPr>
              <w:spacing w:line="276" w:lineRule="auto"/>
              <w:rPr>
                <w:rFonts w:ascii="Arial" w:hAnsi="Arial" w:cs="Arial"/>
                <w:sz w:val="22"/>
                <w:szCs w:val="22"/>
              </w:rPr>
            </w:pPr>
            <w:r>
              <w:rPr>
                <w:rFonts w:ascii="Arial" w:hAnsi="Arial" w:cs="Arial"/>
                <w:sz w:val="22"/>
                <w:szCs w:val="22"/>
              </w:rPr>
              <w:t>-</w:t>
            </w:r>
          </w:p>
        </w:tc>
      </w:tr>
    </w:tbl>
    <w:p w14:paraId="100021FB" w14:textId="77777777" w:rsidR="00EA2748" w:rsidRPr="0007074B" w:rsidRDefault="00EA2748" w:rsidP="00C51B65">
      <w:pPr>
        <w:spacing w:line="276" w:lineRule="auto"/>
        <w:ind w:left="567"/>
        <w:jc w:val="both"/>
        <w:rPr>
          <w:rFonts w:ascii="Arial" w:eastAsia="Calibri" w:hAnsi="Arial" w:cs="Arial"/>
          <w:i/>
          <w:sz w:val="22"/>
          <w:szCs w:val="22"/>
        </w:rPr>
      </w:pPr>
    </w:p>
    <w:tbl>
      <w:tblPr>
        <w:tblStyle w:val="Mkatabulky"/>
        <w:tblW w:w="0" w:type="auto"/>
        <w:shd w:val="pct15" w:color="auto" w:fill="auto"/>
        <w:tblLook w:val="04A0" w:firstRow="1" w:lastRow="0" w:firstColumn="1" w:lastColumn="0" w:noHBand="0" w:noVBand="1"/>
      </w:tblPr>
      <w:tblGrid>
        <w:gridCol w:w="2802"/>
        <w:gridCol w:w="6486"/>
      </w:tblGrid>
      <w:tr w:rsidR="00477E8D" w:rsidRPr="00477E8D" w14:paraId="658B29D9" w14:textId="77777777" w:rsidTr="00477E8D">
        <w:tc>
          <w:tcPr>
            <w:tcW w:w="2802" w:type="dxa"/>
            <w:shd w:val="pct15" w:color="auto" w:fill="auto"/>
          </w:tcPr>
          <w:p w14:paraId="70245B38" w14:textId="77777777" w:rsidR="00EA2748" w:rsidRPr="00477E8D" w:rsidRDefault="00EA2748" w:rsidP="00C51B65">
            <w:pPr>
              <w:spacing w:line="276" w:lineRule="auto"/>
              <w:rPr>
                <w:rFonts w:ascii="Arial" w:hAnsi="Arial" w:cs="Arial"/>
                <w:sz w:val="22"/>
                <w:szCs w:val="22"/>
              </w:rPr>
            </w:pPr>
            <w:r w:rsidRPr="00477E8D">
              <w:rPr>
                <w:rFonts w:ascii="Arial" w:hAnsi="Arial" w:cs="Arial"/>
                <w:sz w:val="22"/>
                <w:szCs w:val="22"/>
              </w:rPr>
              <w:t xml:space="preserve">Název a označení indikátoru: </w:t>
            </w:r>
          </w:p>
        </w:tc>
        <w:tc>
          <w:tcPr>
            <w:tcW w:w="6486" w:type="dxa"/>
            <w:shd w:val="pct15" w:color="auto" w:fill="auto"/>
          </w:tcPr>
          <w:p w14:paraId="3DCC66A9" w14:textId="77777777" w:rsidR="00EA2748" w:rsidRPr="00477E8D" w:rsidRDefault="008A57D7" w:rsidP="00C51B65">
            <w:pPr>
              <w:spacing w:line="276" w:lineRule="auto"/>
              <w:rPr>
                <w:rFonts w:ascii="Arial" w:hAnsi="Arial" w:cs="Arial"/>
                <w:b/>
                <w:sz w:val="22"/>
                <w:szCs w:val="22"/>
              </w:rPr>
            </w:pPr>
            <w:r>
              <w:rPr>
                <w:rFonts w:ascii="Arial" w:hAnsi="Arial" w:cs="Arial"/>
                <w:b/>
                <w:sz w:val="22"/>
                <w:szCs w:val="22"/>
              </w:rPr>
              <w:t>17</w:t>
            </w:r>
            <w:r w:rsidR="00EA2748" w:rsidRPr="00477E8D">
              <w:rPr>
                <w:rFonts w:ascii="Arial" w:hAnsi="Arial" w:cs="Arial"/>
                <w:b/>
                <w:sz w:val="22"/>
                <w:szCs w:val="22"/>
              </w:rPr>
              <w:t>.4.4 Spokojenost s mezilidskými vztahy v obci</w:t>
            </w:r>
          </w:p>
        </w:tc>
      </w:tr>
      <w:tr w:rsidR="00477E8D" w:rsidRPr="00477E8D" w14:paraId="3D7794BB" w14:textId="77777777" w:rsidTr="00477E8D">
        <w:tc>
          <w:tcPr>
            <w:tcW w:w="2802" w:type="dxa"/>
            <w:shd w:val="pct15" w:color="auto" w:fill="auto"/>
          </w:tcPr>
          <w:p w14:paraId="26D15C79" w14:textId="77777777" w:rsidR="00EA2748" w:rsidRPr="00477E8D" w:rsidRDefault="00EA2748" w:rsidP="00C51B65">
            <w:pPr>
              <w:spacing w:line="276" w:lineRule="auto"/>
              <w:rPr>
                <w:rFonts w:ascii="Arial" w:hAnsi="Arial" w:cs="Arial"/>
                <w:sz w:val="22"/>
                <w:szCs w:val="22"/>
              </w:rPr>
            </w:pPr>
            <w:r w:rsidRPr="00477E8D">
              <w:rPr>
                <w:rFonts w:ascii="Arial" w:hAnsi="Arial" w:cs="Arial"/>
                <w:sz w:val="22"/>
                <w:szCs w:val="22"/>
              </w:rPr>
              <w:t xml:space="preserve">Stručná definice: </w:t>
            </w:r>
          </w:p>
        </w:tc>
        <w:tc>
          <w:tcPr>
            <w:tcW w:w="6486" w:type="dxa"/>
            <w:shd w:val="pct15" w:color="auto" w:fill="auto"/>
          </w:tcPr>
          <w:p w14:paraId="48D56459" w14:textId="77777777" w:rsidR="00EA2748" w:rsidRPr="00477E8D" w:rsidRDefault="00EA2748" w:rsidP="00C516EA">
            <w:pPr>
              <w:spacing w:line="276" w:lineRule="auto"/>
              <w:jc w:val="both"/>
              <w:rPr>
                <w:rFonts w:ascii="Arial" w:hAnsi="Arial" w:cs="Arial"/>
                <w:sz w:val="22"/>
                <w:szCs w:val="22"/>
              </w:rPr>
            </w:pPr>
            <w:r w:rsidRPr="00477E8D">
              <w:rPr>
                <w:rFonts w:ascii="Arial" w:hAnsi="Arial" w:cs="Arial"/>
                <w:sz w:val="22"/>
                <w:szCs w:val="22"/>
              </w:rPr>
              <w:t xml:space="preserve">Spokojenost obyvatel obce se stavem mezilidských vztahů a soužitím v obci </w:t>
            </w:r>
          </w:p>
        </w:tc>
      </w:tr>
      <w:tr w:rsidR="00477E8D" w:rsidRPr="00477E8D" w14:paraId="41EA6D45" w14:textId="77777777" w:rsidTr="00477E8D">
        <w:tc>
          <w:tcPr>
            <w:tcW w:w="2802" w:type="dxa"/>
            <w:shd w:val="pct15" w:color="auto" w:fill="auto"/>
          </w:tcPr>
          <w:p w14:paraId="2F91A114" w14:textId="77777777" w:rsidR="00EA2748" w:rsidRPr="00477E8D" w:rsidRDefault="00EA2748" w:rsidP="00C51B65">
            <w:pPr>
              <w:spacing w:line="276" w:lineRule="auto"/>
              <w:rPr>
                <w:rFonts w:ascii="Arial" w:hAnsi="Arial" w:cs="Arial"/>
                <w:sz w:val="22"/>
                <w:szCs w:val="22"/>
              </w:rPr>
            </w:pPr>
            <w:r w:rsidRPr="00477E8D">
              <w:rPr>
                <w:rFonts w:ascii="Arial" w:hAnsi="Arial" w:cs="Arial"/>
                <w:sz w:val="22"/>
                <w:szCs w:val="22"/>
              </w:rPr>
              <w:t>Jednotka:</w:t>
            </w:r>
          </w:p>
        </w:tc>
        <w:tc>
          <w:tcPr>
            <w:tcW w:w="6486" w:type="dxa"/>
            <w:shd w:val="pct15" w:color="auto" w:fill="auto"/>
          </w:tcPr>
          <w:p w14:paraId="00DD3943" w14:textId="77777777" w:rsidR="00EA2748" w:rsidRPr="00477E8D" w:rsidRDefault="00EA2748" w:rsidP="00C516EA">
            <w:pPr>
              <w:spacing w:line="276" w:lineRule="auto"/>
              <w:jc w:val="both"/>
              <w:rPr>
                <w:rFonts w:ascii="Arial" w:hAnsi="Arial" w:cs="Arial"/>
                <w:sz w:val="22"/>
                <w:szCs w:val="22"/>
              </w:rPr>
            </w:pPr>
            <w:r w:rsidRPr="00477E8D">
              <w:rPr>
                <w:rFonts w:ascii="Arial" w:hAnsi="Arial" w:cs="Arial"/>
                <w:sz w:val="22"/>
                <w:szCs w:val="22"/>
              </w:rPr>
              <w:t>Zhodnocení subjektivní spokojenosti na standardizované škále</w:t>
            </w:r>
          </w:p>
        </w:tc>
      </w:tr>
      <w:tr w:rsidR="00477E8D" w:rsidRPr="00477E8D" w14:paraId="35D45471" w14:textId="77777777" w:rsidTr="00477E8D">
        <w:tc>
          <w:tcPr>
            <w:tcW w:w="2802" w:type="dxa"/>
            <w:shd w:val="pct15" w:color="auto" w:fill="auto"/>
          </w:tcPr>
          <w:p w14:paraId="596ED72B" w14:textId="77777777" w:rsidR="00EA2748" w:rsidRPr="00477E8D" w:rsidRDefault="00EA2748" w:rsidP="00C51B65">
            <w:pPr>
              <w:spacing w:line="276" w:lineRule="auto"/>
              <w:rPr>
                <w:rFonts w:ascii="Arial" w:hAnsi="Arial" w:cs="Arial"/>
                <w:sz w:val="22"/>
                <w:szCs w:val="22"/>
              </w:rPr>
            </w:pPr>
            <w:r w:rsidRPr="00477E8D">
              <w:rPr>
                <w:rFonts w:ascii="Arial" w:hAnsi="Arial" w:cs="Arial"/>
                <w:sz w:val="22"/>
                <w:szCs w:val="22"/>
              </w:rPr>
              <w:t xml:space="preserve">Zdroj dat v ČR: </w:t>
            </w:r>
          </w:p>
        </w:tc>
        <w:tc>
          <w:tcPr>
            <w:tcW w:w="6486" w:type="dxa"/>
            <w:shd w:val="pct15" w:color="auto" w:fill="auto"/>
          </w:tcPr>
          <w:p w14:paraId="0C416F88" w14:textId="77777777" w:rsidR="00EA2748" w:rsidRPr="00477E8D" w:rsidRDefault="00EA2748" w:rsidP="00C516EA">
            <w:pPr>
              <w:spacing w:line="276" w:lineRule="auto"/>
              <w:jc w:val="both"/>
              <w:rPr>
                <w:rFonts w:ascii="Arial" w:hAnsi="Arial" w:cs="Arial"/>
                <w:sz w:val="22"/>
                <w:szCs w:val="22"/>
              </w:rPr>
            </w:pPr>
            <w:r w:rsidRPr="00477E8D">
              <w:rPr>
                <w:rFonts w:ascii="Arial" w:hAnsi="Arial" w:cs="Arial"/>
                <w:sz w:val="22"/>
                <w:szCs w:val="22"/>
              </w:rPr>
              <w:t>Dosavadní zdroj – ad hoc šetření na místní úrovni (např. v </w:t>
            </w:r>
            <w:proofErr w:type="gramStart"/>
            <w:r w:rsidRPr="00477E8D">
              <w:rPr>
                <w:rFonts w:ascii="Arial" w:hAnsi="Arial" w:cs="Arial"/>
                <w:sz w:val="22"/>
                <w:szCs w:val="22"/>
              </w:rPr>
              <w:t>rámci  Místní</w:t>
            </w:r>
            <w:proofErr w:type="gramEnd"/>
            <w:r w:rsidRPr="00477E8D">
              <w:rPr>
                <w:rFonts w:ascii="Arial" w:hAnsi="Arial" w:cs="Arial"/>
                <w:sz w:val="22"/>
                <w:szCs w:val="22"/>
              </w:rPr>
              <w:t xml:space="preserve"> Agendy 21)</w:t>
            </w:r>
          </w:p>
          <w:p w14:paraId="45605EE4" w14:textId="77777777" w:rsidR="00EA2748" w:rsidRPr="00477E8D" w:rsidRDefault="00EA2748" w:rsidP="00C516EA">
            <w:pPr>
              <w:pStyle w:val="Odstavecseseznamem"/>
              <w:numPr>
                <w:ilvl w:val="0"/>
                <w:numId w:val="2"/>
              </w:numPr>
              <w:spacing w:line="276" w:lineRule="auto"/>
              <w:contextualSpacing/>
              <w:jc w:val="both"/>
              <w:rPr>
                <w:rFonts w:ascii="Arial" w:hAnsi="Arial" w:cs="Arial"/>
                <w:sz w:val="22"/>
                <w:szCs w:val="22"/>
              </w:rPr>
            </w:pPr>
            <w:r w:rsidRPr="00477E8D">
              <w:rPr>
                <w:rFonts w:ascii="Arial" w:hAnsi="Arial" w:cs="Arial"/>
                <w:sz w:val="22"/>
                <w:szCs w:val="22"/>
              </w:rPr>
              <w:t xml:space="preserve">pravidelná šetření na národní, úrovni (např. </w:t>
            </w:r>
            <w:proofErr w:type="spellStart"/>
            <w:r w:rsidRPr="00477E8D">
              <w:rPr>
                <w:rFonts w:ascii="Arial" w:hAnsi="Arial" w:cs="Arial"/>
                <w:sz w:val="22"/>
                <w:szCs w:val="22"/>
              </w:rPr>
              <w:t>Eurostat</w:t>
            </w:r>
            <w:proofErr w:type="spellEnd"/>
            <w:r w:rsidRPr="00477E8D">
              <w:rPr>
                <w:rFonts w:ascii="Arial" w:hAnsi="Arial" w:cs="Arial"/>
                <w:sz w:val="22"/>
                <w:szCs w:val="22"/>
              </w:rPr>
              <w:t xml:space="preserve">)     </w:t>
            </w:r>
          </w:p>
          <w:p w14:paraId="1D252A4C" w14:textId="3B6D809F" w:rsidR="00EA2748" w:rsidRPr="00477E8D" w:rsidRDefault="00EA2748" w:rsidP="00C516EA">
            <w:pPr>
              <w:spacing w:line="276" w:lineRule="auto"/>
              <w:jc w:val="both"/>
              <w:rPr>
                <w:rFonts w:ascii="Arial" w:hAnsi="Arial" w:cs="Arial"/>
                <w:sz w:val="22"/>
                <w:szCs w:val="22"/>
              </w:rPr>
            </w:pPr>
            <w:r w:rsidRPr="00477E8D">
              <w:rPr>
                <w:rFonts w:ascii="Arial" w:hAnsi="Arial" w:cs="Arial"/>
                <w:sz w:val="22"/>
                <w:szCs w:val="22"/>
              </w:rPr>
              <w:t>Optimální zdroj – pravidelný výzkum na národní, krajské úrovni; event. detailnější sondy</w:t>
            </w:r>
          </w:p>
        </w:tc>
      </w:tr>
      <w:tr w:rsidR="00477E8D" w:rsidRPr="00477E8D" w14:paraId="7192BC75" w14:textId="77777777" w:rsidTr="00477E8D">
        <w:tc>
          <w:tcPr>
            <w:tcW w:w="2802" w:type="dxa"/>
            <w:shd w:val="pct15" w:color="auto" w:fill="auto"/>
          </w:tcPr>
          <w:p w14:paraId="2DB83AAF" w14:textId="77777777" w:rsidR="00EA2748" w:rsidRPr="00477E8D" w:rsidRDefault="00EA2748" w:rsidP="00C51B65">
            <w:pPr>
              <w:spacing w:line="276" w:lineRule="auto"/>
              <w:rPr>
                <w:rFonts w:ascii="Arial" w:hAnsi="Arial" w:cs="Arial"/>
                <w:sz w:val="22"/>
                <w:szCs w:val="22"/>
              </w:rPr>
            </w:pPr>
            <w:r w:rsidRPr="00477E8D">
              <w:rPr>
                <w:rFonts w:ascii="Arial" w:hAnsi="Arial" w:cs="Arial"/>
                <w:sz w:val="22"/>
                <w:szCs w:val="22"/>
              </w:rPr>
              <w:t xml:space="preserve">Význam indikátoru: </w:t>
            </w:r>
          </w:p>
        </w:tc>
        <w:tc>
          <w:tcPr>
            <w:tcW w:w="6486" w:type="dxa"/>
            <w:shd w:val="pct15" w:color="auto" w:fill="auto"/>
          </w:tcPr>
          <w:p w14:paraId="0FB017EE" w14:textId="77777777" w:rsidR="00EA2748" w:rsidRPr="00477E8D" w:rsidRDefault="00EA2748" w:rsidP="00C516EA">
            <w:pPr>
              <w:spacing w:line="276" w:lineRule="auto"/>
              <w:jc w:val="both"/>
              <w:rPr>
                <w:rFonts w:ascii="Arial" w:hAnsi="Arial" w:cs="Arial"/>
                <w:sz w:val="22"/>
                <w:szCs w:val="22"/>
              </w:rPr>
            </w:pPr>
            <w:r w:rsidRPr="00477E8D">
              <w:rPr>
                <w:rFonts w:ascii="Arial" w:hAnsi="Arial" w:cs="Arial"/>
                <w:sz w:val="22"/>
                <w:szCs w:val="22"/>
              </w:rPr>
              <w:t>Zjištění potřeby intervence a podpory v území</w:t>
            </w:r>
          </w:p>
        </w:tc>
      </w:tr>
      <w:tr w:rsidR="00477E8D" w:rsidRPr="00477E8D" w14:paraId="775BF1AF" w14:textId="77777777" w:rsidTr="00477E8D">
        <w:tc>
          <w:tcPr>
            <w:tcW w:w="2802" w:type="dxa"/>
            <w:shd w:val="pct15" w:color="auto" w:fill="auto"/>
          </w:tcPr>
          <w:p w14:paraId="2554BAC8" w14:textId="77777777" w:rsidR="00EA2748" w:rsidRPr="00477E8D" w:rsidRDefault="00EA2748" w:rsidP="00C51B65">
            <w:pPr>
              <w:spacing w:line="276" w:lineRule="auto"/>
              <w:rPr>
                <w:rFonts w:ascii="Arial" w:hAnsi="Arial" w:cs="Arial"/>
                <w:sz w:val="22"/>
                <w:szCs w:val="22"/>
              </w:rPr>
            </w:pPr>
            <w:r w:rsidRPr="00477E8D">
              <w:rPr>
                <w:rFonts w:ascii="Arial" w:hAnsi="Arial" w:cs="Arial"/>
                <w:sz w:val="22"/>
                <w:szCs w:val="22"/>
              </w:rPr>
              <w:lastRenderedPageBreak/>
              <w:t xml:space="preserve">Časová řada: </w:t>
            </w:r>
          </w:p>
        </w:tc>
        <w:tc>
          <w:tcPr>
            <w:tcW w:w="6486" w:type="dxa"/>
            <w:shd w:val="pct15" w:color="auto" w:fill="auto"/>
          </w:tcPr>
          <w:p w14:paraId="3E8E623F" w14:textId="77777777" w:rsidR="00EA2748" w:rsidRPr="00477E8D" w:rsidRDefault="00EA2748" w:rsidP="00C516EA">
            <w:pPr>
              <w:spacing w:line="276" w:lineRule="auto"/>
              <w:jc w:val="both"/>
              <w:rPr>
                <w:rFonts w:ascii="Arial" w:hAnsi="Arial" w:cs="Arial"/>
                <w:sz w:val="22"/>
                <w:szCs w:val="22"/>
              </w:rPr>
            </w:pPr>
            <w:r w:rsidRPr="00477E8D">
              <w:rPr>
                <w:rFonts w:ascii="Arial" w:hAnsi="Arial" w:cs="Arial"/>
                <w:sz w:val="22"/>
                <w:szCs w:val="22"/>
              </w:rPr>
              <w:t>Výchozí stav – 1. plošné šetření bude provedeno po schválení Strategie 2030</w:t>
            </w:r>
          </w:p>
        </w:tc>
      </w:tr>
      <w:tr w:rsidR="00477E8D" w:rsidRPr="00477E8D" w14:paraId="6D8D162E" w14:textId="77777777" w:rsidTr="00477E8D">
        <w:tc>
          <w:tcPr>
            <w:tcW w:w="2802" w:type="dxa"/>
            <w:shd w:val="pct15" w:color="auto" w:fill="auto"/>
          </w:tcPr>
          <w:p w14:paraId="1D53CEDF" w14:textId="77777777" w:rsidR="00EA2748" w:rsidRPr="00477E8D" w:rsidRDefault="00EA2748" w:rsidP="00C51B65">
            <w:pPr>
              <w:spacing w:line="276" w:lineRule="auto"/>
              <w:rPr>
                <w:rFonts w:ascii="Arial" w:hAnsi="Arial" w:cs="Arial"/>
                <w:sz w:val="22"/>
                <w:szCs w:val="22"/>
              </w:rPr>
            </w:pPr>
            <w:r w:rsidRPr="00477E8D">
              <w:rPr>
                <w:rFonts w:ascii="Arial" w:hAnsi="Arial" w:cs="Arial"/>
                <w:sz w:val="22"/>
                <w:szCs w:val="22"/>
              </w:rPr>
              <w:t xml:space="preserve">Frekvence zjišťování: </w:t>
            </w:r>
          </w:p>
        </w:tc>
        <w:tc>
          <w:tcPr>
            <w:tcW w:w="6486" w:type="dxa"/>
            <w:shd w:val="pct15" w:color="auto" w:fill="auto"/>
          </w:tcPr>
          <w:p w14:paraId="33340413" w14:textId="77777777" w:rsidR="00EA2748" w:rsidRPr="00477E8D" w:rsidRDefault="00B96B5D" w:rsidP="00C516EA">
            <w:pPr>
              <w:spacing w:line="276" w:lineRule="auto"/>
              <w:jc w:val="both"/>
              <w:rPr>
                <w:rFonts w:ascii="Arial" w:hAnsi="Arial" w:cs="Arial"/>
                <w:sz w:val="22"/>
                <w:szCs w:val="22"/>
              </w:rPr>
            </w:pPr>
            <w:r>
              <w:rPr>
                <w:rFonts w:ascii="Arial" w:hAnsi="Arial" w:cs="Arial"/>
                <w:sz w:val="22"/>
                <w:szCs w:val="22"/>
              </w:rPr>
              <w:t>Ročně</w:t>
            </w:r>
          </w:p>
        </w:tc>
      </w:tr>
      <w:tr w:rsidR="00477E8D" w:rsidRPr="00477E8D" w14:paraId="07A4E8C9" w14:textId="77777777" w:rsidTr="00477E8D">
        <w:tc>
          <w:tcPr>
            <w:tcW w:w="2802" w:type="dxa"/>
            <w:shd w:val="pct15" w:color="auto" w:fill="auto"/>
          </w:tcPr>
          <w:p w14:paraId="5898D546" w14:textId="77777777" w:rsidR="00EA2748" w:rsidRPr="00477E8D" w:rsidRDefault="00EA2748" w:rsidP="00C51B65">
            <w:pPr>
              <w:spacing w:line="276" w:lineRule="auto"/>
              <w:rPr>
                <w:rFonts w:ascii="Arial" w:hAnsi="Arial" w:cs="Arial"/>
                <w:sz w:val="22"/>
                <w:szCs w:val="22"/>
              </w:rPr>
            </w:pPr>
            <w:r w:rsidRPr="00477E8D">
              <w:rPr>
                <w:rFonts w:ascii="Arial" w:hAnsi="Arial" w:cs="Arial"/>
                <w:sz w:val="22"/>
                <w:szCs w:val="22"/>
              </w:rPr>
              <w:t xml:space="preserve">Členění indikátoru: </w:t>
            </w:r>
          </w:p>
        </w:tc>
        <w:tc>
          <w:tcPr>
            <w:tcW w:w="6486" w:type="dxa"/>
            <w:shd w:val="pct15" w:color="auto" w:fill="auto"/>
          </w:tcPr>
          <w:p w14:paraId="7A3AD44A" w14:textId="77777777" w:rsidR="00EA2748" w:rsidRPr="00477E8D" w:rsidRDefault="00EA2748" w:rsidP="00C516EA">
            <w:pPr>
              <w:spacing w:line="276" w:lineRule="auto"/>
              <w:jc w:val="both"/>
              <w:rPr>
                <w:rFonts w:ascii="Arial" w:hAnsi="Arial" w:cs="Arial"/>
                <w:sz w:val="22"/>
                <w:szCs w:val="22"/>
              </w:rPr>
            </w:pPr>
            <w:r w:rsidRPr="00477E8D">
              <w:rPr>
                <w:rFonts w:ascii="Arial" w:hAnsi="Arial" w:cs="Arial"/>
                <w:sz w:val="22"/>
                <w:szCs w:val="22"/>
              </w:rPr>
              <w:t>Spokojenost s mezilidskými vztahy na národní úrovni</w:t>
            </w:r>
          </w:p>
          <w:p w14:paraId="3DEF105F" w14:textId="77777777" w:rsidR="00EA2748" w:rsidRPr="00477E8D" w:rsidRDefault="00EA2748" w:rsidP="00C516EA">
            <w:pPr>
              <w:spacing w:line="276" w:lineRule="auto"/>
              <w:jc w:val="both"/>
              <w:rPr>
                <w:rFonts w:ascii="Arial" w:hAnsi="Arial" w:cs="Arial"/>
                <w:sz w:val="22"/>
                <w:szCs w:val="22"/>
              </w:rPr>
            </w:pPr>
            <w:r w:rsidRPr="00477E8D">
              <w:rPr>
                <w:rFonts w:ascii="Arial" w:hAnsi="Arial" w:cs="Arial"/>
                <w:sz w:val="22"/>
                <w:szCs w:val="22"/>
              </w:rPr>
              <w:t>Spokojenost s mezilidskými vztahy na krajské úrovni</w:t>
            </w:r>
          </w:p>
          <w:p w14:paraId="1753DF29" w14:textId="77777777" w:rsidR="00EA2748" w:rsidRPr="00477E8D" w:rsidRDefault="00EA2748" w:rsidP="00C516EA">
            <w:pPr>
              <w:spacing w:line="276" w:lineRule="auto"/>
              <w:jc w:val="both"/>
              <w:rPr>
                <w:rFonts w:ascii="Arial" w:hAnsi="Arial" w:cs="Arial"/>
                <w:sz w:val="22"/>
                <w:szCs w:val="22"/>
              </w:rPr>
            </w:pPr>
            <w:r w:rsidRPr="00477E8D">
              <w:rPr>
                <w:rFonts w:ascii="Arial" w:hAnsi="Arial" w:cs="Arial"/>
                <w:sz w:val="22"/>
                <w:szCs w:val="22"/>
              </w:rPr>
              <w:t>Spokojenost s mezilidskými vztahy v ORP</w:t>
            </w:r>
          </w:p>
        </w:tc>
      </w:tr>
      <w:tr w:rsidR="00477E8D" w:rsidRPr="00477E8D" w14:paraId="5970D0C0" w14:textId="77777777" w:rsidTr="00477E8D">
        <w:trPr>
          <w:trHeight w:val="70"/>
        </w:trPr>
        <w:tc>
          <w:tcPr>
            <w:tcW w:w="2802" w:type="dxa"/>
            <w:shd w:val="pct15" w:color="auto" w:fill="auto"/>
          </w:tcPr>
          <w:p w14:paraId="5C832608" w14:textId="77777777" w:rsidR="00EA2748" w:rsidRPr="00477E8D" w:rsidRDefault="00EA2748" w:rsidP="00C51B65">
            <w:pPr>
              <w:spacing w:line="276" w:lineRule="auto"/>
              <w:rPr>
                <w:rFonts w:ascii="Arial" w:hAnsi="Arial" w:cs="Arial"/>
                <w:sz w:val="22"/>
                <w:szCs w:val="22"/>
              </w:rPr>
            </w:pPr>
            <w:r w:rsidRPr="00477E8D">
              <w:rPr>
                <w:rFonts w:ascii="Arial" w:hAnsi="Arial" w:cs="Arial"/>
                <w:sz w:val="22"/>
                <w:szCs w:val="22"/>
              </w:rPr>
              <w:t xml:space="preserve">Mezinárodní srovnání: </w:t>
            </w:r>
          </w:p>
        </w:tc>
        <w:tc>
          <w:tcPr>
            <w:tcW w:w="6486" w:type="dxa"/>
            <w:shd w:val="pct15" w:color="auto" w:fill="auto"/>
          </w:tcPr>
          <w:p w14:paraId="2E56F7E5" w14:textId="21289AD6" w:rsidR="00EA2748" w:rsidRPr="00477E8D" w:rsidRDefault="00EA2748" w:rsidP="00C516EA">
            <w:pPr>
              <w:spacing w:line="276" w:lineRule="auto"/>
              <w:jc w:val="both"/>
              <w:rPr>
                <w:rFonts w:ascii="Arial" w:hAnsi="Arial" w:cs="Arial"/>
                <w:sz w:val="22"/>
                <w:szCs w:val="22"/>
              </w:rPr>
            </w:pPr>
            <w:r w:rsidRPr="00477E8D">
              <w:rPr>
                <w:rFonts w:ascii="Arial" w:hAnsi="Arial" w:cs="Arial"/>
                <w:sz w:val="22"/>
                <w:szCs w:val="22"/>
              </w:rPr>
              <w:t xml:space="preserve">Měření </w:t>
            </w:r>
            <w:r w:rsidR="00C516EA">
              <w:rPr>
                <w:rFonts w:ascii="Arial" w:hAnsi="Arial" w:cs="Arial"/>
                <w:sz w:val="22"/>
                <w:szCs w:val="22"/>
              </w:rPr>
              <w:t>kvality života</w:t>
            </w:r>
            <w:r w:rsidRPr="00477E8D">
              <w:rPr>
                <w:rFonts w:ascii="Arial" w:hAnsi="Arial" w:cs="Arial"/>
                <w:sz w:val="22"/>
                <w:szCs w:val="22"/>
              </w:rPr>
              <w:t xml:space="preserve"> (OECD, </w:t>
            </w:r>
            <w:proofErr w:type="spellStart"/>
            <w:r w:rsidRPr="00477E8D">
              <w:rPr>
                <w:rFonts w:ascii="Arial" w:hAnsi="Arial" w:cs="Arial"/>
                <w:sz w:val="22"/>
                <w:szCs w:val="22"/>
              </w:rPr>
              <w:t>Eurostat</w:t>
            </w:r>
            <w:proofErr w:type="spellEnd"/>
            <w:r w:rsidRPr="00477E8D">
              <w:rPr>
                <w:rFonts w:ascii="Arial" w:hAnsi="Arial" w:cs="Arial"/>
                <w:sz w:val="22"/>
                <w:szCs w:val="22"/>
              </w:rPr>
              <w:t>)</w:t>
            </w:r>
          </w:p>
        </w:tc>
      </w:tr>
    </w:tbl>
    <w:p w14:paraId="5805374E" w14:textId="77777777" w:rsidR="00EA2748" w:rsidRPr="0007074B" w:rsidRDefault="00EA2748" w:rsidP="00C51B65">
      <w:pPr>
        <w:spacing w:line="276" w:lineRule="auto"/>
        <w:rPr>
          <w:rFonts w:ascii="Arial" w:hAnsi="Arial" w:cs="Arial"/>
          <w:sz w:val="22"/>
          <w:szCs w:val="22"/>
        </w:rPr>
      </w:pPr>
    </w:p>
    <w:tbl>
      <w:tblPr>
        <w:tblStyle w:val="Mkatabulky"/>
        <w:tblW w:w="0" w:type="auto"/>
        <w:shd w:val="pct15" w:color="auto" w:fill="auto"/>
        <w:tblLook w:val="04A0" w:firstRow="1" w:lastRow="0" w:firstColumn="1" w:lastColumn="0" w:noHBand="0" w:noVBand="1"/>
      </w:tblPr>
      <w:tblGrid>
        <w:gridCol w:w="2802"/>
        <w:gridCol w:w="6486"/>
      </w:tblGrid>
      <w:tr w:rsidR="00477E8D" w:rsidRPr="00477E8D" w14:paraId="3C9E666F" w14:textId="77777777" w:rsidTr="00C54BB7">
        <w:tc>
          <w:tcPr>
            <w:tcW w:w="2802" w:type="dxa"/>
            <w:shd w:val="clear" w:color="auto" w:fill="auto"/>
          </w:tcPr>
          <w:p w14:paraId="5B279835" w14:textId="77777777" w:rsidR="00EA2748" w:rsidRPr="00477E8D" w:rsidRDefault="00EA2748" w:rsidP="00C51B65">
            <w:pPr>
              <w:spacing w:line="276" w:lineRule="auto"/>
              <w:rPr>
                <w:rFonts w:ascii="Arial" w:hAnsi="Arial" w:cs="Arial"/>
                <w:sz w:val="22"/>
                <w:szCs w:val="22"/>
              </w:rPr>
            </w:pPr>
            <w:r w:rsidRPr="00477E8D">
              <w:rPr>
                <w:rFonts w:ascii="Arial" w:hAnsi="Arial" w:cs="Arial"/>
                <w:sz w:val="22"/>
                <w:szCs w:val="22"/>
              </w:rPr>
              <w:t xml:space="preserve">Název a označení indikátoru: </w:t>
            </w:r>
          </w:p>
        </w:tc>
        <w:tc>
          <w:tcPr>
            <w:tcW w:w="6486" w:type="dxa"/>
            <w:shd w:val="clear" w:color="auto" w:fill="auto"/>
          </w:tcPr>
          <w:p w14:paraId="1907002C" w14:textId="72EC359E" w:rsidR="00EA2748" w:rsidRPr="00477E8D" w:rsidRDefault="008A57D7" w:rsidP="00C51B65">
            <w:pPr>
              <w:spacing w:line="276" w:lineRule="auto"/>
              <w:rPr>
                <w:rFonts w:ascii="Arial" w:eastAsia="Arial" w:hAnsi="Arial" w:cs="Arial"/>
                <w:sz w:val="22"/>
                <w:szCs w:val="22"/>
              </w:rPr>
            </w:pPr>
            <w:r>
              <w:rPr>
                <w:rFonts w:ascii="Arial" w:eastAsia="Arial" w:hAnsi="Arial" w:cs="Arial"/>
                <w:b/>
                <w:sz w:val="22"/>
                <w:szCs w:val="22"/>
              </w:rPr>
              <w:t>17</w:t>
            </w:r>
            <w:r w:rsidR="00EA2748" w:rsidRPr="00477E8D">
              <w:rPr>
                <w:rFonts w:ascii="Arial" w:eastAsia="Arial" w:hAnsi="Arial" w:cs="Arial"/>
                <w:b/>
                <w:sz w:val="22"/>
                <w:szCs w:val="22"/>
              </w:rPr>
              <w:t xml:space="preserve">.4.5 </w:t>
            </w:r>
            <w:r w:rsidR="009A5D52">
              <w:rPr>
                <w:rFonts w:ascii="Arial" w:hAnsi="Arial" w:cs="Arial"/>
                <w:b/>
                <w:sz w:val="22"/>
                <w:szCs w:val="22"/>
              </w:rPr>
              <w:t>P</w:t>
            </w:r>
            <w:r w:rsidR="009A5D52" w:rsidRPr="00C54BB7">
              <w:rPr>
                <w:rFonts w:ascii="Arial" w:hAnsi="Arial" w:cs="Arial"/>
                <w:b/>
                <w:sz w:val="22"/>
                <w:szCs w:val="22"/>
              </w:rPr>
              <w:t>odíl osob se špatně vnímanou celkovou</w:t>
            </w:r>
            <w:r w:rsidR="00EA2748" w:rsidRPr="00C54BB7">
              <w:rPr>
                <w:rFonts w:ascii="Arial" w:eastAsia="Arial" w:hAnsi="Arial"/>
                <w:sz w:val="22"/>
              </w:rPr>
              <w:t xml:space="preserve"> </w:t>
            </w:r>
            <w:r w:rsidR="009A5D52">
              <w:rPr>
                <w:rFonts w:ascii="Arial" w:eastAsia="Arial" w:hAnsi="Arial" w:cs="Arial"/>
                <w:b/>
                <w:sz w:val="22"/>
                <w:szCs w:val="22"/>
              </w:rPr>
              <w:t>s</w:t>
            </w:r>
            <w:r w:rsidR="008C4146">
              <w:rPr>
                <w:rFonts w:ascii="Arial" w:eastAsia="Arial" w:hAnsi="Arial" w:cs="Arial"/>
                <w:b/>
                <w:sz w:val="22"/>
                <w:szCs w:val="22"/>
              </w:rPr>
              <w:t>ociální podpor</w:t>
            </w:r>
            <w:r w:rsidR="009A5D52">
              <w:rPr>
                <w:rFonts w:ascii="Arial" w:eastAsia="Arial" w:hAnsi="Arial" w:cs="Arial"/>
                <w:b/>
                <w:sz w:val="22"/>
                <w:szCs w:val="22"/>
              </w:rPr>
              <w:t>ou</w:t>
            </w:r>
          </w:p>
        </w:tc>
      </w:tr>
      <w:tr w:rsidR="00477E8D" w:rsidRPr="00477E8D" w14:paraId="0DCBADE7" w14:textId="77777777" w:rsidTr="00C54BB7">
        <w:tc>
          <w:tcPr>
            <w:tcW w:w="2802" w:type="dxa"/>
            <w:shd w:val="clear" w:color="auto" w:fill="auto"/>
          </w:tcPr>
          <w:p w14:paraId="23CC90FC" w14:textId="77777777" w:rsidR="00EA2748" w:rsidRPr="00477E8D" w:rsidRDefault="00EA2748" w:rsidP="00C51B65">
            <w:pPr>
              <w:spacing w:line="276" w:lineRule="auto"/>
              <w:rPr>
                <w:rFonts w:ascii="Arial" w:hAnsi="Arial" w:cs="Arial"/>
                <w:sz w:val="22"/>
                <w:szCs w:val="22"/>
              </w:rPr>
            </w:pPr>
            <w:r w:rsidRPr="00477E8D">
              <w:rPr>
                <w:rFonts w:ascii="Arial" w:hAnsi="Arial" w:cs="Arial"/>
                <w:sz w:val="22"/>
                <w:szCs w:val="22"/>
              </w:rPr>
              <w:t xml:space="preserve">Stručná definice: </w:t>
            </w:r>
          </w:p>
        </w:tc>
        <w:tc>
          <w:tcPr>
            <w:tcW w:w="6486" w:type="dxa"/>
            <w:shd w:val="clear" w:color="auto" w:fill="auto"/>
          </w:tcPr>
          <w:p w14:paraId="71EE52F8" w14:textId="77777777" w:rsidR="004D609B" w:rsidRPr="004D609B" w:rsidRDefault="004D609B" w:rsidP="00C516EA">
            <w:pPr>
              <w:spacing w:line="276" w:lineRule="auto"/>
              <w:jc w:val="both"/>
              <w:rPr>
                <w:rFonts w:ascii="Arial" w:hAnsi="Arial" w:cs="Arial"/>
                <w:sz w:val="22"/>
                <w:szCs w:val="22"/>
              </w:rPr>
            </w:pPr>
            <w:r w:rsidRPr="004D609B">
              <w:rPr>
                <w:rFonts w:ascii="Arial" w:hAnsi="Arial" w:cs="Arial"/>
                <w:sz w:val="22"/>
                <w:szCs w:val="22"/>
              </w:rPr>
              <w:t xml:space="preserve">Podíl osob s nízkým Indexem sociální podpory (Oslo-3 </w:t>
            </w:r>
            <w:proofErr w:type="spellStart"/>
            <w:r w:rsidRPr="004D609B">
              <w:rPr>
                <w:rFonts w:ascii="Arial" w:hAnsi="Arial" w:cs="Arial"/>
                <w:sz w:val="22"/>
                <w:szCs w:val="22"/>
              </w:rPr>
              <w:t>scale</w:t>
            </w:r>
            <w:proofErr w:type="spellEnd"/>
            <w:r w:rsidRPr="004D609B">
              <w:rPr>
                <w:rFonts w:ascii="Arial" w:hAnsi="Arial" w:cs="Arial"/>
                <w:sz w:val="22"/>
                <w:szCs w:val="22"/>
              </w:rPr>
              <w:t>, hodnota skóre 3 – 8 bodů)</w:t>
            </w:r>
          </w:p>
          <w:p w14:paraId="5EF1F3C5" w14:textId="77777777" w:rsidR="004D609B" w:rsidRPr="004D609B" w:rsidRDefault="004D609B" w:rsidP="00C516EA">
            <w:pPr>
              <w:spacing w:line="276" w:lineRule="auto"/>
              <w:jc w:val="both"/>
              <w:rPr>
                <w:rFonts w:ascii="Arial" w:hAnsi="Arial" w:cs="Arial"/>
                <w:sz w:val="22"/>
                <w:szCs w:val="22"/>
              </w:rPr>
            </w:pPr>
            <w:r w:rsidRPr="004D609B">
              <w:rPr>
                <w:rFonts w:ascii="Arial" w:hAnsi="Arial" w:cs="Arial"/>
                <w:sz w:val="22"/>
                <w:szCs w:val="22"/>
              </w:rPr>
              <w:t xml:space="preserve">Index je určen na základě 3 otázek: </w:t>
            </w:r>
          </w:p>
          <w:p w14:paraId="0321BA31" w14:textId="77777777" w:rsidR="004D609B" w:rsidRPr="004D609B" w:rsidRDefault="004D609B" w:rsidP="00C516EA">
            <w:pPr>
              <w:spacing w:line="276" w:lineRule="auto"/>
              <w:jc w:val="both"/>
              <w:rPr>
                <w:rFonts w:ascii="Arial" w:hAnsi="Arial" w:cs="Arial"/>
                <w:sz w:val="22"/>
                <w:szCs w:val="22"/>
              </w:rPr>
            </w:pPr>
            <w:r w:rsidRPr="004D609B">
              <w:rPr>
                <w:rFonts w:ascii="Arial" w:hAnsi="Arial" w:cs="Arial"/>
                <w:sz w:val="22"/>
                <w:szCs w:val="22"/>
              </w:rPr>
              <w:t>1)</w:t>
            </w:r>
            <w:r w:rsidRPr="004D609B">
              <w:rPr>
                <w:rFonts w:ascii="Arial" w:hAnsi="Arial" w:cs="Arial"/>
                <w:sz w:val="22"/>
                <w:szCs w:val="22"/>
              </w:rPr>
              <w:tab/>
              <w:t>Kolik osob je Vám tak blízkých, že s nimi můžete počítat v případě vážných osobních problémů?</w:t>
            </w:r>
          </w:p>
          <w:p w14:paraId="3FF09350" w14:textId="77777777" w:rsidR="004D609B" w:rsidRPr="004D609B" w:rsidRDefault="004D609B" w:rsidP="00C516EA">
            <w:pPr>
              <w:spacing w:line="276" w:lineRule="auto"/>
              <w:jc w:val="both"/>
              <w:rPr>
                <w:rFonts w:ascii="Arial" w:hAnsi="Arial" w:cs="Arial"/>
                <w:sz w:val="22"/>
                <w:szCs w:val="22"/>
              </w:rPr>
            </w:pPr>
            <w:r w:rsidRPr="004D609B">
              <w:rPr>
                <w:rFonts w:ascii="Arial" w:hAnsi="Arial" w:cs="Arial"/>
                <w:sz w:val="22"/>
                <w:szCs w:val="22"/>
              </w:rPr>
              <w:t>2)</w:t>
            </w:r>
            <w:r w:rsidRPr="004D609B">
              <w:rPr>
                <w:rFonts w:ascii="Arial" w:hAnsi="Arial" w:cs="Arial"/>
                <w:sz w:val="22"/>
                <w:szCs w:val="22"/>
              </w:rPr>
              <w:tab/>
              <w:t>Jak moc se druzí lidé kolem Vás zajímají o to, co děláte? Jaký zájem projevují?</w:t>
            </w:r>
          </w:p>
          <w:p w14:paraId="79E2D328" w14:textId="59462A5B" w:rsidR="00EA2748" w:rsidRPr="00477E8D" w:rsidRDefault="004D609B" w:rsidP="00C516EA">
            <w:pPr>
              <w:spacing w:line="276" w:lineRule="auto"/>
              <w:jc w:val="both"/>
              <w:rPr>
                <w:rFonts w:ascii="Arial" w:hAnsi="Arial" w:cs="Arial"/>
                <w:sz w:val="22"/>
                <w:szCs w:val="22"/>
              </w:rPr>
            </w:pPr>
            <w:r w:rsidRPr="004D609B">
              <w:rPr>
                <w:rFonts w:ascii="Arial" w:hAnsi="Arial" w:cs="Arial"/>
                <w:sz w:val="22"/>
                <w:szCs w:val="22"/>
              </w:rPr>
              <w:t>3)</w:t>
            </w:r>
            <w:r w:rsidRPr="004D609B">
              <w:rPr>
                <w:rFonts w:ascii="Arial" w:hAnsi="Arial" w:cs="Arial"/>
                <w:sz w:val="22"/>
                <w:szCs w:val="22"/>
              </w:rPr>
              <w:tab/>
              <w:t>Jak snadné je pro Vás získat pomoc od lidí z okolí, pokud byste ji potřeboval (a)?</w:t>
            </w:r>
          </w:p>
        </w:tc>
      </w:tr>
      <w:tr w:rsidR="00477E8D" w:rsidRPr="00477E8D" w14:paraId="06147E61" w14:textId="77777777" w:rsidTr="00C54BB7">
        <w:tc>
          <w:tcPr>
            <w:tcW w:w="2802" w:type="dxa"/>
            <w:shd w:val="clear" w:color="auto" w:fill="auto"/>
          </w:tcPr>
          <w:p w14:paraId="59DB40DF" w14:textId="77777777" w:rsidR="00EA2748" w:rsidRPr="00477E8D" w:rsidRDefault="00EA2748" w:rsidP="00C51B65">
            <w:pPr>
              <w:spacing w:line="276" w:lineRule="auto"/>
              <w:rPr>
                <w:rFonts w:ascii="Arial" w:hAnsi="Arial" w:cs="Arial"/>
                <w:sz w:val="22"/>
                <w:szCs w:val="22"/>
              </w:rPr>
            </w:pPr>
            <w:r w:rsidRPr="00477E8D">
              <w:rPr>
                <w:rFonts w:ascii="Arial" w:hAnsi="Arial" w:cs="Arial"/>
                <w:sz w:val="22"/>
                <w:szCs w:val="22"/>
              </w:rPr>
              <w:t>Jednotka:</w:t>
            </w:r>
          </w:p>
        </w:tc>
        <w:tc>
          <w:tcPr>
            <w:tcW w:w="6486" w:type="dxa"/>
            <w:shd w:val="clear" w:color="auto" w:fill="auto"/>
          </w:tcPr>
          <w:p w14:paraId="4B548F91" w14:textId="6142AF80" w:rsidR="00EA2748" w:rsidRPr="00477E8D" w:rsidRDefault="00744A4F" w:rsidP="00C516EA">
            <w:pPr>
              <w:spacing w:line="276" w:lineRule="auto"/>
              <w:jc w:val="both"/>
              <w:rPr>
                <w:rFonts w:ascii="Arial" w:hAnsi="Arial" w:cs="Arial"/>
                <w:sz w:val="22"/>
                <w:szCs w:val="22"/>
              </w:rPr>
            </w:pPr>
            <w:r>
              <w:rPr>
                <w:rFonts w:ascii="Arial" w:hAnsi="Arial" w:cs="Arial"/>
                <w:sz w:val="22"/>
                <w:szCs w:val="22"/>
              </w:rPr>
              <w:t>P</w:t>
            </w:r>
            <w:r w:rsidR="009A5D52">
              <w:rPr>
                <w:rFonts w:ascii="Arial" w:hAnsi="Arial" w:cs="Arial"/>
                <w:sz w:val="22"/>
                <w:szCs w:val="22"/>
              </w:rPr>
              <w:t>odíl (%)</w:t>
            </w:r>
          </w:p>
        </w:tc>
      </w:tr>
      <w:tr w:rsidR="00477E8D" w:rsidRPr="00477E8D" w14:paraId="4DE0C871" w14:textId="77777777" w:rsidTr="00C54BB7">
        <w:tc>
          <w:tcPr>
            <w:tcW w:w="2802" w:type="dxa"/>
            <w:shd w:val="clear" w:color="auto" w:fill="auto"/>
          </w:tcPr>
          <w:p w14:paraId="5B40F467" w14:textId="77777777" w:rsidR="00EA2748" w:rsidRPr="00477E8D" w:rsidRDefault="00EA2748" w:rsidP="00C51B65">
            <w:pPr>
              <w:spacing w:line="276" w:lineRule="auto"/>
              <w:rPr>
                <w:rFonts w:ascii="Arial" w:hAnsi="Arial" w:cs="Arial"/>
                <w:sz w:val="22"/>
                <w:szCs w:val="22"/>
              </w:rPr>
            </w:pPr>
            <w:r w:rsidRPr="00477E8D">
              <w:rPr>
                <w:rFonts w:ascii="Arial" w:hAnsi="Arial" w:cs="Arial"/>
                <w:sz w:val="22"/>
                <w:szCs w:val="22"/>
              </w:rPr>
              <w:t xml:space="preserve">Gestor: </w:t>
            </w:r>
          </w:p>
        </w:tc>
        <w:tc>
          <w:tcPr>
            <w:tcW w:w="6486" w:type="dxa"/>
            <w:shd w:val="clear" w:color="auto" w:fill="auto"/>
          </w:tcPr>
          <w:p w14:paraId="65ECF0DA" w14:textId="4740D540" w:rsidR="00EA2748" w:rsidRPr="00477E8D" w:rsidRDefault="00266F08" w:rsidP="00C516EA">
            <w:pPr>
              <w:spacing w:line="276" w:lineRule="auto"/>
              <w:jc w:val="both"/>
              <w:rPr>
                <w:rFonts w:ascii="Arial" w:hAnsi="Arial" w:cs="Arial"/>
                <w:sz w:val="22"/>
                <w:szCs w:val="22"/>
              </w:rPr>
            </w:pPr>
            <w:r>
              <w:rPr>
                <w:rFonts w:ascii="Arial" w:hAnsi="Arial" w:cs="Arial"/>
                <w:sz w:val="22"/>
                <w:szCs w:val="22"/>
              </w:rPr>
              <w:t>Ústav zdravotních informací a statistiky ČR</w:t>
            </w:r>
          </w:p>
        </w:tc>
      </w:tr>
      <w:tr w:rsidR="00477E8D" w:rsidRPr="00477E8D" w14:paraId="619FF14A" w14:textId="77777777" w:rsidTr="00C54BB7">
        <w:tc>
          <w:tcPr>
            <w:tcW w:w="2802" w:type="dxa"/>
            <w:shd w:val="clear" w:color="auto" w:fill="auto"/>
          </w:tcPr>
          <w:p w14:paraId="43766A72" w14:textId="77777777" w:rsidR="00EA2748" w:rsidRPr="00477E8D" w:rsidRDefault="00EA2748" w:rsidP="00C51B65">
            <w:pPr>
              <w:spacing w:line="276" w:lineRule="auto"/>
              <w:rPr>
                <w:rFonts w:ascii="Arial" w:hAnsi="Arial" w:cs="Arial"/>
                <w:sz w:val="22"/>
                <w:szCs w:val="22"/>
              </w:rPr>
            </w:pPr>
            <w:r w:rsidRPr="00477E8D">
              <w:rPr>
                <w:rFonts w:ascii="Arial" w:hAnsi="Arial" w:cs="Arial"/>
                <w:sz w:val="22"/>
                <w:szCs w:val="22"/>
              </w:rPr>
              <w:t xml:space="preserve">Význam indikátoru: </w:t>
            </w:r>
          </w:p>
        </w:tc>
        <w:tc>
          <w:tcPr>
            <w:tcW w:w="6486" w:type="dxa"/>
            <w:shd w:val="clear" w:color="auto" w:fill="auto"/>
          </w:tcPr>
          <w:p w14:paraId="30DE77A0" w14:textId="5653B02B" w:rsidR="00EA2748" w:rsidRPr="00477E8D" w:rsidRDefault="004D609B" w:rsidP="00C516EA">
            <w:pPr>
              <w:spacing w:line="276" w:lineRule="auto"/>
              <w:jc w:val="both"/>
              <w:rPr>
                <w:rFonts w:ascii="Arial" w:hAnsi="Arial" w:cs="Arial"/>
                <w:sz w:val="22"/>
                <w:szCs w:val="22"/>
              </w:rPr>
            </w:pPr>
            <w:r>
              <w:rPr>
                <w:rFonts w:ascii="Arial" w:hAnsi="Arial" w:cs="Arial"/>
                <w:sz w:val="22"/>
                <w:szCs w:val="22"/>
              </w:rPr>
              <w:t xml:space="preserve">Index sociální podpory zkoumá vnímání toho, jak je o člověka postaráno, tj. je-li součástí </w:t>
            </w:r>
            <w:r w:rsidRPr="00F86567">
              <w:rPr>
                <w:rFonts w:ascii="Arial" w:hAnsi="Arial" w:cs="Arial"/>
                <w:sz w:val="22"/>
                <w:szCs w:val="22"/>
              </w:rPr>
              <w:t>podpůrné sociální sítě</w:t>
            </w:r>
            <w:r>
              <w:rPr>
                <w:rFonts w:ascii="Arial" w:hAnsi="Arial" w:cs="Arial"/>
                <w:sz w:val="22"/>
                <w:szCs w:val="22"/>
              </w:rPr>
              <w:t xml:space="preserve"> či má-li někoho, na koho se může v nouzi obrátit. </w:t>
            </w:r>
          </w:p>
        </w:tc>
      </w:tr>
      <w:tr w:rsidR="00477E8D" w:rsidRPr="00477E8D" w14:paraId="19876E22" w14:textId="77777777" w:rsidTr="00C54BB7">
        <w:tc>
          <w:tcPr>
            <w:tcW w:w="2802" w:type="dxa"/>
            <w:shd w:val="clear" w:color="auto" w:fill="auto"/>
          </w:tcPr>
          <w:p w14:paraId="4FF89E9D" w14:textId="77777777" w:rsidR="00EA2748" w:rsidRPr="00477E8D" w:rsidRDefault="00EA2748" w:rsidP="00C51B65">
            <w:pPr>
              <w:spacing w:line="276" w:lineRule="auto"/>
              <w:rPr>
                <w:rFonts w:ascii="Arial" w:hAnsi="Arial" w:cs="Arial"/>
                <w:sz w:val="22"/>
                <w:szCs w:val="22"/>
              </w:rPr>
            </w:pPr>
            <w:r w:rsidRPr="00477E8D">
              <w:rPr>
                <w:rFonts w:ascii="Arial" w:hAnsi="Arial" w:cs="Arial"/>
                <w:sz w:val="22"/>
                <w:szCs w:val="22"/>
              </w:rPr>
              <w:t xml:space="preserve">Časová řada: </w:t>
            </w:r>
          </w:p>
        </w:tc>
        <w:tc>
          <w:tcPr>
            <w:tcW w:w="6486" w:type="dxa"/>
            <w:shd w:val="clear" w:color="auto" w:fill="auto"/>
          </w:tcPr>
          <w:p w14:paraId="0FE9DB1C" w14:textId="2A2D8275" w:rsidR="00EA2748" w:rsidRPr="00477E8D" w:rsidRDefault="00267BA8" w:rsidP="00C516EA">
            <w:pPr>
              <w:spacing w:line="276" w:lineRule="auto"/>
              <w:jc w:val="both"/>
              <w:rPr>
                <w:rFonts w:ascii="Arial" w:hAnsi="Arial" w:cs="Arial"/>
                <w:sz w:val="22"/>
                <w:szCs w:val="22"/>
              </w:rPr>
            </w:pPr>
            <w:r>
              <w:rPr>
                <w:rFonts w:ascii="Arial" w:hAnsi="Arial" w:cs="Arial"/>
                <w:sz w:val="22"/>
                <w:szCs w:val="22"/>
              </w:rPr>
              <w:t>O</w:t>
            </w:r>
            <w:r w:rsidR="00266F08">
              <w:rPr>
                <w:rFonts w:ascii="Arial" w:hAnsi="Arial" w:cs="Arial"/>
                <w:sz w:val="22"/>
                <w:szCs w:val="22"/>
              </w:rPr>
              <w:t>d roku 2014</w:t>
            </w:r>
          </w:p>
        </w:tc>
      </w:tr>
      <w:tr w:rsidR="00477E8D" w:rsidRPr="00477E8D" w14:paraId="76D6F159" w14:textId="77777777" w:rsidTr="00C54BB7">
        <w:tc>
          <w:tcPr>
            <w:tcW w:w="2802" w:type="dxa"/>
            <w:shd w:val="clear" w:color="auto" w:fill="auto"/>
          </w:tcPr>
          <w:p w14:paraId="7B98C139" w14:textId="77777777" w:rsidR="00EA2748" w:rsidRPr="00477E8D" w:rsidRDefault="00EA2748" w:rsidP="00C51B65">
            <w:pPr>
              <w:spacing w:line="276" w:lineRule="auto"/>
              <w:rPr>
                <w:rFonts w:ascii="Arial" w:hAnsi="Arial" w:cs="Arial"/>
                <w:sz w:val="22"/>
                <w:szCs w:val="22"/>
              </w:rPr>
            </w:pPr>
            <w:r w:rsidRPr="00477E8D">
              <w:rPr>
                <w:rFonts w:ascii="Arial" w:hAnsi="Arial" w:cs="Arial"/>
                <w:sz w:val="22"/>
                <w:szCs w:val="22"/>
              </w:rPr>
              <w:t xml:space="preserve">Frekvence výstupu: </w:t>
            </w:r>
          </w:p>
        </w:tc>
        <w:tc>
          <w:tcPr>
            <w:tcW w:w="6486" w:type="dxa"/>
            <w:shd w:val="clear" w:color="auto" w:fill="auto"/>
          </w:tcPr>
          <w:p w14:paraId="2E39B4B9" w14:textId="2B6A98E5" w:rsidR="00EA2748" w:rsidRPr="00477E8D" w:rsidRDefault="00267BA8" w:rsidP="00C516EA">
            <w:pPr>
              <w:spacing w:line="276" w:lineRule="auto"/>
              <w:jc w:val="both"/>
              <w:rPr>
                <w:rFonts w:ascii="Arial" w:hAnsi="Arial" w:cs="Arial"/>
                <w:sz w:val="22"/>
                <w:szCs w:val="22"/>
              </w:rPr>
            </w:pPr>
            <w:r>
              <w:rPr>
                <w:rFonts w:ascii="Arial" w:hAnsi="Arial" w:cs="Arial"/>
                <w:sz w:val="22"/>
                <w:szCs w:val="22"/>
              </w:rPr>
              <w:t>J</w:t>
            </w:r>
            <w:r w:rsidR="008C4146">
              <w:rPr>
                <w:rFonts w:ascii="Arial" w:hAnsi="Arial" w:cs="Arial"/>
                <w:sz w:val="22"/>
                <w:szCs w:val="22"/>
              </w:rPr>
              <w:t xml:space="preserve">ednou za </w:t>
            </w:r>
            <w:r w:rsidR="00266F08">
              <w:rPr>
                <w:rFonts w:ascii="Arial" w:hAnsi="Arial" w:cs="Arial"/>
                <w:sz w:val="22"/>
                <w:szCs w:val="22"/>
              </w:rPr>
              <w:t>6</w:t>
            </w:r>
            <w:r w:rsidR="008C4146">
              <w:rPr>
                <w:rFonts w:ascii="Arial" w:hAnsi="Arial" w:cs="Arial"/>
                <w:sz w:val="22"/>
                <w:szCs w:val="22"/>
              </w:rPr>
              <w:t xml:space="preserve"> let</w:t>
            </w:r>
            <w:r w:rsidR="00266F08">
              <w:rPr>
                <w:rFonts w:ascii="Arial" w:hAnsi="Arial" w:cs="Arial"/>
                <w:sz w:val="22"/>
                <w:szCs w:val="22"/>
              </w:rPr>
              <w:t xml:space="preserve"> (šetření EHIS)</w:t>
            </w:r>
          </w:p>
        </w:tc>
      </w:tr>
      <w:tr w:rsidR="00477E8D" w:rsidRPr="00477E8D" w14:paraId="4DA35F2A" w14:textId="77777777" w:rsidTr="00C54BB7">
        <w:trPr>
          <w:trHeight w:val="70"/>
        </w:trPr>
        <w:tc>
          <w:tcPr>
            <w:tcW w:w="2802" w:type="dxa"/>
            <w:shd w:val="clear" w:color="auto" w:fill="auto"/>
          </w:tcPr>
          <w:p w14:paraId="2EF5E2DD" w14:textId="77777777" w:rsidR="00EA2748" w:rsidRPr="00477E8D" w:rsidRDefault="00EA2748" w:rsidP="00C51B65">
            <w:pPr>
              <w:spacing w:line="276" w:lineRule="auto"/>
              <w:rPr>
                <w:rFonts w:ascii="Arial" w:hAnsi="Arial" w:cs="Arial"/>
                <w:sz w:val="22"/>
                <w:szCs w:val="22"/>
              </w:rPr>
            </w:pPr>
            <w:r w:rsidRPr="00477E8D">
              <w:rPr>
                <w:rFonts w:ascii="Arial" w:hAnsi="Arial" w:cs="Arial"/>
                <w:sz w:val="22"/>
                <w:szCs w:val="22"/>
              </w:rPr>
              <w:t xml:space="preserve">Členění indikátoru: </w:t>
            </w:r>
          </w:p>
        </w:tc>
        <w:tc>
          <w:tcPr>
            <w:tcW w:w="6486" w:type="dxa"/>
            <w:shd w:val="clear" w:color="auto" w:fill="auto"/>
          </w:tcPr>
          <w:p w14:paraId="2A0CF1C2" w14:textId="3088BCCA" w:rsidR="00EA2748" w:rsidRPr="00477E8D" w:rsidRDefault="00744A4F" w:rsidP="00C516EA">
            <w:pPr>
              <w:spacing w:line="276" w:lineRule="auto"/>
              <w:jc w:val="both"/>
              <w:rPr>
                <w:rFonts w:ascii="Arial" w:hAnsi="Arial" w:cs="Arial"/>
                <w:sz w:val="22"/>
                <w:szCs w:val="22"/>
              </w:rPr>
            </w:pPr>
            <w:r>
              <w:rPr>
                <w:rFonts w:ascii="Arial" w:hAnsi="Arial" w:cs="Arial"/>
                <w:sz w:val="22"/>
                <w:szCs w:val="22"/>
              </w:rPr>
              <w:t xml:space="preserve">Dle </w:t>
            </w:r>
            <w:r w:rsidR="008C4146">
              <w:rPr>
                <w:rFonts w:ascii="Arial" w:hAnsi="Arial" w:cs="Arial"/>
                <w:sz w:val="22"/>
                <w:szCs w:val="22"/>
              </w:rPr>
              <w:t>NUTS II</w:t>
            </w:r>
            <w:r w:rsidR="00266F08">
              <w:rPr>
                <w:rFonts w:ascii="Arial" w:hAnsi="Arial" w:cs="Arial"/>
                <w:sz w:val="22"/>
                <w:szCs w:val="22"/>
              </w:rPr>
              <w:t>, pohlaví, věk</w:t>
            </w:r>
            <w:r>
              <w:rPr>
                <w:rFonts w:ascii="Arial" w:hAnsi="Arial" w:cs="Arial"/>
                <w:sz w:val="22"/>
                <w:szCs w:val="22"/>
              </w:rPr>
              <w:t>u</w:t>
            </w:r>
          </w:p>
        </w:tc>
      </w:tr>
      <w:tr w:rsidR="00477E8D" w:rsidRPr="00477E8D" w14:paraId="5BDF8B6A" w14:textId="77777777" w:rsidTr="00C54BB7">
        <w:trPr>
          <w:trHeight w:val="70"/>
        </w:trPr>
        <w:tc>
          <w:tcPr>
            <w:tcW w:w="2802" w:type="dxa"/>
            <w:shd w:val="clear" w:color="auto" w:fill="auto"/>
          </w:tcPr>
          <w:p w14:paraId="0F86B73C" w14:textId="77777777" w:rsidR="00EA2748" w:rsidRPr="00477E8D" w:rsidRDefault="00EA2748" w:rsidP="00C51B65">
            <w:pPr>
              <w:spacing w:line="276" w:lineRule="auto"/>
              <w:rPr>
                <w:rFonts w:ascii="Arial" w:hAnsi="Arial" w:cs="Arial"/>
                <w:sz w:val="22"/>
                <w:szCs w:val="22"/>
              </w:rPr>
            </w:pPr>
            <w:r w:rsidRPr="00477E8D">
              <w:rPr>
                <w:rFonts w:ascii="Arial" w:hAnsi="Arial" w:cs="Arial"/>
                <w:sz w:val="22"/>
                <w:szCs w:val="22"/>
              </w:rPr>
              <w:t>Mezinárodní srovnání:</w:t>
            </w:r>
          </w:p>
        </w:tc>
        <w:tc>
          <w:tcPr>
            <w:tcW w:w="6486" w:type="dxa"/>
            <w:shd w:val="clear" w:color="auto" w:fill="auto"/>
          </w:tcPr>
          <w:p w14:paraId="3E303EA1" w14:textId="23188E6F" w:rsidR="00EA2748" w:rsidRPr="00C54BB7" w:rsidRDefault="00744A4F" w:rsidP="00C516EA">
            <w:pPr>
              <w:spacing w:line="276" w:lineRule="auto"/>
              <w:jc w:val="both"/>
              <w:rPr>
                <w:rFonts w:ascii="Arial" w:hAnsi="Arial"/>
                <w:sz w:val="22"/>
              </w:rPr>
            </w:pPr>
            <w:proofErr w:type="spellStart"/>
            <w:r>
              <w:rPr>
                <w:rFonts w:ascii="Arial" w:hAnsi="Arial" w:cs="Arial"/>
                <w:sz w:val="22"/>
                <w:szCs w:val="22"/>
              </w:rPr>
              <w:t>Eurostat</w:t>
            </w:r>
            <w:proofErr w:type="spellEnd"/>
          </w:p>
        </w:tc>
      </w:tr>
    </w:tbl>
    <w:p w14:paraId="29F4550D" w14:textId="77777777" w:rsidR="008A57D7" w:rsidRPr="008A57D7" w:rsidRDefault="008A57D7" w:rsidP="00C516EA">
      <w:pPr>
        <w:pStyle w:val="r2030cle"/>
        <w:numPr>
          <w:ilvl w:val="0"/>
          <w:numId w:val="17"/>
        </w:numPr>
        <w:ind w:left="567" w:hanging="425"/>
        <w:rPr>
          <w:rFonts w:eastAsiaTheme="minorHAnsi"/>
          <w:lang w:eastAsia="en-US"/>
        </w:rPr>
      </w:pPr>
      <w:r w:rsidRPr="008A57D7">
        <w:rPr>
          <w:rFonts w:eastAsiaTheme="minorHAnsi"/>
          <w:lang w:eastAsia="en-US"/>
        </w:rPr>
        <w:t xml:space="preserve">Kvalitní urbánní rozvoj sídelních útvarů je zajištěn. </w:t>
      </w:r>
    </w:p>
    <w:p w14:paraId="1D6F8AA6" w14:textId="3BF623E9" w:rsidR="00EA2748" w:rsidRDefault="008A57D7" w:rsidP="00C516EA">
      <w:pPr>
        <w:pStyle w:val="r2030podcle"/>
        <w:numPr>
          <w:ilvl w:val="1"/>
          <w:numId w:val="17"/>
        </w:numPr>
        <w:ind w:left="567" w:hanging="425"/>
      </w:pPr>
      <w:r w:rsidRPr="008A57D7">
        <w:t>Snižuje se zábor půdy ve měst</w:t>
      </w:r>
      <w:r w:rsidR="00AD6658">
        <w:t>ech a jejich zázemí. Brownfieldy</w:t>
      </w:r>
      <w:r w:rsidRPr="008A57D7">
        <w:t xml:space="preserve"> jsou recyklovány a revitalizovány.</w:t>
      </w:r>
    </w:p>
    <w:tbl>
      <w:tblPr>
        <w:tblStyle w:val="Mkatabulky"/>
        <w:tblW w:w="0" w:type="auto"/>
        <w:tblLook w:val="04A0" w:firstRow="1" w:lastRow="0" w:firstColumn="1" w:lastColumn="0" w:noHBand="0" w:noVBand="1"/>
      </w:tblPr>
      <w:tblGrid>
        <w:gridCol w:w="2802"/>
        <w:gridCol w:w="6486"/>
      </w:tblGrid>
      <w:tr w:rsidR="00EA2748" w:rsidRPr="0007074B" w14:paraId="008DE776" w14:textId="77777777" w:rsidTr="00B460D5">
        <w:tc>
          <w:tcPr>
            <w:tcW w:w="2802" w:type="dxa"/>
          </w:tcPr>
          <w:p w14:paraId="5B26BB40"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Název a označení indikátoru: </w:t>
            </w:r>
          </w:p>
        </w:tc>
        <w:tc>
          <w:tcPr>
            <w:tcW w:w="6486" w:type="dxa"/>
          </w:tcPr>
          <w:p w14:paraId="77EA61E2" w14:textId="77777777" w:rsidR="00EA2748" w:rsidRPr="002F643E" w:rsidRDefault="008A57D7" w:rsidP="00C51B65">
            <w:pPr>
              <w:spacing w:line="276" w:lineRule="auto"/>
              <w:rPr>
                <w:rFonts w:ascii="Arial" w:eastAsia="Arial" w:hAnsi="Arial" w:cs="Arial"/>
                <w:b/>
                <w:color w:val="000000"/>
                <w:sz w:val="22"/>
                <w:szCs w:val="22"/>
              </w:rPr>
            </w:pPr>
            <w:r>
              <w:rPr>
                <w:rFonts w:ascii="Arial" w:eastAsia="Arial" w:hAnsi="Arial" w:cs="Arial"/>
                <w:b/>
                <w:color w:val="000000"/>
                <w:sz w:val="22"/>
                <w:szCs w:val="22"/>
              </w:rPr>
              <w:t>18</w:t>
            </w:r>
            <w:r w:rsidR="00EA2748" w:rsidRPr="002F643E">
              <w:rPr>
                <w:rFonts w:ascii="Arial" w:eastAsia="Arial" w:hAnsi="Arial" w:cs="Arial"/>
                <w:b/>
                <w:color w:val="000000"/>
                <w:sz w:val="22"/>
                <w:szCs w:val="22"/>
              </w:rPr>
              <w:t xml:space="preserve">.1.1. Roční zábor zemědělského půdního fondu </w:t>
            </w:r>
          </w:p>
          <w:p w14:paraId="75BA20EC" w14:textId="77777777" w:rsidR="00EA2748" w:rsidRPr="0007074B" w:rsidRDefault="00EA2748" w:rsidP="00C51B65">
            <w:pPr>
              <w:spacing w:line="276" w:lineRule="auto"/>
              <w:rPr>
                <w:rFonts w:ascii="Arial" w:eastAsia="Arial" w:hAnsi="Arial" w:cs="Arial"/>
                <w:color w:val="000000"/>
                <w:sz w:val="22"/>
                <w:szCs w:val="22"/>
              </w:rPr>
            </w:pPr>
          </w:p>
        </w:tc>
      </w:tr>
      <w:tr w:rsidR="00EA2748" w:rsidRPr="0007074B" w14:paraId="64FF29CF" w14:textId="77777777" w:rsidTr="00B460D5">
        <w:tc>
          <w:tcPr>
            <w:tcW w:w="2802" w:type="dxa"/>
          </w:tcPr>
          <w:p w14:paraId="5EF558BB"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Stručná definice: </w:t>
            </w:r>
          </w:p>
        </w:tc>
        <w:tc>
          <w:tcPr>
            <w:tcW w:w="6486" w:type="dxa"/>
          </w:tcPr>
          <w:p w14:paraId="0559E6FD" w14:textId="013349C1" w:rsidR="00EA2748" w:rsidRPr="00375C6C" w:rsidRDefault="00DB487A" w:rsidP="00C516EA">
            <w:pPr>
              <w:spacing w:line="276" w:lineRule="auto"/>
              <w:jc w:val="both"/>
              <w:rPr>
                <w:rFonts w:ascii="Arial" w:hAnsi="Arial" w:cs="Arial"/>
                <w:sz w:val="22"/>
                <w:szCs w:val="22"/>
              </w:rPr>
            </w:pPr>
            <w:r>
              <w:rPr>
                <w:rFonts w:ascii="Arial" w:hAnsi="Arial" w:cs="Arial"/>
                <w:sz w:val="22"/>
                <w:szCs w:val="22"/>
              </w:rPr>
              <w:t>Z</w:t>
            </w:r>
            <w:r w:rsidR="00EA2748" w:rsidRPr="00375C6C">
              <w:rPr>
                <w:rFonts w:ascii="Arial" w:hAnsi="Arial" w:cs="Arial"/>
                <w:sz w:val="22"/>
                <w:szCs w:val="22"/>
              </w:rPr>
              <w:t>měn</w:t>
            </w:r>
            <w:r>
              <w:rPr>
                <w:rFonts w:ascii="Arial" w:hAnsi="Arial" w:cs="Arial"/>
                <w:sz w:val="22"/>
                <w:szCs w:val="22"/>
              </w:rPr>
              <w:t>a</w:t>
            </w:r>
            <w:r w:rsidR="00EA2748" w:rsidRPr="00375C6C">
              <w:rPr>
                <w:rFonts w:ascii="Arial" w:hAnsi="Arial" w:cs="Arial"/>
                <w:sz w:val="22"/>
                <w:szCs w:val="22"/>
              </w:rPr>
              <w:t xml:space="preserve"> rozlohy a struktur</w:t>
            </w:r>
            <w:r>
              <w:rPr>
                <w:rFonts w:ascii="Arial" w:hAnsi="Arial" w:cs="Arial"/>
                <w:sz w:val="22"/>
                <w:szCs w:val="22"/>
              </w:rPr>
              <w:t>y</w:t>
            </w:r>
            <w:r w:rsidR="00EA2748" w:rsidRPr="00375C6C">
              <w:rPr>
                <w:rFonts w:ascii="Arial" w:hAnsi="Arial" w:cs="Arial"/>
                <w:sz w:val="22"/>
                <w:szCs w:val="22"/>
              </w:rPr>
              <w:t xml:space="preserve"> jednotlivých kategorií zemědělského půdního fondu. Podíl zastavěných a ostatních ploch na celkové rozloze území.</w:t>
            </w:r>
          </w:p>
        </w:tc>
      </w:tr>
      <w:tr w:rsidR="00EA2748" w:rsidRPr="0007074B" w14:paraId="4A64D846" w14:textId="77777777" w:rsidTr="00B460D5">
        <w:tc>
          <w:tcPr>
            <w:tcW w:w="2802" w:type="dxa"/>
          </w:tcPr>
          <w:p w14:paraId="2BF3E95B"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Jednotka:</w:t>
            </w:r>
          </w:p>
        </w:tc>
        <w:tc>
          <w:tcPr>
            <w:tcW w:w="6486" w:type="dxa"/>
          </w:tcPr>
          <w:p w14:paraId="474C04E6" w14:textId="48439183" w:rsidR="00EA2748" w:rsidRPr="00375C6C" w:rsidRDefault="003D41F0" w:rsidP="00C516EA">
            <w:pPr>
              <w:spacing w:line="276" w:lineRule="auto"/>
              <w:jc w:val="both"/>
              <w:rPr>
                <w:rFonts w:ascii="Arial" w:hAnsi="Arial" w:cs="Arial"/>
                <w:sz w:val="22"/>
                <w:szCs w:val="22"/>
              </w:rPr>
            </w:pPr>
            <w:r>
              <w:rPr>
                <w:rFonts w:ascii="Arial" w:hAnsi="Arial" w:cs="Arial"/>
                <w:sz w:val="22"/>
                <w:szCs w:val="22"/>
              </w:rPr>
              <w:t xml:space="preserve">Plocha </w:t>
            </w:r>
            <w:r w:rsidRPr="00375C6C">
              <w:rPr>
                <w:rFonts w:ascii="Arial" w:hAnsi="Arial" w:cs="Arial"/>
                <w:sz w:val="22"/>
                <w:szCs w:val="22"/>
              </w:rPr>
              <w:t>[ha]</w:t>
            </w:r>
          </w:p>
        </w:tc>
      </w:tr>
      <w:tr w:rsidR="00EA2748" w:rsidRPr="0007074B" w14:paraId="31B9F1AC" w14:textId="77777777" w:rsidTr="00B460D5">
        <w:tc>
          <w:tcPr>
            <w:tcW w:w="2802" w:type="dxa"/>
          </w:tcPr>
          <w:p w14:paraId="19C9E4C7"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Gestor: </w:t>
            </w:r>
          </w:p>
        </w:tc>
        <w:tc>
          <w:tcPr>
            <w:tcW w:w="6486" w:type="dxa"/>
          </w:tcPr>
          <w:p w14:paraId="715A569E" w14:textId="42881E0F" w:rsidR="00EA2748" w:rsidRPr="00375C6C" w:rsidRDefault="008A57D7" w:rsidP="00C516EA">
            <w:pPr>
              <w:spacing w:line="276" w:lineRule="auto"/>
              <w:jc w:val="both"/>
              <w:rPr>
                <w:rFonts w:ascii="Arial" w:hAnsi="Arial" w:cs="Arial"/>
                <w:sz w:val="22"/>
                <w:szCs w:val="22"/>
              </w:rPr>
            </w:pPr>
            <w:r>
              <w:rPr>
                <w:rFonts w:ascii="Arial" w:hAnsi="Arial" w:cs="Arial"/>
                <w:sz w:val="22"/>
                <w:szCs w:val="22"/>
              </w:rPr>
              <w:t>Ministerstvo životního prostředí</w:t>
            </w:r>
            <w:r w:rsidR="00EA2748" w:rsidRPr="00375C6C">
              <w:rPr>
                <w:rFonts w:ascii="Arial" w:hAnsi="Arial" w:cs="Arial"/>
                <w:sz w:val="22"/>
                <w:szCs w:val="22"/>
              </w:rPr>
              <w:t xml:space="preserve"> (data </w:t>
            </w:r>
            <w:r w:rsidR="00795F94" w:rsidRPr="00380CC9">
              <w:rPr>
                <w:rFonts w:ascii="Arial" w:hAnsi="Arial" w:cs="Arial"/>
                <w:color w:val="000000" w:themeColor="text1"/>
              </w:rPr>
              <w:t>ČÚZK</w:t>
            </w:r>
            <w:r w:rsidR="00EA2748" w:rsidRPr="00375C6C">
              <w:rPr>
                <w:rFonts w:ascii="Arial" w:hAnsi="Arial" w:cs="Arial"/>
                <w:sz w:val="22"/>
                <w:szCs w:val="22"/>
              </w:rPr>
              <w:t>)</w:t>
            </w:r>
          </w:p>
        </w:tc>
      </w:tr>
      <w:tr w:rsidR="00EA2748" w:rsidRPr="0007074B" w14:paraId="01F28609" w14:textId="77777777" w:rsidTr="00B460D5">
        <w:tc>
          <w:tcPr>
            <w:tcW w:w="2802" w:type="dxa"/>
          </w:tcPr>
          <w:p w14:paraId="45791A24"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Význam indikátoru: </w:t>
            </w:r>
          </w:p>
        </w:tc>
        <w:tc>
          <w:tcPr>
            <w:tcW w:w="6486" w:type="dxa"/>
          </w:tcPr>
          <w:p w14:paraId="51ECBBEE" w14:textId="77777777" w:rsidR="00EA2748" w:rsidRPr="00375C6C" w:rsidRDefault="00EA2748" w:rsidP="00C516EA">
            <w:pPr>
              <w:spacing w:line="276" w:lineRule="auto"/>
              <w:jc w:val="both"/>
              <w:rPr>
                <w:rFonts w:ascii="Arial" w:hAnsi="Arial" w:cs="Arial"/>
                <w:sz w:val="22"/>
                <w:szCs w:val="22"/>
              </w:rPr>
            </w:pPr>
            <w:r w:rsidRPr="00375C6C">
              <w:rPr>
                <w:rFonts w:ascii="Arial" w:hAnsi="Arial" w:cs="Arial"/>
                <w:sz w:val="22"/>
                <w:szCs w:val="22"/>
              </w:rPr>
              <w:t xml:space="preserve">Zásadním dopadem lidské činnosti na krajinu jsou změny ve využívání území. Typickými trendy současné doby je nárůst zastavěných a ostatních ploch a postupný úbytek zemědělského půdního fondu. K těmto změnám dochází </w:t>
            </w:r>
            <w:r w:rsidRPr="00375C6C">
              <w:rPr>
                <w:rFonts w:ascii="Arial" w:hAnsi="Arial" w:cs="Arial"/>
                <w:sz w:val="22"/>
                <w:szCs w:val="22"/>
              </w:rPr>
              <w:lastRenderedPageBreak/>
              <w:t>zejména v důsledku rozšiřování rezidenčních, komerčních a skladovacích ploch a rozvoje dopravní infrastruktury. Zábor zemědělského půdního fondu ovlivňuje schopnost krajiny odolávat vnějším vlivům přírodního i antropogenního původu. Přetváření krajiny narušuje její původní funkce a snižuje biologickou rozmanitost, přičemž zásadním dopadem zástavby území je snížení retenční schopnosti krajiny.</w:t>
            </w:r>
          </w:p>
        </w:tc>
      </w:tr>
      <w:tr w:rsidR="00EA2748" w:rsidRPr="0007074B" w14:paraId="26FB0DCD" w14:textId="77777777" w:rsidTr="00B460D5">
        <w:tc>
          <w:tcPr>
            <w:tcW w:w="2802" w:type="dxa"/>
          </w:tcPr>
          <w:p w14:paraId="500CC250"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lastRenderedPageBreak/>
              <w:t xml:space="preserve">Časová řada: </w:t>
            </w:r>
          </w:p>
        </w:tc>
        <w:tc>
          <w:tcPr>
            <w:tcW w:w="6486" w:type="dxa"/>
          </w:tcPr>
          <w:p w14:paraId="14875601" w14:textId="77777777" w:rsidR="00EA2748" w:rsidRPr="00375C6C" w:rsidRDefault="008A57D7" w:rsidP="00C516EA">
            <w:pPr>
              <w:spacing w:line="276" w:lineRule="auto"/>
              <w:jc w:val="both"/>
              <w:rPr>
                <w:rFonts w:ascii="Arial" w:hAnsi="Arial" w:cs="Arial"/>
                <w:sz w:val="22"/>
                <w:szCs w:val="22"/>
              </w:rPr>
            </w:pPr>
            <w:r>
              <w:rPr>
                <w:rFonts w:ascii="Arial" w:hAnsi="Arial" w:cs="Arial"/>
                <w:sz w:val="22"/>
                <w:szCs w:val="22"/>
              </w:rPr>
              <w:t>Od roku</w:t>
            </w:r>
            <w:r w:rsidR="00EA2748" w:rsidRPr="00375C6C">
              <w:rPr>
                <w:rFonts w:ascii="Arial" w:hAnsi="Arial" w:cs="Arial"/>
                <w:sz w:val="22"/>
                <w:szCs w:val="22"/>
              </w:rPr>
              <w:t xml:space="preserve"> 2000</w:t>
            </w:r>
          </w:p>
        </w:tc>
      </w:tr>
      <w:tr w:rsidR="00EA2748" w:rsidRPr="0007074B" w14:paraId="43F7AFA1" w14:textId="77777777" w:rsidTr="00B460D5">
        <w:tc>
          <w:tcPr>
            <w:tcW w:w="2802" w:type="dxa"/>
          </w:tcPr>
          <w:p w14:paraId="084D361C"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Frekvence výstupu: </w:t>
            </w:r>
          </w:p>
        </w:tc>
        <w:tc>
          <w:tcPr>
            <w:tcW w:w="6486" w:type="dxa"/>
          </w:tcPr>
          <w:p w14:paraId="15219256" w14:textId="77777777" w:rsidR="00EA2748" w:rsidRPr="00375C6C" w:rsidRDefault="00EA2748" w:rsidP="00C516EA">
            <w:pPr>
              <w:spacing w:line="276" w:lineRule="auto"/>
              <w:jc w:val="both"/>
              <w:rPr>
                <w:rFonts w:ascii="Arial" w:hAnsi="Arial" w:cs="Arial"/>
                <w:sz w:val="22"/>
                <w:szCs w:val="22"/>
              </w:rPr>
            </w:pPr>
            <w:r w:rsidRPr="00375C6C">
              <w:rPr>
                <w:rFonts w:ascii="Arial" w:hAnsi="Arial" w:cs="Arial"/>
                <w:sz w:val="22"/>
                <w:szCs w:val="22"/>
              </w:rPr>
              <w:t>Ročně</w:t>
            </w:r>
          </w:p>
        </w:tc>
      </w:tr>
      <w:tr w:rsidR="00EA2748" w:rsidRPr="0007074B" w14:paraId="478D778B" w14:textId="77777777" w:rsidTr="00B460D5">
        <w:trPr>
          <w:trHeight w:val="70"/>
        </w:trPr>
        <w:tc>
          <w:tcPr>
            <w:tcW w:w="2802" w:type="dxa"/>
          </w:tcPr>
          <w:p w14:paraId="10198AC8"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Členění indikátoru: </w:t>
            </w:r>
          </w:p>
        </w:tc>
        <w:tc>
          <w:tcPr>
            <w:tcW w:w="6486" w:type="dxa"/>
          </w:tcPr>
          <w:p w14:paraId="3EEDE596" w14:textId="77777777" w:rsidR="00EA2748" w:rsidRPr="00375C6C" w:rsidRDefault="008A57D7" w:rsidP="00C516EA">
            <w:pPr>
              <w:spacing w:line="276" w:lineRule="auto"/>
              <w:jc w:val="both"/>
              <w:rPr>
                <w:rFonts w:ascii="Arial" w:hAnsi="Arial" w:cs="Arial"/>
                <w:sz w:val="22"/>
                <w:szCs w:val="22"/>
              </w:rPr>
            </w:pPr>
            <w:r>
              <w:rPr>
                <w:rFonts w:ascii="Arial" w:hAnsi="Arial" w:cs="Arial"/>
                <w:sz w:val="22"/>
                <w:szCs w:val="22"/>
              </w:rPr>
              <w:t>D</w:t>
            </w:r>
            <w:r w:rsidR="00EA2748" w:rsidRPr="00375C6C">
              <w:rPr>
                <w:rFonts w:ascii="Arial" w:hAnsi="Arial" w:cs="Arial"/>
                <w:sz w:val="22"/>
                <w:szCs w:val="22"/>
              </w:rPr>
              <w:t>le kategorií ZPF</w:t>
            </w:r>
          </w:p>
        </w:tc>
      </w:tr>
      <w:tr w:rsidR="00EA2748" w:rsidRPr="0007074B" w14:paraId="4E5098F3" w14:textId="77777777" w:rsidTr="00B460D5">
        <w:trPr>
          <w:trHeight w:val="70"/>
        </w:trPr>
        <w:tc>
          <w:tcPr>
            <w:tcW w:w="2802" w:type="dxa"/>
          </w:tcPr>
          <w:p w14:paraId="192FF759"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Mezinárodní srovnání:</w:t>
            </w:r>
          </w:p>
        </w:tc>
        <w:tc>
          <w:tcPr>
            <w:tcW w:w="6486" w:type="dxa"/>
          </w:tcPr>
          <w:p w14:paraId="6030E1BA" w14:textId="77777777" w:rsidR="00EA2748" w:rsidRPr="00375C6C" w:rsidRDefault="008A57D7" w:rsidP="00C516EA">
            <w:pPr>
              <w:spacing w:line="276" w:lineRule="auto"/>
              <w:jc w:val="both"/>
              <w:rPr>
                <w:rFonts w:ascii="Arial" w:hAnsi="Arial" w:cs="Arial"/>
                <w:sz w:val="22"/>
                <w:szCs w:val="22"/>
              </w:rPr>
            </w:pPr>
            <w:proofErr w:type="spellStart"/>
            <w:r>
              <w:rPr>
                <w:rFonts w:ascii="Arial" w:hAnsi="Arial" w:cs="Arial"/>
                <w:sz w:val="22"/>
                <w:szCs w:val="22"/>
              </w:rPr>
              <w:t>Eurostat</w:t>
            </w:r>
            <w:proofErr w:type="spellEnd"/>
          </w:p>
        </w:tc>
      </w:tr>
    </w:tbl>
    <w:p w14:paraId="05089033" w14:textId="77777777" w:rsidR="00EA2748" w:rsidRPr="0007074B" w:rsidRDefault="00EA2748" w:rsidP="00C51B65">
      <w:pPr>
        <w:tabs>
          <w:tab w:val="left" w:pos="0"/>
        </w:tabs>
        <w:spacing w:line="276" w:lineRule="auto"/>
        <w:ind w:left="708" w:hanging="6"/>
        <w:jc w:val="both"/>
        <w:rPr>
          <w:rFonts w:ascii="Arial" w:eastAsia="Calibri" w:hAnsi="Arial" w:cs="Arial"/>
          <w:i/>
          <w:sz w:val="22"/>
          <w:szCs w:val="22"/>
        </w:rPr>
      </w:pPr>
    </w:p>
    <w:tbl>
      <w:tblPr>
        <w:tblStyle w:val="Mkatabulky"/>
        <w:tblW w:w="0" w:type="auto"/>
        <w:tblLook w:val="04A0" w:firstRow="1" w:lastRow="0" w:firstColumn="1" w:lastColumn="0" w:noHBand="0" w:noVBand="1"/>
      </w:tblPr>
      <w:tblGrid>
        <w:gridCol w:w="2802"/>
        <w:gridCol w:w="6486"/>
      </w:tblGrid>
      <w:tr w:rsidR="00EA2748" w:rsidRPr="0007074B" w14:paraId="38ED0E87" w14:textId="77777777" w:rsidTr="00B460D5">
        <w:tc>
          <w:tcPr>
            <w:tcW w:w="2802" w:type="dxa"/>
          </w:tcPr>
          <w:p w14:paraId="3490B9E9"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Název a označení indikátoru: </w:t>
            </w:r>
          </w:p>
        </w:tc>
        <w:tc>
          <w:tcPr>
            <w:tcW w:w="6486" w:type="dxa"/>
          </w:tcPr>
          <w:p w14:paraId="2F390121" w14:textId="27A125A4" w:rsidR="00EA2748" w:rsidRPr="002F643E" w:rsidRDefault="008A57D7" w:rsidP="00C51B65">
            <w:pPr>
              <w:spacing w:line="276" w:lineRule="auto"/>
              <w:rPr>
                <w:rFonts w:ascii="Arial" w:eastAsia="Arial" w:hAnsi="Arial" w:cs="Arial"/>
                <w:b/>
                <w:color w:val="000000"/>
                <w:sz w:val="22"/>
                <w:szCs w:val="22"/>
              </w:rPr>
            </w:pPr>
            <w:r>
              <w:rPr>
                <w:rFonts w:ascii="Arial" w:eastAsia="Calibri" w:hAnsi="Arial" w:cs="Arial"/>
                <w:b/>
                <w:sz w:val="22"/>
                <w:szCs w:val="22"/>
              </w:rPr>
              <w:t>18</w:t>
            </w:r>
            <w:r w:rsidR="00EA2748" w:rsidRPr="002F643E">
              <w:rPr>
                <w:rFonts w:ascii="Arial" w:eastAsia="Calibri" w:hAnsi="Arial" w:cs="Arial"/>
                <w:b/>
                <w:sz w:val="22"/>
                <w:szCs w:val="22"/>
              </w:rPr>
              <w:t>.1.2. Podíl počtu obyvatel ORP vůči výměře zastavěného území v</w:t>
            </w:r>
            <w:r w:rsidR="00CF524E">
              <w:rPr>
                <w:rFonts w:ascii="Arial" w:eastAsia="Calibri" w:hAnsi="Arial" w:cs="Arial"/>
                <w:b/>
                <w:sz w:val="22"/>
                <w:szCs w:val="22"/>
              </w:rPr>
              <w:t> </w:t>
            </w:r>
            <w:r w:rsidR="00EA2748" w:rsidRPr="002F643E">
              <w:rPr>
                <w:rFonts w:ascii="Arial" w:eastAsia="Calibri" w:hAnsi="Arial" w:cs="Arial"/>
                <w:b/>
                <w:sz w:val="22"/>
                <w:szCs w:val="22"/>
              </w:rPr>
              <w:t>ORP</w:t>
            </w:r>
          </w:p>
        </w:tc>
      </w:tr>
      <w:tr w:rsidR="00EA2748" w:rsidRPr="0007074B" w14:paraId="4BCEB0B8" w14:textId="77777777" w:rsidTr="00B460D5">
        <w:tc>
          <w:tcPr>
            <w:tcW w:w="2802" w:type="dxa"/>
          </w:tcPr>
          <w:p w14:paraId="79532C14"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Stručná definice: </w:t>
            </w:r>
          </w:p>
        </w:tc>
        <w:tc>
          <w:tcPr>
            <w:tcW w:w="6486" w:type="dxa"/>
          </w:tcPr>
          <w:p w14:paraId="06CEEFB5" w14:textId="77777777" w:rsidR="00EA2748" w:rsidRPr="0007074B" w:rsidRDefault="00EA2748" w:rsidP="00C516EA">
            <w:pPr>
              <w:spacing w:line="276" w:lineRule="auto"/>
              <w:jc w:val="both"/>
              <w:rPr>
                <w:rFonts w:ascii="Arial" w:hAnsi="Arial" w:cs="Arial"/>
                <w:sz w:val="22"/>
                <w:szCs w:val="22"/>
              </w:rPr>
            </w:pPr>
            <w:r w:rsidRPr="0007074B">
              <w:rPr>
                <w:rFonts w:ascii="Arial" w:hAnsi="Arial" w:cs="Arial"/>
                <w:sz w:val="22"/>
                <w:szCs w:val="22"/>
              </w:rPr>
              <w:t>Sleduje se hustota osídlení v sídlech a změny této hustoty v čase.</w:t>
            </w:r>
          </w:p>
        </w:tc>
      </w:tr>
      <w:tr w:rsidR="00EA2748" w:rsidRPr="0007074B" w14:paraId="57716F24" w14:textId="77777777" w:rsidTr="00B460D5">
        <w:tc>
          <w:tcPr>
            <w:tcW w:w="2802" w:type="dxa"/>
          </w:tcPr>
          <w:p w14:paraId="535E6500"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Jednotka:</w:t>
            </w:r>
          </w:p>
        </w:tc>
        <w:tc>
          <w:tcPr>
            <w:tcW w:w="6486" w:type="dxa"/>
          </w:tcPr>
          <w:p w14:paraId="675588E4" w14:textId="455CAA73" w:rsidR="00EA2748" w:rsidRPr="0007074B" w:rsidRDefault="00EA2748" w:rsidP="00C516EA">
            <w:pPr>
              <w:spacing w:line="276" w:lineRule="auto"/>
              <w:jc w:val="both"/>
              <w:rPr>
                <w:rFonts w:ascii="Arial" w:hAnsi="Arial" w:cs="Arial"/>
                <w:sz w:val="22"/>
                <w:szCs w:val="22"/>
              </w:rPr>
            </w:pPr>
            <w:r w:rsidRPr="0007074B">
              <w:rPr>
                <w:rFonts w:ascii="Arial" w:hAnsi="Arial" w:cs="Arial"/>
                <w:sz w:val="22"/>
                <w:szCs w:val="22"/>
              </w:rPr>
              <w:t>Obyv./</w:t>
            </w:r>
            <w:r w:rsidR="003D41F0">
              <w:rPr>
                <w:rFonts w:ascii="Arial" w:hAnsi="Arial" w:cs="Arial"/>
                <w:sz w:val="22"/>
                <w:szCs w:val="22"/>
              </w:rPr>
              <w:t>plochu</w:t>
            </w:r>
            <w:r w:rsidR="003D41F0" w:rsidRPr="00375C6C">
              <w:rPr>
                <w:rFonts w:ascii="Arial" w:hAnsi="Arial" w:cs="Arial"/>
                <w:sz w:val="22"/>
                <w:szCs w:val="22"/>
              </w:rPr>
              <w:t xml:space="preserve"> [ha]</w:t>
            </w:r>
            <w:r w:rsidRPr="0007074B">
              <w:rPr>
                <w:rFonts w:ascii="Arial" w:hAnsi="Arial" w:cs="Arial"/>
                <w:sz w:val="22"/>
                <w:szCs w:val="22"/>
              </w:rPr>
              <w:t xml:space="preserve"> zastavěného území</w:t>
            </w:r>
          </w:p>
        </w:tc>
      </w:tr>
      <w:tr w:rsidR="00EA2748" w:rsidRPr="0007074B" w14:paraId="2A1149A2" w14:textId="77777777" w:rsidTr="00B460D5">
        <w:tc>
          <w:tcPr>
            <w:tcW w:w="2802" w:type="dxa"/>
          </w:tcPr>
          <w:p w14:paraId="35C18987"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Gestor: </w:t>
            </w:r>
          </w:p>
        </w:tc>
        <w:tc>
          <w:tcPr>
            <w:tcW w:w="6486" w:type="dxa"/>
          </w:tcPr>
          <w:p w14:paraId="5CC5C487" w14:textId="77777777" w:rsidR="00EA2748" w:rsidRPr="0007074B" w:rsidRDefault="00D22265" w:rsidP="00C516EA">
            <w:pPr>
              <w:spacing w:line="276" w:lineRule="auto"/>
              <w:jc w:val="both"/>
              <w:rPr>
                <w:rFonts w:ascii="Arial" w:hAnsi="Arial" w:cs="Arial"/>
                <w:sz w:val="22"/>
                <w:szCs w:val="22"/>
              </w:rPr>
            </w:pPr>
            <w:r>
              <w:rPr>
                <w:rFonts w:ascii="Arial" w:hAnsi="Arial" w:cs="Arial"/>
                <w:sz w:val="22"/>
                <w:szCs w:val="22"/>
              </w:rPr>
              <w:t xml:space="preserve">Kraje, </w:t>
            </w:r>
            <w:r w:rsidRPr="00D22265">
              <w:rPr>
                <w:rFonts w:ascii="Arial" w:hAnsi="Arial" w:cs="Arial"/>
                <w:sz w:val="22"/>
                <w:szCs w:val="22"/>
              </w:rPr>
              <w:t>Magistrát hlavního města Prahy</w:t>
            </w:r>
            <w:r>
              <w:rPr>
                <w:rFonts w:ascii="Arial" w:hAnsi="Arial" w:cs="Arial"/>
                <w:sz w:val="22"/>
                <w:szCs w:val="22"/>
              </w:rPr>
              <w:t>, Český statistický úřad</w:t>
            </w:r>
          </w:p>
        </w:tc>
      </w:tr>
      <w:tr w:rsidR="00EA2748" w:rsidRPr="0007074B" w14:paraId="74B55A1D" w14:textId="77777777" w:rsidTr="00B460D5">
        <w:tc>
          <w:tcPr>
            <w:tcW w:w="2802" w:type="dxa"/>
          </w:tcPr>
          <w:p w14:paraId="7442967A"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Význam indikátoru: </w:t>
            </w:r>
          </w:p>
        </w:tc>
        <w:tc>
          <w:tcPr>
            <w:tcW w:w="6486" w:type="dxa"/>
          </w:tcPr>
          <w:p w14:paraId="3993C33A" w14:textId="77777777" w:rsidR="00EA2748" w:rsidRPr="0007074B" w:rsidRDefault="00EA2748" w:rsidP="00C516EA">
            <w:pPr>
              <w:spacing w:line="276" w:lineRule="auto"/>
              <w:jc w:val="both"/>
              <w:rPr>
                <w:rFonts w:ascii="Arial" w:hAnsi="Arial" w:cs="Arial"/>
                <w:sz w:val="22"/>
                <w:szCs w:val="22"/>
              </w:rPr>
            </w:pPr>
            <w:r w:rsidRPr="0007074B">
              <w:rPr>
                <w:rFonts w:ascii="Arial" w:hAnsi="Arial" w:cs="Arial"/>
                <w:sz w:val="22"/>
                <w:szCs w:val="22"/>
              </w:rPr>
              <w:t>Indikátor umožňuje srovnávat koncentraci obyvatel v rámci sídel</w:t>
            </w:r>
          </w:p>
        </w:tc>
      </w:tr>
      <w:tr w:rsidR="00EA2748" w:rsidRPr="0007074B" w14:paraId="1A4657E2" w14:textId="77777777" w:rsidTr="00B460D5">
        <w:tc>
          <w:tcPr>
            <w:tcW w:w="2802" w:type="dxa"/>
          </w:tcPr>
          <w:p w14:paraId="6C4F06C4"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Časová řada: </w:t>
            </w:r>
          </w:p>
        </w:tc>
        <w:tc>
          <w:tcPr>
            <w:tcW w:w="6486" w:type="dxa"/>
          </w:tcPr>
          <w:p w14:paraId="2EC36D56" w14:textId="77777777" w:rsidR="00EA2748" w:rsidRPr="0007074B" w:rsidRDefault="00D22265" w:rsidP="00C516EA">
            <w:pPr>
              <w:spacing w:line="276" w:lineRule="auto"/>
              <w:jc w:val="both"/>
              <w:rPr>
                <w:rFonts w:ascii="Arial" w:hAnsi="Arial" w:cs="Arial"/>
                <w:sz w:val="22"/>
                <w:szCs w:val="22"/>
              </w:rPr>
            </w:pPr>
            <w:r>
              <w:rPr>
                <w:rFonts w:ascii="Arial" w:hAnsi="Arial" w:cs="Arial"/>
                <w:sz w:val="22"/>
                <w:szCs w:val="22"/>
              </w:rPr>
              <w:t>-</w:t>
            </w:r>
          </w:p>
        </w:tc>
      </w:tr>
      <w:tr w:rsidR="00EA2748" w:rsidRPr="0007074B" w14:paraId="0B43D6E1" w14:textId="77777777" w:rsidTr="00B460D5">
        <w:tc>
          <w:tcPr>
            <w:tcW w:w="2802" w:type="dxa"/>
          </w:tcPr>
          <w:p w14:paraId="17A63233"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Frekvence výstupu: </w:t>
            </w:r>
          </w:p>
        </w:tc>
        <w:tc>
          <w:tcPr>
            <w:tcW w:w="6486" w:type="dxa"/>
          </w:tcPr>
          <w:p w14:paraId="5DE091BD" w14:textId="28A7C7AE" w:rsidR="00EA2748" w:rsidRPr="0007074B" w:rsidRDefault="00267BA8" w:rsidP="00C516EA">
            <w:pPr>
              <w:spacing w:line="276" w:lineRule="auto"/>
              <w:jc w:val="both"/>
              <w:rPr>
                <w:rFonts w:ascii="Arial" w:hAnsi="Arial" w:cs="Arial"/>
                <w:sz w:val="22"/>
                <w:szCs w:val="22"/>
              </w:rPr>
            </w:pPr>
            <w:r>
              <w:rPr>
                <w:rFonts w:ascii="Arial" w:hAnsi="Arial" w:cs="Arial"/>
                <w:sz w:val="22"/>
                <w:szCs w:val="22"/>
              </w:rPr>
              <w:t>Jednou</w:t>
            </w:r>
            <w:r w:rsidR="00EA2748" w:rsidRPr="0007074B">
              <w:rPr>
                <w:rFonts w:ascii="Arial" w:hAnsi="Arial" w:cs="Arial"/>
                <w:sz w:val="22"/>
                <w:szCs w:val="22"/>
              </w:rPr>
              <w:t xml:space="preserve"> za 4 roky</w:t>
            </w:r>
          </w:p>
        </w:tc>
      </w:tr>
      <w:tr w:rsidR="00EA2748" w:rsidRPr="0007074B" w14:paraId="617D8400" w14:textId="77777777" w:rsidTr="00B460D5">
        <w:trPr>
          <w:trHeight w:val="70"/>
        </w:trPr>
        <w:tc>
          <w:tcPr>
            <w:tcW w:w="2802" w:type="dxa"/>
          </w:tcPr>
          <w:p w14:paraId="449739B3"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Členění indikátoru: </w:t>
            </w:r>
          </w:p>
        </w:tc>
        <w:tc>
          <w:tcPr>
            <w:tcW w:w="6486" w:type="dxa"/>
          </w:tcPr>
          <w:p w14:paraId="788D5833" w14:textId="3177AA52" w:rsidR="00EA2748" w:rsidRPr="0007074B" w:rsidRDefault="00267BA8" w:rsidP="00C516EA">
            <w:pPr>
              <w:spacing w:line="276" w:lineRule="auto"/>
              <w:jc w:val="both"/>
              <w:rPr>
                <w:rFonts w:ascii="Arial" w:hAnsi="Arial" w:cs="Arial"/>
                <w:sz w:val="22"/>
                <w:szCs w:val="22"/>
              </w:rPr>
            </w:pPr>
            <w:r>
              <w:rPr>
                <w:rFonts w:ascii="Arial" w:hAnsi="Arial" w:cs="Arial"/>
                <w:sz w:val="22"/>
                <w:szCs w:val="22"/>
              </w:rPr>
              <w:t>Dle ORP</w:t>
            </w:r>
          </w:p>
        </w:tc>
      </w:tr>
      <w:tr w:rsidR="00EA2748" w:rsidRPr="0007074B" w14:paraId="001B6A3C" w14:textId="77777777" w:rsidTr="00B460D5">
        <w:trPr>
          <w:trHeight w:val="70"/>
        </w:trPr>
        <w:tc>
          <w:tcPr>
            <w:tcW w:w="2802" w:type="dxa"/>
          </w:tcPr>
          <w:p w14:paraId="273DEE5C"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Mezinárodní srovnání:</w:t>
            </w:r>
          </w:p>
        </w:tc>
        <w:tc>
          <w:tcPr>
            <w:tcW w:w="6486" w:type="dxa"/>
          </w:tcPr>
          <w:p w14:paraId="0DEE0AA7" w14:textId="77777777" w:rsidR="00EA2748" w:rsidRPr="0007074B" w:rsidRDefault="00EA2748" w:rsidP="00C516EA">
            <w:pPr>
              <w:spacing w:line="276" w:lineRule="auto"/>
              <w:jc w:val="both"/>
              <w:rPr>
                <w:rFonts w:ascii="Arial" w:hAnsi="Arial" w:cs="Arial"/>
                <w:sz w:val="22"/>
                <w:szCs w:val="22"/>
              </w:rPr>
            </w:pPr>
            <w:r w:rsidRPr="0007074B">
              <w:rPr>
                <w:rFonts w:ascii="Arial" w:hAnsi="Arial" w:cs="Arial"/>
                <w:sz w:val="22"/>
                <w:szCs w:val="22"/>
              </w:rPr>
              <w:t xml:space="preserve">Ano, ale je nutné důsledně porovnat definici indikátoru s cílem srovnatelného vymezení zastavěného území. </w:t>
            </w:r>
          </w:p>
        </w:tc>
      </w:tr>
    </w:tbl>
    <w:p w14:paraId="36C730CD" w14:textId="77777777" w:rsidR="00EA2748" w:rsidRPr="0007074B" w:rsidRDefault="00EA2748" w:rsidP="00C51B65">
      <w:pPr>
        <w:tabs>
          <w:tab w:val="left" w:pos="0"/>
        </w:tabs>
        <w:spacing w:line="276" w:lineRule="auto"/>
        <w:ind w:hanging="6"/>
        <w:jc w:val="both"/>
        <w:rPr>
          <w:rFonts w:ascii="Arial" w:eastAsia="Calibri" w:hAnsi="Arial" w:cs="Arial"/>
          <w:i/>
          <w:sz w:val="22"/>
          <w:szCs w:val="22"/>
        </w:rPr>
      </w:pPr>
      <w:r w:rsidRPr="0007074B">
        <w:rPr>
          <w:rFonts w:ascii="Arial" w:eastAsia="Calibri" w:hAnsi="Arial" w:cs="Arial"/>
          <w:sz w:val="22"/>
          <w:szCs w:val="22"/>
        </w:rPr>
        <w:tab/>
      </w:r>
      <w:r w:rsidRPr="0007074B">
        <w:rPr>
          <w:rFonts w:ascii="Arial" w:eastAsia="Calibri" w:hAnsi="Arial" w:cs="Arial"/>
          <w:sz w:val="22"/>
          <w:szCs w:val="22"/>
        </w:rPr>
        <w:tab/>
      </w:r>
    </w:p>
    <w:tbl>
      <w:tblPr>
        <w:tblStyle w:val="Mkatabulky"/>
        <w:tblW w:w="0" w:type="auto"/>
        <w:tblLook w:val="04A0" w:firstRow="1" w:lastRow="0" w:firstColumn="1" w:lastColumn="0" w:noHBand="0" w:noVBand="1"/>
      </w:tblPr>
      <w:tblGrid>
        <w:gridCol w:w="2802"/>
        <w:gridCol w:w="6486"/>
      </w:tblGrid>
      <w:tr w:rsidR="00EA2748" w:rsidRPr="0007074B" w14:paraId="7469FCAD" w14:textId="77777777" w:rsidTr="00B460D5">
        <w:tc>
          <w:tcPr>
            <w:tcW w:w="2802" w:type="dxa"/>
          </w:tcPr>
          <w:p w14:paraId="12A7FA60"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Název a označení indikátoru: </w:t>
            </w:r>
          </w:p>
        </w:tc>
        <w:tc>
          <w:tcPr>
            <w:tcW w:w="6486" w:type="dxa"/>
          </w:tcPr>
          <w:p w14:paraId="513CE4D4" w14:textId="6F4F1799" w:rsidR="00EA2748" w:rsidRPr="002F643E" w:rsidRDefault="00D22265" w:rsidP="00C51B65">
            <w:pPr>
              <w:spacing w:line="276" w:lineRule="auto"/>
              <w:rPr>
                <w:rFonts w:ascii="Arial" w:eastAsia="Arial" w:hAnsi="Arial" w:cs="Arial"/>
                <w:b/>
                <w:color w:val="000000"/>
                <w:sz w:val="22"/>
                <w:szCs w:val="22"/>
              </w:rPr>
            </w:pPr>
            <w:r>
              <w:rPr>
                <w:rFonts w:ascii="Arial" w:eastAsia="Arial" w:hAnsi="Arial" w:cs="Arial"/>
                <w:b/>
                <w:color w:val="000000"/>
                <w:sz w:val="22"/>
                <w:szCs w:val="22"/>
              </w:rPr>
              <w:t>18</w:t>
            </w:r>
            <w:r w:rsidR="00EA2748" w:rsidRPr="002F643E">
              <w:rPr>
                <w:rFonts w:ascii="Arial" w:eastAsia="Arial" w:hAnsi="Arial" w:cs="Arial"/>
                <w:b/>
                <w:color w:val="000000"/>
                <w:sz w:val="22"/>
                <w:szCs w:val="22"/>
              </w:rPr>
              <w:t>.1.3 Počet a plocha</w:t>
            </w:r>
            <w:r w:rsidR="00EA20E0">
              <w:rPr>
                <w:rFonts w:ascii="Arial" w:eastAsia="Arial" w:hAnsi="Arial" w:cs="Arial"/>
                <w:b/>
                <w:color w:val="000000"/>
                <w:sz w:val="22"/>
                <w:szCs w:val="22"/>
              </w:rPr>
              <w:t xml:space="preserve"> </w:t>
            </w:r>
            <w:r w:rsidR="00EA2748" w:rsidRPr="002F643E">
              <w:rPr>
                <w:rFonts w:ascii="Arial" w:eastAsia="Arial" w:hAnsi="Arial" w:cs="Arial"/>
                <w:b/>
                <w:color w:val="000000"/>
                <w:sz w:val="22"/>
                <w:szCs w:val="22"/>
              </w:rPr>
              <w:t>výměr</w:t>
            </w:r>
            <w:r w:rsidR="00EA20E0">
              <w:rPr>
                <w:rFonts w:ascii="Arial" w:eastAsia="Arial" w:hAnsi="Arial" w:cs="Arial"/>
                <w:b/>
                <w:color w:val="000000"/>
                <w:sz w:val="22"/>
                <w:szCs w:val="22"/>
              </w:rPr>
              <w:t>y</w:t>
            </w:r>
            <w:r w:rsidR="00EA2748" w:rsidRPr="002F643E">
              <w:rPr>
                <w:rFonts w:ascii="Arial" w:eastAsia="Arial" w:hAnsi="Arial" w:cs="Arial"/>
                <w:b/>
                <w:color w:val="000000"/>
                <w:sz w:val="22"/>
                <w:szCs w:val="22"/>
              </w:rPr>
              <w:t xml:space="preserve"> </w:t>
            </w:r>
            <w:proofErr w:type="spellStart"/>
            <w:r w:rsidR="00AD6658">
              <w:rPr>
                <w:rFonts w:ascii="Arial" w:eastAsia="Arial" w:hAnsi="Arial" w:cs="Arial"/>
                <w:b/>
                <w:color w:val="000000"/>
                <w:sz w:val="22"/>
                <w:szCs w:val="22"/>
              </w:rPr>
              <w:t>brownfield</w:t>
            </w:r>
            <w:r w:rsidR="00EA20E0">
              <w:rPr>
                <w:rFonts w:ascii="Arial" w:eastAsia="Arial" w:hAnsi="Arial" w:cs="Arial"/>
                <w:b/>
                <w:color w:val="000000"/>
                <w:sz w:val="22"/>
                <w:szCs w:val="22"/>
              </w:rPr>
              <w:t>ů</w:t>
            </w:r>
            <w:proofErr w:type="spellEnd"/>
            <w:r w:rsidR="00EA2748" w:rsidRPr="002F643E">
              <w:rPr>
                <w:rFonts w:ascii="Arial" w:eastAsia="Arial" w:hAnsi="Arial" w:cs="Arial"/>
                <w:b/>
                <w:color w:val="000000"/>
                <w:sz w:val="22"/>
                <w:szCs w:val="22"/>
              </w:rPr>
              <w:t xml:space="preserve"> v kraji</w:t>
            </w:r>
          </w:p>
          <w:p w14:paraId="28237C72" w14:textId="77777777" w:rsidR="00EA2748" w:rsidRPr="0007074B" w:rsidRDefault="00EA2748" w:rsidP="00C51B65">
            <w:pPr>
              <w:spacing w:line="276" w:lineRule="auto"/>
              <w:rPr>
                <w:rFonts w:ascii="Arial" w:eastAsia="Arial" w:hAnsi="Arial" w:cs="Arial"/>
                <w:color w:val="000000"/>
                <w:sz w:val="22"/>
                <w:szCs w:val="22"/>
              </w:rPr>
            </w:pPr>
          </w:p>
        </w:tc>
      </w:tr>
      <w:tr w:rsidR="00EA2748" w:rsidRPr="0007074B" w14:paraId="49C9BF98" w14:textId="77777777" w:rsidTr="00B460D5">
        <w:tc>
          <w:tcPr>
            <w:tcW w:w="2802" w:type="dxa"/>
          </w:tcPr>
          <w:p w14:paraId="210F5BD5"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Stručná definice: </w:t>
            </w:r>
          </w:p>
        </w:tc>
        <w:tc>
          <w:tcPr>
            <w:tcW w:w="6486" w:type="dxa"/>
          </w:tcPr>
          <w:p w14:paraId="6542ABE8" w14:textId="67FEBCC6" w:rsidR="00EA2748" w:rsidRPr="00375C6C" w:rsidRDefault="00AD6658" w:rsidP="00C516EA">
            <w:pPr>
              <w:spacing w:line="276" w:lineRule="auto"/>
              <w:jc w:val="both"/>
              <w:rPr>
                <w:rFonts w:ascii="Arial" w:hAnsi="Arial" w:cs="Arial"/>
                <w:sz w:val="22"/>
                <w:szCs w:val="22"/>
              </w:rPr>
            </w:pPr>
            <w:r>
              <w:rPr>
                <w:rFonts w:ascii="Arial" w:hAnsi="Arial" w:cs="Arial"/>
                <w:sz w:val="22"/>
                <w:szCs w:val="22"/>
              </w:rPr>
              <w:t xml:space="preserve">Počet a rozloha </w:t>
            </w:r>
            <w:proofErr w:type="spellStart"/>
            <w:r>
              <w:rPr>
                <w:rFonts w:ascii="Arial" w:hAnsi="Arial" w:cs="Arial"/>
                <w:sz w:val="22"/>
                <w:szCs w:val="22"/>
              </w:rPr>
              <w:t>brownfield</w:t>
            </w:r>
            <w:r w:rsidR="00EA20E0">
              <w:rPr>
                <w:rFonts w:ascii="Arial" w:hAnsi="Arial" w:cs="Arial"/>
                <w:sz w:val="22"/>
                <w:szCs w:val="22"/>
              </w:rPr>
              <w:t>ů</w:t>
            </w:r>
            <w:proofErr w:type="spellEnd"/>
            <w:r w:rsidR="00EA2748" w:rsidRPr="00375C6C">
              <w:rPr>
                <w:rFonts w:ascii="Arial" w:hAnsi="Arial" w:cs="Arial"/>
                <w:sz w:val="22"/>
                <w:szCs w:val="22"/>
              </w:rPr>
              <w:t xml:space="preserve"> v regionálním členění v ČR</w:t>
            </w:r>
          </w:p>
        </w:tc>
      </w:tr>
      <w:tr w:rsidR="00EA2748" w:rsidRPr="0007074B" w14:paraId="24417BE6" w14:textId="77777777" w:rsidTr="00B460D5">
        <w:tc>
          <w:tcPr>
            <w:tcW w:w="2802" w:type="dxa"/>
          </w:tcPr>
          <w:p w14:paraId="5BC7FBAA"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Jednotka:</w:t>
            </w:r>
          </w:p>
        </w:tc>
        <w:tc>
          <w:tcPr>
            <w:tcW w:w="6486" w:type="dxa"/>
          </w:tcPr>
          <w:p w14:paraId="220E939C" w14:textId="77777777" w:rsidR="00EA2748" w:rsidRPr="00375C6C" w:rsidRDefault="00EA2748" w:rsidP="00C516EA">
            <w:pPr>
              <w:spacing w:line="276" w:lineRule="auto"/>
              <w:jc w:val="both"/>
              <w:rPr>
                <w:rFonts w:ascii="Arial" w:hAnsi="Arial" w:cs="Arial"/>
                <w:sz w:val="22"/>
                <w:szCs w:val="22"/>
              </w:rPr>
            </w:pPr>
            <w:r w:rsidRPr="00375C6C">
              <w:rPr>
                <w:rFonts w:ascii="Arial" w:hAnsi="Arial" w:cs="Arial"/>
                <w:sz w:val="22"/>
                <w:szCs w:val="22"/>
              </w:rPr>
              <w:t>Počet, plocha [ha]</w:t>
            </w:r>
          </w:p>
        </w:tc>
      </w:tr>
      <w:tr w:rsidR="00EA2748" w:rsidRPr="0007074B" w14:paraId="1CF77573" w14:textId="77777777" w:rsidTr="00B460D5">
        <w:tc>
          <w:tcPr>
            <w:tcW w:w="2802" w:type="dxa"/>
          </w:tcPr>
          <w:p w14:paraId="7F3AF12E"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Gestor: </w:t>
            </w:r>
          </w:p>
        </w:tc>
        <w:tc>
          <w:tcPr>
            <w:tcW w:w="6486" w:type="dxa"/>
          </w:tcPr>
          <w:p w14:paraId="13436E9F" w14:textId="3F7353F3" w:rsidR="00EA2748" w:rsidRPr="00375C6C" w:rsidRDefault="00D22265" w:rsidP="00C516EA">
            <w:pPr>
              <w:spacing w:line="276" w:lineRule="auto"/>
              <w:jc w:val="both"/>
              <w:rPr>
                <w:rFonts w:ascii="Arial" w:hAnsi="Arial" w:cs="Arial"/>
                <w:sz w:val="22"/>
                <w:szCs w:val="22"/>
              </w:rPr>
            </w:pPr>
            <w:r>
              <w:rPr>
                <w:rFonts w:ascii="Arial" w:hAnsi="Arial" w:cs="Arial"/>
                <w:sz w:val="22"/>
                <w:szCs w:val="22"/>
              </w:rPr>
              <w:t>Ministerstvo průmyslu a obchodu (</w:t>
            </w:r>
            <w:proofErr w:type="spellStart"/>
            <w:r>
              <w:rPr>
                <w:rFonts w:ascii="Arial" w:hAnsi="Arial" w:cs="Arial"/>
                <w:sz w:val="22"/>
                <w:szCs w:val="22"/>
              </w:rPr>
              <w:t>CzechInvest</w:t>
            </w:r>
            <w:proofErr w:type="spellEnd"/>
            <w:r>
              <w:rPr>
                <w:rFonts w:ascii="Arial" w:hAnsi="Arial" w:cs="Arial"/>
                <w:sz w:val="22"/>
                <w:szCs w:val="22"/>
              </w:rPr>
              <w:t>), Ministerstvo zemědělství</w:t>
            </w:r>
            <w:r w:rsidR="004533FB">
              <w:rPr>
                <w:rFonts w:ascii="Arial" w:hAnsi="Arial" w:cs="Arial"/>
                <w:sz w:val="22"/>
                <w:szCs w:val="22"/>
              </w:rPr>
              <w:t>, Ministerstvo pro místní rozvoj</w:t>
            </w:r>
          </w:p>
        </w:tc>
      </w:tr>
      <w:tr w:rsidR="00EA2748" w:rsidRPr="0007074B" w14:paraId="7F20C0B3" w14:textId="77777777" w:rsidTr="00B460D5">
        <w:tc>
          <w:tcPr>
            <w:tcW w:w="2802" w:type="dxa"/>
          </w:tcPr>
          <w:p w14:paraId="5C616C48"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Význam indikátoru: </w:t>
            </w:r>
          </w:p>
        </w:tc>
        <w:tc>
          <w:tcPr>
            <w:tcW w:w="6486" w:type="dxa"/>
          </w:tcPr>
          <w:p w14:paraId="2083E624" w14:textId="34907756" w:rsidR="00EA2748" w:rsidRPr="00375C6C" w:rsidRDefault="00EA2748" w:rsidP="00C516EA">
            <w:pPr>
              <w:spacing w:line="276" w:lineRule="auto"/>
              <w:jc w:val="both"/>
              <w:rPr>
                <w:rFonts w:ascii="Arial" w:hAnsi="Arial" w:cs="Arial"/>
                <w:sz w:val="22"/>
                <w:szCs w:val="22"/>
              </w:rPr>
            </w:pPr>
            <w:r w:rsidRPr="00375C6C">
              <w:rPr>
                <w:rFonts w:ascii="Arial" w:hAnsi="Arial" w:cs="Arial"/>
                <w:sz w:val="22"/>
                <w:szCs w:val="22"/>
              </w:rPr>
              <w:t xml:space="preserve">Identifikace a evidence </w:t>
            </w:r>
            <w:proofErr w:type="spellStart"/>
            <w:r w:rsidR="00AD6658">
              <w:rPr>
                <w:rFonts w:ascii="Arial" w:hAnsi="Arial" w:cs="Arial"/>
                <w:sz w:val="22"/>
                <w:szCs w:val="22"/>
              </w:rPr>
              <w:t>brownfiled</w:t>
            </w:r>
            <w:r w:rsidR="00EA20E0">
              <w:rPr>
                <w:rFonts w:ascii="Arial" w:hAnsi="Arial" w:cs="Arial"/>
                <w:sz w:val="22"/>
                <w:szCs w:val="22"/>
              </w:rPr>
              <w:t>ů</w:t>
            </w:r>
            <w:proofErr w:type="spellEnd"/>
            <w:r w:rsidR="00AD6658">
              <w:rPr>
                <w:rFonts w:ascii="Arial" w:hAnsi="Arial" w:cs="Arial"/>
                <w:sz w:val="22"/>
                <w:szCs w:val="22"/>
              </w:rPr>
              <w:t xml:space="preserve"> </w:t>
            </w:r>
            <w:r w:rsidRPr="00375C6C">
              <w:rPr>
                <w:rFonts w:ascii="Arial" w:hAnsi="Arial" w:cs="Arial"/>
                <w:sz w:val="22"/>
                <w:szCs w:val="22"/>
              </w:rPr>
              <w:t>je prvotním podkladem pro přípravu dalších projektů a dokumentů zabývajících se řešením a realizací jejich obnovy.</w:t>
            </w:r>
          </w:p>
        </w:tc>
      </w:tr>
      <w:tr w:rsidR="00EA2748" w:rsidRPr="0007074B" w14:paraId="4205A303" w14:textId="77777777" w:rsidTr="00B460D5">
        <w:tc>
          <w:tcPr>
            <w:tcW w:w="2802" w:type="dxa"/>
          </w:tcPr>
          <w:p w14:paraId="268D9A20"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Časová řada: </w:t>
            </w:r>
          </w:p>
        </w:tc>
        <w:tc>
          <w:tcPr>
            <w:tcW w:w="6486" w:type="dxa"/>
          </w:tcPr>
          <w:p w14:paraId="215E8449" w14:textId="77777777" w:rsidR="00EA2748" w:rsidRPr="00375C6C" w:rsidRDefault="00D22265" w:rsidP="00C516EA">
            <w:pPr>
              <w:spacing w:line="276" w:lineRule="auto"/>
              <w:jc w:val="both"/>
              <w:rPr>
                <w:rFonts w:ascii="Arial" w:hAnsi="Arial" w:cs="Arial"/>
                <w:sz w:val="22"/>
                <w:szCs w:val="22"/>
              </w:rPr>
            </w:pPr>
            <w:r>
              <w:rPr>
                <w:rFonts w:ascii="Arial" w:hAnsi="Arial" w:cs="Arial"/>
                <w:sz w:val="22"/>
                <w:szCs w:val="22"/>
              </w:rPr>
              <w:t>Od roku</w:t>
            </w:r>
            <w:r w:rsidR="00EA2748" w:rsidRPr="00375C6C">
              <w:rPr>
                <w:rFonts w:ascii="Arial" w:hAnsi="Arial" w:cs="Arial"/>
                <w:sz w:val="22"/>
                <w:szCs w:val="22"/>
              </w:rPr>
              <w:t xml:space="preserve"> 2014</w:t>
            </w:r>
          </w:p>
        </w:tc>
      </w:tr>
      <w:tr w:rsidR="00EA2748" w:rsidRPr="0007074B" w14:paraId="1F077964" w14:textId="77777777" w:rsidTr="00B460D5">
        <w:tc>
          <w:tcPr>
            <w:tcW w:w="2802" w:type="dxa"/>
          </w:tcPr>
          <w:p w14:paraId="6D4B704C"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Frekvence výstupu: </w:t>
            </w:r>
          </w:p>
        </w:tc>
        <w:tc>
          <w:tcPr>
            <w:tcW w:w="6486" w:type="dxa"/>
          </w:tcPr>
          <w:p w14:paraId="021FF505" w14:textId="77777777" w:rsidR="00EA2748" w:rsidRPr="00375C6C" w:rsidRDefault="00EA2748" w:rsidP="00C516EA">
            <w:pPr>
              <w:spacing w:line="276" w:lineRule="auto"/>
              <w:jc w:val="both"/>
              <w:rPr>
                <w:rFonts w:ascii="Arial" w:hAnsi="Arial" w:cs="Arial"/>
                <w:sz w:val="22"/>
                <w:szCs w:val="22"/>
              </w:rPr>
            </w:pPr>
            <w:r w:rsidRPr="00375C6C">
              <w:rPr>
                <w:rFonts w:ascii="Arial" w:hAnsi="Arial" w:cs="Arial"/>
                <w:sz w:val="22"/>
                <w:szCs w:val="22"/>
              </w:rPr>
              <w:t>Ročně</w:t>
            </w:r>
          </w:p>
        </w:tc>
      </w:tr>
      <w:tr w:rsidR="00EA2748" w:rsidRPr="0007074B" w14:paraId="05B5DF27" w14:textId="77777777" w:rsidTr="00B460D5">
        <w:trPr>
          <w:trHeight w:val="70"/>
        </w:trPr>
        <w:tc>
          <w:tcPr>
            <w:tcW w:w="2802" w:type="dxa"/>
          </w:tcPr>
          <w:p w14:paraId="7CC8AA1F"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Členění indikátoru: </w:t>
            </w:r>
          </w:p>
        </w:tc>
        <w:tc>
          <w:tcPr>
            <w:tcW w:w="6486" w:type="dxa"/>
          </w:tcPr>
          <w:p w14:paraId="39337254" w14:textId="77777777" w:rsidR="00EA2748" w:rsidRPr="00375C6C" w:rsidRDefault="00EA2748" w:rsidP="00C516EA">
            <w:pPr>
              <w:spacing w:line="276" w:lineRule="auto"/>
              <w:jc w:val="both"/>
              <w:rPr>
                <w:rFonts w:ascii="Arial" w:hAnsi="Arial" w:cs="Arial"/>
                <w:sz w:val="22"/>
                <w:szCs w:val="22"/>
              </w:rPr>
            </w:pPr>
            <w:r w:rsidRPr="00375C6C">
              <w:rPr>
                <w:rFonts w:ascii="Arial" w:hAnsi="Arial" w:cs="Arial"/>
                <w:sz w:val="22"/>
                <w:szCs w:val="22"/>
              </w:rPr>
              <w:t>Dle typů původního využití: průmyslové, zemědělské, občanská vybavenost, vojenské, těžba surovin, cestovní ruch, dopravní, školství, residenční, jiné; kraje ČR, ČR</w:t>
            </w:r>
          </w:p>
        </w:tc>
      </w:tr>
      <w:tr w:rsidR="00EA2748" w:rsidRPr="0007074B" w14:paraId="1566A45C" w14:textId="77777777" w:rsidTr="00B460D5">
        <w:trPr>
          <w:trHeight w:val="70"/>
        </w:trPr>
        <w:tc>
          <w:tcPr>
            <w:tcW w:w="2802" w:type="dxa"/>
          </w:tcPr>
          <w:p w14:paraId="2D3E9E74"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Mezinárodní srovnání:</w:t>
            </w:r>
          </w:p>
        </w:tc>
        <w:tc>
          <w:tcPr>
            <w:tcW w:w="6486" w:type="dxa"/>
          </w:tcPr>
          <w:p w14:paraId="5651A653" w14:textId="3F6ACE39" w:rsidR="00EA2748" w:rsidRPr="00375C6C" w:rsidRDefault="00AD6658" w:rsidP="00C516EA">
            <w:pPr>
              <w:spacing w:line="276" w:lineRule="auto"/>
              <w:jc w:val="both"/>
              <w:rPr>
                <w:rFonts w:ascii="Arial" w:hAnsi="Arial" w:cs="Arial"/>
                <w:sz w:val="22"/>
                <w:szCs w:val="22"/>
              </w:rPr>
            </w:pPr>
            <w:r>
              <w:rPr>
                <w:rFonts w:ascii="Arial" w:hAnsi="Arial" w:cs="Arial"/>
                <w:sz w:val="22"/>
                <w:szCs w:val="22"/>
              </w:rPr>
              <w:t xml:space="preserve">Počet a rozloha </w:t>
            </w:r>
            <w:proofErr w:type="spellStart"/>
            <w:r>
              <w:rPr>
                <w:rFonts w:ascii="Arial" w:hAnsi="Arial" w:cs="Arial"/>
                <w:sz w:val="22"/>
                <w:szCs w:val="22"/>
              </w:rPr>
              <w:t>brownfield</w:t>
            </w:r>
            <w:r w:rsidR="00EA20E0">
              <w:rPr>
                <w:rFonts w:ascii="Arial" w:hAnsi="Arial" w:cs="Arial"/>
                <w:sz w:val="22"/>
                <w:szCs w:val="22"/>
              </w:rPr>
              <w:t>ů</w:t>
            </w:r>
            <w:proofErr w:type="spellEnd"/>
            <w:r w:rsidR="00EA2748" w:rsidRPr="00375C6C">
              <w:rPr>
                <w:rFonts w:ascii="Arial" w:hAnsi="Arial" w:cs="Arial"/>
                <w:sz w:val="22"/>
                <w:szCs w:val="22"/>
              </w:rPr>
              <w:t xml:space="preserve"> v regionálním členění v ČR</w:t>
            </w:r>
          </w:p>
        </w:tc>
      </w:tr>
    </w:tbl>
    <w:p w14:paraId="1DBC079C" w14:textId="77777777" w:rsidR="00D22265" w:rsidRPr="00D22265" w:rsidRDefault="00D22265" w:rsidP="00C516EA">
      <w:pPr>
        <w:pStyle w:val="r2030podcle"/>
        <w:numPr>
          <w:ilvl w:val="1"/>
          <w:numId w:val="17"/>
        </w:numPr>
        <w:ind w:left="567" w:hanging="425"/>
      </w:pPr>
      <w:r w:rsidRPr="00D22265">
        <w:t>Města jsou přátelská ke všem věkovým a uživatelským skupinám.</w:t>
      </w:r>
    </w:p>
    <w:tbl>
      <w:tblPr>
        <w:tblStyle w:val="Mkatabulky"/>
        <w:tblW w:w="0" w:type="auto"/>
        <w:tblLook w:val="04A0" w:firstRow="1" w:lastRow="0" w:firstColumn="1" w:lastColumn="0" w:noHBand="0" w:noVBand="1"/>
      </w:tblPr>
      <w:tblGrid>
        <w:gridCol w:w="2802"/>
        <w:gridCol w:w="6486"/>
      </w:tblGrid>
      <w:tr w:rsidR="00EA2748" w:rsidRPr="0007074B" w14:paraId="74A866F2" w14:textId="77777777" w:rsidTr="00B460D5">
        <w:tc>
          <w:tcPr>
            <w:tcW w:w="2802" w:type="dxa"/>
          </w:tcPr>
          <w:p w14:paraId="517CA943"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Název a označení indikátoru: </w:t>
            </w:r>
          </w:p>
        </w:tc>
        <w:tc>
          <w:tcPr>
            <w:tcW w:w="6486" w:type="dxa"/>
          </w:tcPr>
          <w:p w14:paraId="36765505" w14:textId="77777777" w:rsidR="00EA2748" w:rsidRPr="00457014" w:rsidRDefault="00D22265" w:rsidP="00C51B65">
            <w:pPr>
              <w:spacing w:line="276" w:lineRule="auto"/>
              <w:rPr>
                <w:rFonts w:ascii="Arial" w:eastAsia="Arial" w:hAnsi="Arial" w:cs="Arial"/>
                <w:b/>
                <w:color w:val="000000"/>
                <w:sz w:val="22"/>
                <w:szCs w:val="22"/>
              </w:rPr>
            </w:pPr>
            <w:r>
              <w:rPr>
                <w:rFonts w:ascii="Arial" w:eastAsia="Calibri" w:hAnsi="Arial" w:cs="Arial"/>
                <w:b/>
                <w:sz w:val="22"/>
                <w:szCs w:val="22"/>
              </w:rPr>
              <w:t>18</w:t>
            </w:r>
            <w:r w:rsidR="00EA2748" w:rsidRPr="00457014">
              <w:rPr>
                <w:rFonts w:ascii="Arial" w:eastAsia="Calibri" w:hAnsi="Arial" w:cs="Arial"/>
                <w:b/>
                <w:sz w:val="22"/>
                <w:szCs w:val="22"/>
              </w:rPr>
              <w:t xml:space="preserve">.2.1 Počet </w:t>
            </w:r>
            <w:r w:rsidR="00EA2748">
              <w:rPr>
                <w:rFonts w:ascii="Arial" w:eastAsia="Calibri" w:hAnsi="Arial" w:cs="Arial"/>
                <w:b/>
                <w:sz w:val="22"/>
                <w:szCs w:val="22"/>
              </w:rPr>
              <w:t xml:space="preserve">municipalit naplňujících požadavky metodiky </w:t>
            </w:r>
            <w:r w:rsidR="00EA2748" w:rsidRPr="00061D6F">
              <w:rPr>
                <w:rFonts w:ascii="Arial" w:eastAsia="Calibri" w:hAnsi="Arial" w:cs="Arial"/>
                <w:b/>
                <w:sz w:val="22"/>
                <w:szCs w:val="22"/>
              </w:rPr>
              <w:t>"Standardy dostupnosti veřejné infrastruktury"</w:t>
            </w:r>
            <w:r w:rsidR="00EA2748" w:rsidRPr="00457014">
              <w:rPr>
                <w:rFonts w:ascii="Arial" w:eastAsia="Calibri" w:hAnsi="Arial" w:cs="Arial"/>
                <w:b/>
                <w:sz w:val="22"/>
                <w:szCs w:val="22"/>
              </w:rPr>
              <w:t xml:space="preserve"> </w:t>
            </w:r>
          </w:p>
        </w:tc>
      </w:tr>
      <w:tr w:rsidR="00EA2748" w:rsidRPr="0007074B" w14:paraId="525F5B80" w14:textId="77777777" w:rsidTr="00B460D5">
        <w:tc>
          <w:tcPr>
            <w:tcW w:w="2802" w:type="dxa"/>
          </w:tcPr>
          <w:p w14:paraId="7B8252B6"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lastRenderedPageBreak/>
              <w:t xml:space="preserve">Stručná definice: </w:t>
            </w:r>
          </w:p>
        </w:tc>
        <w:tc>
          <w:tcPr>
            <w:tcW w:w="6486" w:type="dxa"/>
          </w:tcPr>
          <w:p w14:paraId="51AC199C" w14:textId="77777777" w:rsidR="00EA2748" w:rsidRPr="00061D6F" w:rsidRDefault="00EA2748" w:rsidP="00C516EA">
            <w:pPr>
              <w:spacing w:line="276" w:lineRule="auto"/>
              <w:jc w:val="both"/>
              <w:rPr>
                <w:rFonts w:ascii="Arial" w:hAnsi="Arial" w:cs="Arial"/>
                <w:sz w:val="22"/>
                <w:szCs w:val="22"/>
              </w:rPr>
            </w:pPr>
            <w:r w:rsidRPr="00061D6F">
              <w:rPr>
                <w:rFonts w:ascii="Arial" w:eastAsia="Calibri" w:hAnsi="Arial" w:cs="Arial"/>
                <w:sz w:val="22"/>
                <w:szCs w:val="22"/>
              </w:rPr>
              <w:t xml:space="preserve">Počet </w:t>
            </w:r>
            <w:r>
              <w:rPr>
                <w:rFonts w:ascii="Arial" w:eastAsia="Calibri" w:hAnsi="Arial" w:cs="Arial"/>
                <w:sz w:val="22"/>
                <w:szCs w:val="22"/>
              </w:rPr>
              <w:t>ORP</w:t>
            </w:r>
            <w:r w:rsidRPr="00061D6F">
              <w:rPr>
                <w:rFonts w:ascii="Arial" w:eastAsia="Calibri" w:hAnsi="Arial" w:cs="Arial"/>
                <w:sz w:val="22"/>
                <w:szCs w:val="22"/>
              </w:rPr>
              <w:t xml:space="preserve"> naplňujících požadavky metodiky "Standardy dostupnosti veřejné infrastruktury"</w:t>
            </w:r>
            <w:r>
              <w:rPr>
                <w:rFonts w:ascii="Arial" w:eastAsia="Calibri" w:hAnsi="Arial" w:cs="Arial"/>
                <w:sz w:val="22"/>
                <w:szCs w:val="22"/>
              </w:rPr>
              <w:t xml:space="preserve"> </w:t>
            </w:r>
          </w:p>
        </w:tc>
      </w:tr>
      <w:tr w:rsidR="00EA2748" w:rsidRPr="0007074B" w14:paraId="24D3419A" w14:textId="77777777" w:rsidTr="00B460D5">
        <w:tc>
          <w:tcPr>
            <w:tcW w:w="2802" w:type="dxa"/>
          </w:tcPr>
          <w:p w14:paraId="2F461192"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Jednotka:</w:t>
            </w:r>
          </w:p>
        </w:tc>
        <w:tc>
          <w:tcPr>
            <w:tcW w:w="6486" w:type="dxa"/>
          </w:tcPr>
          <w:p w14:paraId="2E1CE03D" w14:textId="77777777" w:rsidR="00EA2748" w:rsidRPr="0007074B" w:rsidRDefault="00EA2748" w:rsidP="00C516EA">
            <w:pPr>
              <w:spacing w:line="276" w:lineRule="auto"/>
              <w:jc w:val="both"/>
              <w:rPr>
                <w:rFonts w:ascii="Arial" w:hAnsi="Arial" w:cs="Arial"/>
                <w:sz w:val="22"/>
                <w:szCs w:val="22"/>
              </w:rPr>
            </w:pPr>
            <w:r>
              <w:rPr>
                <w:rFonts w:ascii="Arial" w:hAnsi="Arial" w:cs="Arial"/>
                <w:sz w:val="22"/>
                <w:szCs w:val="22"/>
              </w:rPr>
              <w:t>Počet</w:t>
            </w:r>
          </w:p>
        </w:tc>
      </w:tr>
      <w:tr w:rsidR="00EA2748" w:rsidRPr="0007074B" w14:paraId="47C354C0" w14:textId="77777777" w:rsidTr="00B460D5">
        <w:tc>
          <w:tcPr>
            <w:tcW w:w="2802" w:type="dxa"/>
          </w:tcPr>
          <w:p w14:paraId="578888AF"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Gestor: </w:t>
            </w:r>
          </w:p>
        </w:tc>
        <w:tc>
          <w:tcPr>
            <w:tcW w:w="6486" w:type="dxa"/>
          </w:tcPr>
          <w:p w14:paraId="2BF09650" w14:textId="77777777" w:rsidR="00EA2748" w:rsidRPr="0007074B" w:rsidRDefault="00D22265" w:rsidP="00C516EA">
            <w:pPr>
              <w:spacing w:line="276" w:lineRule="auto"/>
              <w:jc w:val="both"/>
              <w:rPr>
                <w:rFonts w:ascii="Arial" w:hAnsi="Arial" w:cs="Arial"/>
                <w:sz w:val="22"/>
                <w:szCs w:val="22"/>
              </w:rPr>
            </w:pPr>
            <w:r>
              <w:rPr>
                <w:rFonts w:ascii="Arial" w:hAnsi="Arial" w:cs="Arial"/>
                <w:sz w:val="22"/>
                <w:szCs w:val="22"/>
              </w:rPr>
              <w:t>Ministerstvo pro místní rozvoj</w:t>
            </w:r>
          </w:p>
        </w:tc>
      </w:tr>
      <w:tr w:rsidR="00EA2748" w:rsidRPr="0007074B" w14:paraId="1F1EBBB5" w14:textId="77777777" w:rsidTr="00B460D5">
        <w:tc>
          <w:tcPr>
            <w:tcW w:w="2802" w:type="dxa"/>
          </w:tcPr>
          <w:p w14:paraId="2B9733DA"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Význam indikátoru: </w:t>
            </w:r>
          </w:p>
        </w:tc>
        <w:tc>
          <w:tcPr>
            <w:tcW w:w="6486" w:type="dxa"/>
          </w:tcPr>
          <w:p w14:paraId="62ACED76" w14:textId="488B7313" w:rsidR="00EA2748" w:rsidRPr="0007074B" w:rsidRDefault="00EA2748" w:rsidP="00C516EA">
            <w:pPr>
              <w:spacing w:line="276" w:lineRule="auto"/>
              <w:jc w:val="both"/>
              <w:rPr>
                <w:rFonts w:ascii="Arial" w:hAnsi="Arial" w:cs="Arial"/>
                <w:sz w:val="22"/>
                <w:szCs w:val="22"/>
              </w:rPr>
            </w:pPr>
            <w:r>
              <w:rPr>
                <w:rFonts w:ascii="Arial" w:hAnsi="Arial" w:cs="Arial"/>
                <w:sz w:val="22"/>
                <w:szCs w:val="22"/>
              </w:rPr>
              <w:t xml:space="preserve">Metodika </w:t>
            </w:r>
            <w:r w:rsidRPr="00061D6F">
              <w:rPr>
                <w:rFonts w:ascii="Arial" w:eastAsia="Calibri" w:hAnsi="Arial" w:cs="Arial"/>
                <w:sz w:val="22"/>
                <w:szCs w:val="22"/>
              </w:rPr>
              <w:t>"Standardy dostupnosti veřejné infrastruktury"</w:t>
            </w:r>
            <w:r>
              <w:rPr>
                <w:rFonts w:ascii="Arial" w:eastAsia="Calibri" w:hAnsi="Arial" w:cs="Arial"/>
                <w:sz w:val="22"/>
                <w:szCs w:val="22"/>
              </w:rPr>
              <w:t xml:space="preserve"> </w:t>
            </w:r>
            <w:r>
              <w:rPr>
                <w:rFonts w:ascii="Arial" w:hAnsi="Arial" w:cs="Arial"/>
                <w:sz w:val="22"/>
                <w:szCs w:val="22"/>
              </w:rPr>
              <w:t>stanovuje</w:t>
            </w:r>
            <w:r w:rsidRPr="00061D6F">
              <w:rPr>
                <w:rFonts w:ascii="Arial" w:hAnsi="Arial" w:cs="Arial"/>
                <w:sz w:val="22"/>
                <w:szCs w:val="22"/>
              </w:rPr>
              <w:t xml:space="preserve"> </w:t>
            </w:r>
            <w:r>
              <w:rPr>
                <w:rFonts w:ascii="Arial" w:hAnsi="Arial" w:cs="Arial"/>
                <w:sz w:val="22"/>
                <w:szCs w:val="22"/>
              </w:rPr>
              <w:t xml:space="preserve">pro různé typy municipalit </w:t>
            </w:r>
            <w:r w:rsidRPr="00061D6F">
              <w:rPr>
                <w:rFonts w:ascii="Arial" w:hAnsi="Arial" w:cs="Arial"/>
                <w:sz w:val="22"/>
                <w:szCs w:val="22"/>
              </w:rPr>
              <w:t>dostupnost zařízení pro vzdělávání a výchovu (</w:t>
            </w:r>
            <w:r w:rsidR="00A632B6">
              <w:rPr>
                <w:rFonts w:ascii="Arial" w:hAnsi="Arial" w:cs="Arial"/>
                <w:sz w:val="22"/>
                <w:szCs w:val="22"/>
              </w:rPr>
              <w:t>mateřských, základních, základních uměleckých a středních škol</w:t>
            </w:r>
            <w:r w:rsidRPr="00061D6F">
              <w:rPr>
                <w:rFonts w:ascii="Arial" w:hAnsi="Arial" w:cs="Arial"/>
                <w:sz w:val="22"/>
                <w:szCs w:val="22"/>
              </w:rPr>
              <w:t>), pro sociální péči a péči o rodinu, zdravotnictví (včetně ambulantní péče a nemocnic), kulturu, veřejnou správu (pošta), ochranu obyvatelstva, hřiště, parkování, zastávky hromadné dopravy, nakládání s odpady, zásobování vodou a napojení na veřejnou kanalizaci a veřejná prostranství.</w:t>
            </w:r>
            <w:r>
              <w:rPr>
                <w:rFonts w:ascii="Arial" w:hAnsi="Arial" w:cs="Arial"/>
                <w:sz w:val="22"/>
                <w:szCs w:val="22"/>
              </w:rPr>
              <w:t xml:space="preserve"> Municipality řídící se touto metodikou, by se měly vyznačovat snadno dostupnou veřejnou infrastrukturou a tedy i přátels</w:t>
            </w:r>
            <w:r w:rsidR="00D22265">
              <w:rPr>
                <w:rFonts w:ascii="Arial" w:hAnsi="Arial" w:cs="Arial"/>
                <w:sz w:val="22"/>
                <w:szCs w:val="22"/>
              </w:rPr>
              <w:t>kostí ke všem věkovým skupinám.</w:t>
            </w:r>
          </w:p>
        </w:tc>
      </w:tr>
      <w:tr w:rsidR="00EA2748" w:rsidRPr="0007074B" w14:paraId="1CBB827F" w14:textId="77777777" w:rsidTr="00B460D5">
        <w:tc>
          <w:tcPr>
            <w:tcW w:w="2802" w:type="dxa"/>
          </w:tcPr>
          <w:p w14:paraId="7913E18C"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Časová řada: </w:t>
            </w:r>
          </w:p>
        </w:tc>
        <w:tc>
          <w:tcPr>
            <w:tcW w:w="6486" w:type="dxa"/>
          </w:tcPr>
          <w:p w14:paraId="0AC0AD0D" w14:textId="77777777" w:rsidR="00EA2748" w:rsidRPr="0007074B" w:rsidRDefault="0015417B" w:rsidP="00C516EA">
            <w:pPr>
              <w:spacing w:line="276" w:lineRule="auto"/>
              <w:jc w:val="both"/>
              <w:rPr>
                <w:rFonts w:ascii="Arial" w:hAnsi="Arial" w:cs="Arial"/>
                <w:sz w:val="22"/>
                <w:szCs w:val="22"/>
              </w:rPr>
            </w:pPr>
            <w:r>
              <w:rPr>
                <w:rFonts w:ascii="Arial" w:hAnsi="Arial" w:cs="Arial"/>
                <w:sz w:val="22"/>
                <w:szCs w:val="22"/>
              </w:rPr>
              <w:t>O</w:t>
            </w:r>
            <w:r w:rsidR="00EA2748">
              <w:rPr>
                <w:rFonts w:ascii="Arial" w:hAnsi="Arial" w:cs="Arial"/>
                <w:sz w:val="22"/>
                <w:szCs w:val="22"/>
              </w:rPr>
              <w:t xml:space="preserve">d </w:t>
            </w:r>
            <w:r w:rsidR="00D22265">
              <w:rPr>
                <w:rFonts w:ascii="Arial" w:hAnsi="Arial" w:cs="Arial"/>
                <w:sz w:val="22"/>
                <w:szCs w:val="22"/>
              </w:rPr>
              <w:t xml:space="preserve">roku </w:t>
            </w:r>
            <w:r w:rsidR="00EA2748">
              <w:rPr>
                <w:rFonts w:ascii="Arial" w:hAnsi="Arial" w:cs="Arial"/>
                <w:sz w:val="22"/>
                <w:szCs w:val="22"/>
              </w:rPr>
              <w:t>2017</w:t>
            </w:r>
          </w:p>
        </w:tc>
      </w:tr>
      <w:tr w:rsidR="00EA2748" w:rsidRPr="0007074B" w14:paraId="2D5D5885" w14:textId="77777777" w:rsidTr="00B460D5">
        <w:tc>
          <w:tcPr>
            <w:tcW w:w="2802" w:type="dxa"/>
          </w:tcPr>
          <w:p w14:paraId="608A1382"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Frekvence výstupu: </w:t>
            </w:r>
          </w:p>
        </w:tc>
        <w:tc>
          <w:tcPr>
            <w:tcW w:w="6486" w:type="dxa"/>
          </w:tcPr>
          <w:p w14:paraId="2C1B461C" w14:textId="77777777" w:rsidR="00EA2748" w:rsidRPr="0007074B" w:rsidRDefault="0015417B" w:rsidP="00C516EA">
            <w:pPr>
              <w:spacing w:line="276" w:lineRule="auto"/>
              <w:jc w:val="both"/>
              <w:rPr>
                <w:rFonts w:ascii="Arial" w:hAnsi="Arial" w:cs="Arial"/>
                <w:sz w:val="22"/>
                <w:szCs w:val="22"/>
              </w:rPr>
            </w:pPr>
            <w:r>
              <w:rPr>
                <w:rFonts w:ascii="Arial" w:hAnsi="Arial" w:cs="Arial"/>
                <w:sz w:val="22"/>
                <w:szCs w:val="22"/>
              </w:rPr>
              <w:t>J</w:t>
            </w:r>
            <w:r w:rsidR="00EA2748">
              <w:rPr>
                <w:rFonts w:ascii="Arial" w:hAnsi="Arial" w:cs="Arial"/>
                <w:sz w:val="22"/>
                <w:szCs w:val="22"/>
              </w:rPr>
              <w:t>ednou za 4 roky (první výstupy k roku 2020)</w:t>
            </w:r>
          </w:p>
        </w:tc>
      </w:tr>
      <w:tr w:rsidR="00EA2748" w:rsidRPr="0007074B" w14:paraId="328BEB2C" w14:textId="77777777" w:rsidTr="00B460D5">
        <w:trPr>
          <w:trHeight w:val="70"/>
        </w:trPr>
        <w:tc>
          <w:tcPr>
            <w:tcW w:w="2802" w:type="dxa"/>
          </w:tcPr>
          <w:p w14:paraId="7119B091"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Členění indikátoru: </w:t>
            </w:r>
          </w:p>
        </w:tc>
        <w:tc>
          <w:tcPr>
            <w:tcW w:w="6486" w:type="dxa"/>
          </w:tcPr>
          <w:p w14:paraId="0197AB1B" w14:textId="77777777" w:rsidR="00EA2748" w:rsidRPr="0007074B" w:rsidRDefault="00D22265" w:rsidP="00C51B65">
            <w:pPr>
              <w:spacing w:line="276" w:lineRule="auto"/>
              <w:rPr>
                <w:rFonts w:ascii="Arial" w:hAnsi="Arial" w:cs="Arial"/>
                <w:sz w:val="22"/>
                <w:szCs w:val="22"/>
              </w:rPr>
            </w:pPr>
            <w:r>
              <w:rPr>
                <w:rFonts w:ascii="Arial" w:hAnsi="Arial" w:cs="Arial"/>
                <w:sz w:val="22"/>
                <w:szCs w:val="22"/>
              </w:rPr>
              <w:t>-</w:t>
            </w:r>
          </w:p>
        </w:tc>
      </w:tr>
      <w:tr w:rsidR="00EA2748" w:rsidRPr="0007074B" w14:paraId="73BBBA16" w14:textId="77777777" w:rsidTr="00B460D5">
        <w:trPr>
          <w:trHeight w:val="70"/>
        </w:trPr>
        <w:tc>
          <w:tcPr>
            <w:tcW w:w="2802" w:type="dxa"/>
          </w:tcPr>
          <w:p w14:paraId="3CC9D1F3"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Mezinárodní srovnání:</w:t>
            </w:r>
          </w:p>
        </w:tc>
        <w:tc>
          <w:tcPr>
            <w:tcW w:w="6486" w:type="dxa"/>
          </w:tcPr>
          <w:p w14:paraId="258829E3" w14:textId="77777777" w:rsidR="00EA2748" w:rsidRPr="0007074B" w:rsidRDefault="00D22265" w:rsidP="00C51B65">
            <w:pPr>
              <w:spacing w:line="276" w:lineRule="auto"/>
              <w:rPr>
                <w:rFonts w:ascii="Arial" w:hAnsi="Arial" w:cs="Arial"/>
                <w:sz w:val="22"/>
                <w:szCs w:val="22"/>
              </w:rPr>
            </w:pPr>
            <w:r>
              <w:rPr>
                <w:rFonts w:ascii="Arial" w:hAnsi="Arial" w:cs="Arial"/>
                <w:sz w:val="22"/>
                <w:szCs w:val="22"/>
              </w:rPr>
              <w:t>-</w:t>
            </w:r>
          </w:p>
        </w:tc>
      </w:tr>
    </w:tbl>
    <w:p w14:paraId="03DEC8EB" w14:textId="77777777" w:rsidR="00EA2748" w:rsidRPr="0007074B" w:rsidRDefault="00EA2748" w:rsidP="00C51B65">
      <w:pPr>
        <w:spacing w:line="276" w:lineRule="auto"/>
        <w:ind w:left="709"/>
        <w:jc w:val="both"/>
        <w:rPr>
          <w:rFonts w:ascii="Arial" w:eastAsia="Calibri" w:hAnsi="Arial" w:cs="Arial"/>
          <w:i/>
          <w:sz w:val="22"/>
          <w:szCs w:val="22"/>
        </w:rPr>
      </w:pPr>
    </w:p>
    <w:tbl>
      <w:tblPr>
        <w:tblStyle w:val="Mkatabulky"/>
        <w:tblW w:w="0" w:type="auto"/>
        <w:tblLook w:val="04A0" w:firstRow="1" w:lastRow="0" w:firstColumn="1" w:lastColumn="0" w:noHBand="0" w:noVBand="1"/>
      </w:tblPr>
      <w:tblGrid>
        <w:gridCol w:w="2802"/>
        <w:gridCol w:w="6486"/>
      </w:tblGrid>
      <w:tr w:rsidR="00EA2748" w:rsidRPr="0007074B" w14:paraId="47F212E2" w14:textId="77777777" w:rsidTr="00B460D5">
        <w:tc>
          <w:tcPr>
            <w:tcW w:w="2802" w:type="dxa"/>
          </w:tcPr>
          <w:p w14:paraId="14CE9AA4"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Název a označení indikátoru: </w:t>
            </w:r>
          </w:p>
        </w:tc>
        <w:tc>
          <w:tcPr>
            <w:tcW w:w="6486" w:type="dxa"/>
          </w:tcPr>
          <w:p w14:paraId="550F530E" w14:textId="77777777" w:rsidR="00EA2748" w:rsidRPr="00457014" w:rsidRDefault="00D22265" w:rsidP="00C51B65">
            <w:pPr>
              <w:spacing w:line="276" w:lineRule="auto"/>
              <w:rPr>
                <w:rFonts w:ascii="Arial" w:eastAsia="Arial" w:hAnsi="Arial" w:cs="Arial"/>
                <w:b/>
                <w:color w:val="000000"/>
                <w:sz w:val="22"/>
                <w:szCs w:val="22"/>
              </w:rPr>
            </w:pPr>
            <w:r>
              <w:rPr>
                <w:rFonts w:ascii="Arial" w:eastAsia="Calibri" w:hAnsi="Arial" w:cs="Arial"/>
                <w:b/>
                <w:sz w:val="22"/>
                <w:szCs w:val="22"/>
              </w:rPr>
              <w:t>18</w:t>
            </w:r>
            <w:r w:rsidR="00EA2748" w:rsidRPr="00457014">
              <w:rPr>
                <w:rFonts w:ascii="Arial" w:eastAsia="Calibri" w:hAnsi="Arial" w:cs="Arial"/>
                <w:b/>
                <w:sz w:val="22"/>
                <w:szCs w:val="22"/>
              </w:rPr>
              <w:t xml:space="preserve">.2.2 </w:t>
            </w:r>
            <w:r w:rsidR="00EA2748">
              <w:rPr>
                <w:rFonts w:ascii="Arial" w:eastAsia="Calibri" w:hAnsi="Arial" w:cs="Arial"/>
                <w:b/>
                <w:sz w:val="22"/>
                <w:szCs w:val="22"/>
              </w:rPr>
              <w:t>R</w:t>
            </w:r>
            <w:r w:rsidR="00EA2748" w:rsidRPr="00457014">
              <w:rPr>
                <w:rFonts w:ascii="Arial" w:eastAsia="Calibri" w:hAnsi="Arial" w:cs="Arial"/>
                <w:b/>
                <w:sz w:val="22"/>
                <w:szCs w:val="22"/>
              </w:rPr>
              <w:t xml:space="preserve">očně ujeté </w:t>
            </w:r>
            <w:proofErr w:type="spellStart"/>
            <w:r w:rsidR="00EA2748" w:rsidRPr="00457014">
              <w:rPr>
                <w:rFonts w:ascii="Arial" w:eastAsia="Calibri" w:hAnsi="Arial" w:cs="Arial"/>
                <w:b/>
                <w:sz w:val="22"/>
                <w:szCs w:val="22"/>
              </w:rPr>
              <w:t>vozokilometry</w:t>
            </w:r>
            <w:proofErr w:type="spellEnd"/>
            <w:r w:rsidR="00EA2748" w:rsidRPr="00457014">
              <w:rPr>
                <w:rFonts w:ascii="Arial" w:eastAsia="Calibri" w:hAnsi="Arial" w:cs="Arial"/>
                <w:b/>
                <w:sz w:val="22"/>
                <w:szCs w:val="22"/>
              </w:rPr>
              <w:t xml:space="preserve"> MHD ve městech </w:t>
            </w:r>
          </w:p>
        </w:tc>
      </w:tr>
      <w:tr w:rsidR="005930BF" w:rsidRPr="0007074B" w14:paraId="267A722C" w14:textId="77777777" w:rsidTr="00B460D5">
        <w:tc>
          <w:tcPr>
            <w:tcW w:w="2802" w:type="dxa"/>
          </w:tcPr>
          <w:p w14:paraId="2CCB36ED" w14:textId="77777777" w:rsidR="005930BF" w:rsidRPr="0007074B" w:rsidRDefault="005930BF" w:rsidP="00C51B65">
            <w:pPr>
              <w:spacing w:line="276" w:lineRule="auto"/>
              <w:rPr>
                <w:rFonts w:ascii="Arial" w:hAnsi="Arial" w:cs="Arial"/>
                <w:sz w:val="22"/>
                <w:szCs w:val="22"/>
              </w:rPr>
            </w:pPr>
            <w:r w:rsidRPr="0007074B">
              <w:rPr>
                <w:rFonts w:ascii="Arial" w:hAnsi="Arial" w:cs="Arial"/>
                <w:sz w:val="22"/>
                <w:szCs w:val="22"/>
              </w:rPr>
              <w:t xml:space="preserve">Stručná definice: </w:t>
            </w:r>
          </w:p>
        </w:tc>
        <w:tc>
          <w:tcPr>
            <w:tcW w:w="6486" w:type="dxa"/>
          </w:tcPr>
          <w:p w14:paraId="0B06FF3D" w14:textId="77777777" w:rsidR="005930BF" w:rsidRPr="002712FE" w:rsidRDefault="005930BF" w:rsidP="00C516EA">
            <w:pPr>
              <w:spacing w:line="276" w:lineRule="auto"/>
              <w:jc w:val="both"/>
              <w:rPr>
                <w:rFonts w:ascii="Arial" w:hAnsi="Arial" w:cs="Arial"/>
                <w:sz w:val="22"/>
                <w:szCs w:val="22"/>
              </w:rPr>
            </w:pPr>
            <w:r w:rsidRPr="002712FE">
              <w:rPr>
                <w:rFonts w:ascii="Arial" w:hAnsi="Arial" w:cs="Arial"/>
                <w:sz w:val="22"/>
                <w:szCs w:val="22"/>
              </w:rPr>
              <w:t>Představují kilometry, ujeté dopravními prostředky MHD za sledované období. Počet se stanoví na základě jízdních řádů a grafikonů a délky linek, včetně manipulačních jízd z depa, vozovny, garáží na trasu linky a nazpátek. Do těchto výkonů se nezapočítávají manipulační km ujeté v prostorách vozoven a dílen.</w:t>
            </w:r>
          </w:p>
        </w:tc>
      </w:tr>
      <w:tr w:rsidR="005930BF" w:rsidRPr="0007074B" w14:paraId="0A0A91E0" w14:textId="77777777" w:rsidTr="00B460D5">
        <w:tc>
          <w:tcPr>
            <w:tcW w:w="2802" w:type="dxa"/>
          </w:tcPr>
          <w:p w14:paraId="427ABF80" w14:textId="77777777" w:rsidR="005930BF" w:rsidRPr="0007074B" w:rsidRDefault="005930BF" w:rsidP="00C51B65">
            <w:pPr>
              <w:spacing w:line="276" w:lineRule="auto"/>
              <w:rPr>
                <w:rFonts w:ascii="Arial" w:hAnsi="Arial" w:cs="Arial"/>
                <w:sz w:val="22"/>
                <w:szCs w:val="22"/>
              </w:rPr>
            </w:pPr>
            <w:r w:rsidRPr="0007074B">
              <w:rPr>
                <w:rFonts w:ascii="Arial" w:hAnsi="Arial" w:cs="Arial"/>
                <w:sz w:val="22"/>
                <w:szCs w:val="22"/>
              </w:rPr>
              <w:t>Jednotka:</w:t>
            </w:r>
          </w:p>
        </w:tc>
        <w:tc>
          <w:tcPr>
            <w:tcW w:w="6486" w:type="dxa"/>
          </w:tcPr>
          <w:p w14:paraId="7A117035" w14:textId="77777777" w:rsidR="005930BF" w:rsidRPr="002712FE" w:rsidRDefault="005930BF" w:rsidP="00C516EA">
            <w:pPr>
              <w:spacing w:line="276" w:lineRule="auto"/>
              <w:jc w:val="both"/>
              <w:rPr>
                <w:rFonts w:ascii="Arial" w:hAnsi="Arial" w:cs="Arial"/>
                <w:sz w:val="22"/>
                <w:szCs w:val="22"/>
              </w:rPr>
            </w:pPr>
            <w:proofErr w:type="spellStart"/>
            <w:r w:rsidRPr="002712FE">
              <w:rPr>
                <w:rFonts w:ascii="Arial" w:hAnsi="Arial" w:cs="Arial"/>
                <w:sz w:val="22"/>
                <w:szCs w:val="22"/>
              </w:rPr>
              <w:t>Vozokilometry</w:t>
            </w:r>
            <w:proofErr w:type="spellEnd"/>
          </w:p>
        </w:tc>
      </w:tr>
      <w:tr w:rsidR="005930BF" w:rsidRPr="0007074B" w14:paraId="263A0A9A" w14:textId="77777777" w:rsidTr="00B460D5">
        <w:tc>
          <w:tcPr>
            <w:tcW w:w="2802" w:type="dxa"/>
          </w:tcPr>
          <w:p w14:paraId="528AF226" w14:textId="77777777" w:rsidR="005930BF" w:rsidRPr="0007074B" w:rsidRDefault="005930BF" w:rsidP="00C51B65">
            <w:pPr>
              <w:spacing w:line="276" w:lineRule="auto"/>
              <w:rPr>
                <w:rFonts w:ascii="Arial" w:hAnsi="Arial" w:cs="Arial"/>
                <w:sz w:val="22"/>
                <w:szCs w:val="22"/>
              </w:rPr>
            </w:pPr>
            <w:r w:rsidRPr="0007074B">
              <w:rPr>
                <w:rFonts w:ascii="Arial" w:hAnsi="Arial" w:cs="Arial"/>
                <w:sz w:val="22"/>
                <w:szCs w:val="22"/>
              </w:rPr>
              <w:t xml:space="preserve">Gestor: </w:t>
            </w:r>
          </w:p>
        </w:tc>
        <w:tc>
          <w:tcPr>
            <w:tcW w:w="6486" w:type="dxa"/>
          </w:tcPr>
          <w:p w14:paraId="3778895A" w14:textId="77777777" w:rsidR="005930BF" w:rsidRPr="002712FE" w:rsidRDefault="005930BF" w:rsidP="00C516EA">
            <w:pPr>
              <w:spacing w:line="276" w:lineRule="auto"/>
              <w:jc w:val="both"/>
              <w:rPr>
                <w:rFonts w:ascii="Arial" w:hAnsi="Arial" w:cs="Arial"/>
                <w:sz w:val="22"/>
                <w:szCs w:val="22"/>
              </w:rPr>
            </w:pPr>
            <w:r w:rsidRPr="002712FE">
              <w:rPr>
                <w:rFonts w:ascii="Arial" w:hAnsi="Arial" w:cs="Arial"/>
                <w:sz w:val="22"/>
                <w:szCs w:val="22"/>
              </w:rPr>
              <w:t>Ministerstvo dopravy</w:t>
            </w:r>
          </w:p>
        </w:tc>
      </w:tr>
      <w:tr w:rsidR="005930BF" w:rsidRPr="0007074B" w14:paraId="2F5EFF74" w14:textId="77777777" w:rsidTr="00B460D5">
        <w:tc>
          <w:tcPr>
            <w:tcW w:w="2802" w:type="dxa"/>
          </w:tcPr>
          <w:p w14:paraId="1BB585AC" w14:textId="77777777" w:rsidR="005930BF" w:rsidRPr="0007074B" w:rsidRDefault="005930BF" w:rsidP="00C51B65">
            <w:pPr>
              <w:spacing w:line="276" w:lineRule="auto"/>
              <w:rPr>
                <w:rFonts w:ascii="Arial" w:hAnsi="Arial" w:cs="Arial"/>
                <w:sz w:val="22"/>
                <w:szCs w:val="22"/>
              </w:rPr>
            </w:pPr>
            <w:r w:rsidRPr="0007074B">
              <w:rPr>
                <w:rFonts w:ascii="Arial" w:hAnsi="Arial" w:cs="Arial"/>
                <w:sz w:val="22"/>
                <w:szCs w:val="22"/>
              </w:rPr>
              <w:t xml:space="preserve">Význam indikátoru: </w:t>
            </w:r>
          </w:p>
        </w:tc>
        <w:tc>
          <w:tcPr>
            <w:tcW w:w="6486" w:type="dxa"/>
          </w:tcPr>
          <w:p w14:paraId="1DD5D527" w14:textId="77777777" w:rsidR="005930BF" w:rsidRPr="002712FE" w:rsidRDefault="00301985" w:rsidP="00C516EA">
            <w:pPr>
              <w:spacing w:line="276" w:lineRule="auto"/>
              <w:jc w:val="both"/>
              <w:rPr>
                <w:rFonts w:ascii="Arial" w:hAnsi="Arial" w:cs="Arial"/>
                <w:sz w:val="22"/>
                <w:szCs w:val="22"/>
              </w:rPr>
            </w:pPr>
            <w:r w:rsidRPr="00301985">
              <w:rPr>
                <w:rFonts w:ascii="Arial" w:hAnsi="Arial" w:cs="Arial"/>
                <w:sz w:val="22"/>
                <w:szCs w:val="22"/>
              </w:rPr>
              <w:t>Přepravní výkon městské hromadné dopravy, příp. integrovaných dopravních systémů je důležitým indikátorem pro zajištění dostupnosti veřejných služeb a občanské vybavenosti.</w:t>
            </w:r>
          </w:p>
        </w:tc>
      </w:tr>
      <w:tr w:rsidR="005930BF" w:rsidRPr="0007074B" w14:paraId="6FBA65B7" w14:textId="77777777" w:rsidTr="00B460D5">
        <w:tc>
          <w:tcPr>
            <w:tcW w:w="2802" w:type="dxa"/>
          </w:tcPr>
          <w:p w14:paraId="6A7AC726" w14:textId="77777777" w:rsidR="005930BF" w:rsidRPr="0007074B" w:rsidRDefault="005930BF" w:rsidP="00C51B65">
            <w:pPr>
              <w:spacing w:line="276" w:lineRule="auto"/>
              <w:rPr>
                <w:rFonts w:ascii="Arial" w:hAnsi="Arial" w:cs="Arial"/>
                <w:sz w:val="22"/>
                <w:szCs w:val="22"/>
              </w:rPr>
            </w:pPr>
            <w:r w:rsidRPr="0007074B">
              <w:rPr>
                <w:rFonts w:ascii="Arial" w:hAnsi="Arial" w:cs="Arial"/>
                <w:sz w:val="22"/>
                <w:szCs w:val="22"/>
              </w:rPr>
              <w:t xml:space="preserve">Časová řada: </w:t>
            </w:r>
          </w:p>
        </w:tc>
        <w:tc>
          <w:tcPr>
            <w:tcW w:w="6486" w:type="dxa"/>
          </w:tcPr>
          <w:p w14:paraId="0336FDFC" w14:textId="77777777" w:rsidR="005930BF" w:rsidRPr="002712FE" w:rsidRDefault="005930BF" w:rsidP="00C516EA">
            <w:pPr>
              <w:spacing w:line="276" w:lineRule="auto"/>
              <w:jc w:val="both"/>
              <w:rPr>
                <w:rFonts w:ascii="Arial" w:hAnsi="Arial" w:cs="Arial"/>
                <w:sz w:val="22"/>
                <w:szCs w:val="22"/>
              </w:rPr>
            </w:pPr>
            <w:r w:rsidRPr="002712FE">
              <w:rPr>
                <w:rFonts w:ascii="Arial" w:hAnsi="Arial" w:cs="Arial"/>
                <w:sz w:val="22"/>
                <w:szCs w:val="22"/>
              </w:rPr>
              <w:t>10 let</w:t>
            </w:r>
          </w:p>
        </w:tc>
      </w:tr>
      <w:tr w:rsidR="005930BF" w:rsidRPr="0007074B" w14:paraId="0AE4F34C" w14:textId="77777777" w:rsidTr="00B460D5">
        <w:tc>
          <w:tcPr>
            <w:tcW w:w="2802" w:type="dxa"/>
          </w:tcPr>
          <w:p w14:paraId="5CDD0E06" w14:textId="77777777" w:rsidR="005930BF" w:rsidRPr="0007074B" w:rsidRDefault="005930BF" w:rsidP="00C51B65">
            <w:pPr>
              <w:spacing w:line="276" w:lineRule="auto"/>
              <w:rPr>
                <w:rFonts w:ascii="Arial" w:hAnsi="Arial" w:cs="Arial"/>
                <w:sz w:val="22"/>
                <w:szCs w:val="22"/>
              </w:rPr>
            </w:pPr>
            <w:r w:rsidRPr="0007074B">
              <w:rPr>
                <w:rFonts w:ascii="Arial" w:hAnsi="Arial" w:cs="Arial"/>
                <w:sz w:val="22"/>
                <w:szCs w:val="22"/>
              </w:rPr>
              <w:t xml:space="preserve">Frekvence výstupu: </w:t>
            </w:r>
          </w:p>
        </w:tc>
        <w:tc>
          <w:tcPr>
            <w:tcW w:w="6486" w:type="dxa"/>
          </w:tcPr>
          <w:p w14:paraId="276FE65B" w14:textId="77777777" w:rsidR="005930BF" w:rsidRPr="002712FE" w:rsidRDefault="005930BF" w:rsidP="00C516EA">
            <w:pPr>
              <w:spacing w:line="276" w:lineRule="auto"/>
              <w:jc w:val="both"/>
              <w:rPr>
                <w:rFonts w:ascii="Arial" w:hAnsi="Arial" w:cs="Arial"/>
                <w:sz w:val="22"/>
                <w:szCs w:val="22"/>
              </w:rPr>
            </w:pPr>
            <w:r>
              <w:rPr>
                <w:rFonts w:ascii="Arial" w:hAnsi="Arial" w:cs="Arial"/>
                <w:sz w:val="22"/>
                <w:szCs w:val="22"/>
              </w:rPr>
              <w:t>Ročně</w:t>
            </w:r>
          </w:p>
        </w:tc>
      </w:tr>
      <w:tr w:rsidR="005930BF" w:rsidRPr="0007074B" w14:paraId="31D57239" w14:textId="77777777" w:rsidTr="00B460D5">
        <w:trPr>
          <w:trHeight w:val="70"/>
        </w:trPr>
        <w:tc>
          <w:tcPr>
            <w:tcW w:w="2802" w:type="dxa"/>
          </w:tcPr>
          <w:p w14:paraId="0C5673F8" w14:textId="77777777" w:rsidR="005930BF" w:rsidRPr="0007074B" w:rsidRDefault="005930BF" w:rsidP="00C51B65">
            <w:pPr>
              <w:spacing w:line="276" w:lineRule="auto"/>
              <w:rPr>
                <w:rFonts w:ascii="Arial" w:hAnsi="Arial" w:cs="Arial"/>
                <w:sz w:val="22"/>
                <w:szCs w:val="22"/>
              </w:rPr>
            </w:pPr>
            <w:r w:rsidRPr="0007074B">
              <w:rPr>
                <w:rFonts w:ascii="Arial" w:hAnsi="Arial" w:cs="Arial"/>
                <w:sz w:val="22"/>
                <w:szCs w:val="22"/>
              </w:rPr>
              <w:t xml:space="preserve">Členění indikátoru: </w:t>
            </w:r>
          </w:p>
        </w:tc>
        <w:tc>
          <w:tcPr>
            <w:tcW w:w="6486" w:type="dxa"/>
          </w:tcPr>
          <w:p w14:paraId="6BAB9DE6" w14:textId="77777777" w:rsidR="005930BF" w:rsidRPr="002712FE" w:rsidRDefault="005930BF" w:rsidP="00C516EA">
            <w:pPr>
              <w:spacing w:line="276" w:lineRule="auto"/>
              <w:jc w:val="both"/>
              <w:rPr>
                <w:rFonts w:ascii="Arial" w:hAnsi="Arial" w:cs="Arial"/>
                <w:sz w:val="22"/>
                <w:szCs w:val="22"/>
              </w:rPr>
            </w:pPr>
            <w:r w:rsidRPr="002712FE">
              <w:rPr>
                <w:rFonts w:ascii="Arial" w:hAnsi="Arial" w:cs="Arial"/>
                <w:sz w:val="22"/>
                <w:szCs w:val="22"/>
              </w:rPr>
              <w:t>Tramvaje, trolejbusy, autobusy, metro</w:t>
            </w:r>
          </w:p>
        </w:tc>
      </w:tr>
      <w:tr w:rsidR="005930BF" w:rsidRPr="0007074B" w14:paraId="4247F1F2" w14:textId="77777777" w:rsidTr="00B460D5">
        <w:trPr>
          <w:trHeight w:val="70"/>
        </w:trPr>
        <w:tc>
          <w:tcPr>
            <w:tcW w:w="2802" w:type="dxa"/>
          </w:tcPr>
          <w:p w14:paraId="648BBD50" w14:textId="77777777" w:rsidR="005930BF" w:rsidRPr="0007074B" w:rsidRDefault="005930BF" w:rsidP="00C51B65">
            <w:pPr>
              <w:spacing w:line="276" w:lineRule="auto"/>
              <w:rPr>
                <w:rFonts w:ascii="Arial" w:hAnsi="Arial" w:cs="Arial"/>
                <w:sz w:val="22"/>
                <w:szCs w:val="22"/>
              </w:rPr>
            </w:pPr>
            <w:r w:rsidRPr="0007074B">
              <w:rPr>
                <w:rFonts w:ascii="Arial" w:hAnsi="Arial" w:cs="Arial"/>
                <w:sz w:val="22"/>
                <w:szCs w:val="22"/>
              </w:rPr>
              <w:t>Mezinárodní srovnání:</w:t>
            </w:r>
          </w:p>
        </w:tc>
        <w:tc>
          <w:tcPr>
            <w:tcW w:w="6486" w:type="dxa"/>
          </w:tcPr>
          <w:p w14:paraId="5FEA8046" w14:textId="77777777" w:rsidR="005930BF" w:rsidRPr="002712FE" w:rsidRDefault="005930BF" w:rsidP="00C51B65">
            <w:pPr>
              <w:spacing w:line="276" w:lineRule="auto"/>
              <w:rPr>
                <w:rFonts w:ascii="Arial" w:hAnsi="Arial" w:cs="Arial"/>
                <w:sz w:val="22"/>
                <w:szCs w:val="22"/>
              </w:rPr>
            </w:pPr>
            <w:r>
              <w:rPr>
                <w:rFonts w:ascii="Arial" w:hAnsi="Arial" w:cs="Arial"/>
                <w:sz w:val="22"/>
                <w:szCs w:val="22"/>
              </w:rPr>
              <w:t>-</w:t>
            </w:r>
          </w:p>
        </w:tc>
      </w:tr>
    </w:tbl>
    <w:p w14:paraId="5D1995B2" w14:textId="77777777" w:rsidR="00EA2748" w:rsidRPr="0007074B" w:rsidRDefault="00EA2748" w:rsidP="00C51B65">
      <w:pPr>
        <w:spacing w:line="276" w:lineRule="auto"/>
        <w:ind w:left="709"/>
        <w:jc w:val="both"/>
        <w:rPr>
          <w:rFonts w:ascii="Arial" w:eastAsia="Calibri" w:hAnsi="Arial" w:cs="Arial"/>
          <w:i/>
          <w:sz w:val="22"/>
          <w:szCs w:val="22"/>
        </w:rPr>
      </w:pPr>
    </w:p>
    <w:tbl>
      <w:tblPr>
        <w:tblStyle w:val="Mkatabulky"/>
        <w:tblW w:w="0" w:type="auto"/>
        <w:tblLook w:val="04A0" w:firstRow="1" w:lastRow="0" w:firstColumn="1" w:lastColumn="0" w:noHBand="0" w:noVBand="1"/>
      </w:tblPr>
      <w:tblGrid>
        <w:gridCol w:w="2802"/>
        <w:gridCol w:w="6486"/>
      </w:tblGrid>
      <w:tr w:rsidR="00EA2748" w:rsidRPr="0007074B" w14:paraId="5F635064" w14:textId="77777777" w:rsidTr="00B460D5">
        <w:tc>
          <w:tcPr>
            <w:tcW w:w="2802" w:type="dxa"/>
          </w:tcPr>
          <w:p w14:paraId="3990C420"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Název a označení indikátoru: </w:t>
            </w:r>
          </w:p>
        </w:tc>
        <w:tc>
          <w:tcPr>
            <w:tcW w:w="6486" w:type="dxa"/>
          </w:tcPr>
          <w:p w14:paraId="01C0E023" w14:textId="77777777" w:rsidR="00EA2748" w:rsidRPr="00457014" w:rsidRDefault="00D22265" w:rsidP="00C51B65">
            <w:pPr>
              <w:spacing w:line="276" w:lineRule="auto"/>
              <w:rPr>
                <w:rFonts w:ascii="Arial" w:eastAsia="Arial" w:hAnsi="Arial" w:cs="Arial"/>
                <w:b/>
                <w:color w:val="000000"/>
                <w:sz w:val="22"/>
                <w:szCs w:val="22"/>
              </w:rPr>
            </w:pPr>
            <w:r>
              <w:rPr>
                <w:rFonts w:ascii="Arial" w:eastAsia="Calibri" w:hAnsi="Arial" w:cs="Arial"/>
                <w:b/>
                <w:sz w:val="22"/>
                <w:szCs w:val="22"/>
              </w:rPr>
              <w:t>18</w:t>
            </w:r>
            <w:r w:rsidR="00EA2748" w:rsidRPr="00457014">
              <w:rPr>
                <w:rFonts w:ascii="Arial" w:eastAsia="Calibri" w:hAnsi="Arial" w:cs="Arial"/>
                <w:b/>
                <w:sz w:val="22"/>
                <w:szCs w:val="22"/>
              </w:rPr>
              <w:t xml:space="preserve">.2.3 </w:t>
            </w:r>
            <w:r w:rsidR="00EA2748">
              <w:rPr>
                <w:rFonts w:ascii="Arial" w:eastAsia="Calibri" w:hAnsi="Arial" w:cs="Arial"/>
                <w:b/>
                <w:sz w:val="22"/>
                <w:szCs w:val="22"/>
              </w:rPr>
              <w:t>P</w:t>
            </w:r>
            <w:r w:rsidR="00EA2748" w:rsidRPr="00457014">
              <w:rPr>
                <w:rFonts w:ascii="Arial" w:eastAsia="Calibri" w:hAnsi="Arial" w:cs="Arial"/>
                <w:b/>
                <w:sz w:val="22"/>
                <w:szCs w:val="22"/>
              </w:rPr>
              <w:t xml:space="preserve">odíl nízkopodlažních vozidel MHD ve městech </w:t>
            </w:r>
          </w:p>
        </w:tc>
      </w:tr>
      <w:tr w:rsidR="00EA2748" w:rsidRPr="0007074B" w14:paraId="0A0211FE" w14:textId="77777777" w:rsidTr="00B460D5">
        <w:tc>
          <w:tcPr>
            <w:tcW w:w="2802" w:type="dxa"/>
          </w:tcPr>
          <w:p w14:paraId="000FF695"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Stručná definice: </w:t>
            </w:r>
          </w:p>
        </w:tc>
        <w:tc>
          <w:tcPr>
            <w:tcW w:w="6486" w:type="dxa"/>
          </w:tcPr>
          <w:p w14:paraId="7F736BF8" w14:textId="77777777" w:rsidR="00EA2748" w:rsidRPr="0007074B" w:rsidRDefault="00EA2748" w:rsidP="00C516EA">
            <w:pPr>
              <w:spacing w:line="276" w:lineRule="auto"/>
              <w:jc w:val="both"/>
              <w:rPr>
                <w:rFonts w:ascii="Arial" w:hAnsi="Arial" w:cs="Arial"/>
                <w:sz w:val="22"/>
                <w:szCs w:val="22"/>
              </w:rPr>
            </w:pPr>
            <w:r>
              <w:rPr>
                <w:rFonts w:ascii="Arial" w:hAnsi="Arial" w:cs="Arial"/>
                <w:sz w:val="22"/>
                <w:szCs w:val="22"/>
              </w:rPr>
              <w:t>Počet nízkopodlažních vozidel na struktuře vozového parku městské veřejné dopravy</w:t>
            </w:r>
          </w:p>
        </w:tc>
      </w:tr>
      <w:tr w:rsidR="00EA2748" w:rsidRPr="0007074B" w14:paraId="2C08D399" w14:textId="77777777" w:rsidTr="00B460D5">
        <w:tc>
          <w:tcPr>
            <w:tcW w:w="2802" w:type="dxa"/>
          </w:tcPr>
          <w:p w14:paraId="0C78F8FF"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Jednotka:</w:t>
            </w:r>
          </w:p>
        </w:tc>
        <w:tc>
          <w:tcPr>
            <w:tcW w:w="6486" w:type="dxa"/>
          </w:tcPr>
          <w:p w14:paraId="17F4F933" w14:textId="77777777" w:rsidR="00EA2748" w:rsidRPr="0007074B" w:rsidRDefault="00EA2748" w:rsidP="00C516EA">
            <w:pPr>
              <w:spacing w:line="276" w:lineRule="auto"/>
              <w:jc w:val="both"/>
              <w:rPr>
                <w:rFonts w:ascii="Arial" w:hAnsi="Arial" w:cs="Arial"/>
                <w:sz w:val="22"/>
                <w:szCs w:val="22"/>
              </w:rPr>
            </w:pPr>
            <w:r>
              <w:rPr>
                <w:rFonts w:ascii="Arial" w:hAnsi="Arial" w:cs="Arial"/>
                <w:sz w:val="22"/>
                <w:szCs w:val="22"/>
              </w:rPr>
              <w:t>Počet</w:t>
            </w:r>
          </w:p>
        </w:tc>
      </w:tr>
      <w:tr w:rsidR="00EA2748" w:rsidRPr="0007074B" w14:paraId="38909677" w14:textId="77777777" w:rsidTr="00B460D5">
        <w:tc>
          <w:tcPr>
            <w:tcW w:w="2802" w:type="dxa"/>
          </w:tcPr>
          <w:p w14:paraId="69AA65A7"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Gestor: </w:t>
            </w:r>
          </w:p>
        </w:tc>
        <w:tc>
          <w:tcPr>
            <w:tcW w:w="6486" w:type="dxa"/>
          </w:tcPr>
          <w:p w14:paraId="490AA60A" w14:textId="77777777" w:rsidR="00EA2748" w:rsidRPr="0007074B" w:rsidRDefault="00EA2748" w:rsidP="00C516EA">
            <w:pPr>
              <w:spacing w:line="276" w:lineRule="auto"/>
              <w:jc w:val="both"/>
              <w:rPr>
                <w:rFonts w:ascii="Arial" w:hAnsi="Arial" w:cs="Arial"/>
                <w:sz w:val="22"/>
                <w:szCs w:val="22"/>
              </w:rPr>
            </w:pPr>
            <w:r w:rsidRPr="002712FE">
              <w:rPr>
                <w:rFonts w:ascii="Arial" w:hAnsi="Arial" w:cs="Arial"/>
                <w:sz w:val="22"/>
                <w:szCs w:val="22"/>
              </w:rPr>
              <w:t>Ministerstvo dopravy</w:t>
            </w:r>
          </w:p>
        </w:tc>
      </w:tr>
      <w:tr w:rsidR="00EA2748" w:rsidRPr="0007074B" w14:paraId="3BE6EAF0" w14:textId="77777777" w:rsidTr="00B460D5">
        <w:tc>
          <w:tcPr>
            <w:tcW w:w="2802" w:type="dxa"/>
          </w:tcPr>
          <w:p w14:paraId="1DE91BFD"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Význam indikátoru: </w:t>
            </w:r>
          </w:p>
        </w:tc>
        <w:tc>
          <w:tcPr>
            <w:tcW w:w="6486" w:type="dxa"/>
          </w:tcPr>
          <w:p w14:paraId="12E37AB3" w14:textId="77777777" w:rsidR="00EA2748" w:rsidRPr="0007074B" w:rsidRDefault="00EA2748" w:rsidP="00C516EA">
            <w:pPr>
              <w:spacing w:line="276" w:lineRule="auto"/>
              <w:jc w:val="both"/>
              <w:rPr>
                <w:rFonts w:ascii="Arial" w:hAnsi="Arial" w:cs="Arial"/>
                <w:sz w:val="22"/>
                <w:szCs w:val="22"/>
              </w:rPr>
            </w:pPr>
            <w:r>
              <w:rPr>
                <w:rFonts w:ascii="Arial" w:hAnsi="Arial" w:cs="Arial"/>
                <w:sz w:val="22"/>
                <w:szCs w:val="22"/>
              </w:rPr>
              <w:t xml:space="preserve">Počet nízkopodlažních vozidel veřejné dopravy na struktuře </w:t>
            </w:r>
            <w:r>
              <w:rPr>
                <w:rFonts w:ascii="Arial" w:hAnsi="Arial" w:cs="Arial"/>
                <w:sz w:val="22"/>
                <w:szCs w:val="22"/>
              </w:rPr>
              <w:lastRenderedPageBreak/>
              <w:t>vozového parku městské veřejné dopravy, která činí městskou veřejnou dopravu přístupnější všem věkovým skupinám i osobám se sníženou schopností fyzického pohybu.</w:t>
            </w:r>
          </w:p>
        </w:tc>
      </w:tr>
      <w:tr w:rsidR="00EA2748" w:rsidRPr="0007074B" w14:paraId="047C5001" w14:textId="77777777" w:rsidTr="00B460D5">
        <w:tc>
          <w:tcPr>
            <w:tcW w:w="2802" w:type="dxa"/>
          </w:tcPr>
          <w:p w14:paraId="24CFBEB9"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lastRenderedPageBreak/>
              <w:t xml:space="preserve">Časová řada: </w:t>
            </w:r>
          </w:p>
        </w:tc>
        <w:tc>
          <w:tcPr>
            <w:tcW w:w="6486" w:type="dxa"/>
          </w:tcPr>
          <w:p w14:paraId="50D48843" w14:textId="77777777" w:rsidR="00EA2748" w:rsidRPr="0007074B" w:rsidRDefault="00D22265" w:rsidP="00C516EA">
            <w:pPr>
              <w:spacing w:line="276" w:lineRule="auto"/>
              <w:jc w:val="both"/>
              <w:rPr>
                <w:rFonts w:ascii="Arial" w:hAnsi="Arial" w:cs="Arial"/>
                <w:sz w:val="22"/>
                <w:szCs w:val="22"/>
              </w:rPr>
            </w:pPr>
            <w:r>
              <w:rPr>
                <w:rFonts w:ascii="Arial" w:hAnsi="Arial" w:cs="Arial"/>
                <w:sz w:val="22"/>
                <w:szCs w:val="22"/>
              </w:rPr>
              <w:t>O</w:t>
            </w:r>
            <w:r w:rsidR="00EA2748">
              <w:rPr>
                <w:rFonts w:ascii="Arial" w:hAnsi="Arial" w:cs="Arial"/>
                <w:sz w:val="22"/>
                <w:szCs w:val="22"/>
              </w:rPr>
              <w:t>d roku 2018</w:t>
            </w:r>
          </w:p>
        </w:tc>
      </w:tr>
      <w:tr w:rsidR="00EA2748" w:rsidRPr="0007074B" w14:paraId="223CA2D8" w14:textId="77777777" w:rsidTr="00B460D5">
        <w:tc>
          <w:tcPr>
            <w:tcW w:w="2802" w:type="dxa"/>
          </w:tcPr>
          <w:p w14:paraId="3015EBCA"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Frekvence výstupu: </w:t>
            </w:r>
          </w:p>
        </w:tc>
        <w:tc>
          <w:tcPr>
            <w:tcW w:w="6486" w:type="dxa"/>
          </w:tcPr>
          <w:p w14:paraId="54036B6A" w14:textId="77777777" w:rsidR="00EA2748" w:rsidRPr="0007074B" w:rsidRDefault="00D22265" w:rsidP="00C516EA">
            <w:pPr>
              <w:spacing w:line="276" w:lineRule="auto"/>
              <w:jc w:val="both"/>
              <w:rPr>
                <w:rFonts w:ascii="Arial" w:hAnsi="Arial" w:cs="Arial"/>
                <w:sz w:val="22"/>
                <w:szCs w:val="22"/>
              </w:rPr>
            </w:pPr>
            <w:r>
              <w:rPr>
                <w:rFonts w:ascii="Arial" w:hAnsi="Arial" w:cs="Arial"/>
                <w:sz w:val="22"/>
                <w:szCs w:val="22"/>
              </w:rPr>
              <w:t>Č</w:t>
            </w:r>
            <w:r w:rsidR="00EA2748">
              <w:rPr>
                <w:rFonts w:ascii="Arial" w:hAnsi="Arial" w:cs="Arial"/>
                <w:sz w:val="22"/>
                <w:szCs w:val="22"/>
              </w:rPr>
              <w:t>tvrtletně / ročně</w:t>
            </w:r>
          </w:p>
        </w:tc>
      </w:tr>
      <w:tr w:rsidR="00EA2748" w:rsidRPr="0007074B" w14:paraId="5AE4209D" w14:textId="77777777" w:rsidTr="00B460D5">
        <w:trPr>
          <w:trHeight w:val="70"/>
        </w:trPr>
        <w:tc>
          <w:tcPr>
            <w:tcW w:w="2802" w:type="dxa"/>
          </w:tcPr>
          <w:p w14:paraId="0B3FEA13"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Členění indikátoru: </w:t>
            </w:r>
          </w:p>
        </w:tc>
        <w:tc>
          <w:tcPr>
            <w:tcW w:w="6486" w:type="dxa"/>
          </w:tcPr>
          <w:p w14:paraId="2E0397D2" w14:textId="77777777" w:rsidR="00EA2748" w:rsidRPr="0007074B" w:rsidRDefault="00D22265" w:rsidP="00C51B65">
            <w:pPr>
              <w:spacing w:line="276" w:lineRule="auto"/>
              <w:rPr>
                <w:rFonts w:ascii="Arial" w:hAnsi="Arial" w:cs="Arial"/>
                <w:sz w:val="22"/>
                <w:szCs w:val="22"/>
              </w:rPr>
            </w:pPr>
            <w:r>
              <w:rPr>
                <w:rFonts w:ascii="Arial" w:hAnsi="Arial" w:cs="Arial"/>
                <w:sz w:val="22"/>
                <w:szCs w:val="22"/>
              </w:rPr>
              <w:t>-</w:t>
            </w:r>
          </w:p>
        </w:tc>
      </w:tr>
      <w:tr w:rsidR="00EA2748" w:rsidRPr="0007074B" w14:paraId="774E9388" w14:textId="77777777" w:rsidTr="00B460D5">
        <w:trPr>
          <w:trHeight w:val="70"/>
        </w:trPr>
        <w:tc>
          <w:tcPr>
            <w:tcW w:w="2802" w:type="dxa"/>
          </w:tcPr>
          <w:p w14:paraId="7CC41241"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Mezinárodní srovnání:</w:t>
            </w:r>
          </w:p>
        </w:tc>
        <w:tc>
          <w:tcPr>
            <w:tcW w:w="6486" w:type="dxa"/>
          </w:tcPr>
          <w:p w14:paraId="08FD450C" w14:textId="77777777" w:rsidR="00EA2748" w:rsidRPr="0007074B" w:rsidRDefault="00D22265" w:rsidP="00C51B65">
            <w:pPr>
              <w:spacing w:line="276" w:lineRule="auto"/>
              <w:rPr>
                <w:rFonts w:ascii="Arial" w:hAnsi="Arial" w:cs="Arial"/>
                <w:sz w:val="22"/>
                <w:szCs w:val="22"/>
              </w:rPr>
            </w:pPr>
            <w:r>
              <w:rPr>
                <w:rFonts w:ascii="Arial" w:hAnsi="Arial" w:cs="Arial"/>
                <w:sz w:val="22"/>
                <w:szCs w:val="22"/>
              </w:rPr>
              <w:t>-</w:t>
            </w:r>
          </w:p>
        </w:tc>
      </w:tr>
    </w:tbl>
    <w:p w14:paraId="1C7EAEC3" w14:textId="77777777" w:rsidR="00EA2748" w:rsidRPr="00D22265" w:rsidRDefault="00EA2748" w:rsidP="00C516EA">
      <w:pPr>
        <w:pStyle w:val="r2030podcle"/>
        <w:numPr>
          <w:ilvl w:val="1"/>
          <w:numId w:val="17"/>
        </w:numPr>
        <w:ind w:left="567" w:hanging="425"/>
      </w:pPr>
      <w:r w:rsidRPr="00D22265">
        <w:t>Obce b</w:t>
      </w:r>
      <w:r w:rsidR="00FD47B6" w:rsidRPr="00D22265">
        <w:t xml:space="preserve">ěžně plánují rozvoj společně </w:t>
      </w:r>
      <w:r w:rsidRPr="00D22265">
        <w:t>s veřejností.</w:t>
      </w:r>
    </w:p>
    <w:tbl>
      <w:tblPr>
        <w:tblStyle w:val="Mkatabulky"/>
        <w:tblW w:w="0" w:type="auto"/>
        <w:tblLook w:val="04A0" w:firstRow="1" w:lastRow="0" w:firstColumn="1" w:lastColumn="0" w:noHBand="0" w:noVBand="1"/>
      </w:tblPr>
      <w:tblGrid>
        <w:gridCol w:w="2802"/>
        <w:gridCol w:w="6486"/>
      </w:tblGrid>
      <w:tr w:rsidR="00EA2748" w:rsidRPr="0007074B" w14:paraId="7FE33C3B" w14:textId="77777777" w:rsidTr="00B460D5">
        <w:tc>
          <w:tcPr>
            <w:tcW w:w="2802" w:type="dxa"/>
          </w:tcPr>
          <w:p w14:paraId="4303271C"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Název a označení indikátoru: </w:t>
            </w:r>
          </w:p>
        </w:tc>
        <w:tc>
          <w:tcPr>
            <w:tcW w:w="6486" w:type="dxa"/>
          </w:tcPr>
          <w:p w14:paraId="6B0046D2" w14:textId="7F76288F" w:rsidR="00EA2748" w:rsidRPr="00457014" w:rsidRDefault="00D22265" w:rsidP="00C51B65">
            <w:pPr>
              <w:spacing w:line="276" w:lineRule="auto"/>
              <w:rPr>
                <w:rFonts w:ascii="Arial" w:eastAsia="Arial" w:hAnsi="Arial" w:cs="Arial"/>
                <w:b/>
                <w:color w:val="000000"/>
                <w:sz w:val="22"/>
                <w:szCs w:val="22"/>
              </w:rPr>
            </w:pPr>
            <w:r>
              <w:rPr>
                <w:rFonts w:ascii="Arial" w:eastAsia="Arial" w:hAnsi="Arial" w:cs="Arial"/>
                <w:b/>
                <w:color w:val="000000"/>
                <w:sz w:val="22"/>
                <w:szCs w:val="22"/>
              </w:rPr>
              <w:t>18.3</w:t>
            </w:r>
            <w:r w:rsidR="00EA2748" w:rsidRPr="00457014">
              <w:rPr>
                <w:rFonts w:ascii="Arial" w:eastAsia="Arial" w:hAnsi="Arial" w:cs="Arial"/>
                <w:b/>
                <w:color w:val="000000"/>
                <w:sz w:val="22"/>
                <w:szCs w:val="22"/>
              </w:rPr>
              <w:t xml:space="preserve">.1 Počet realizátorů </w:t>
            </w:r>
            <w:r w:rsidR="00E45890">
              <w:rPr>
                <w:rFonts w:ascii="Arial" w:eastAsia="Arial" w:hAnsi="Arial" w:cs="Arial"/>
                <w:b/>
                <w:color w:val="000000"/>
                <w:sz w:val="22"/>
                <w:szCs w:val="22"/>
              </w:rPr>
              <w:t>místní Agendy</w:t>
            </w:r>
            <w:r w:rsidR="00EA2748" w:rsidRPr="00457014">
              <w:rPr>
                <w:rFonts w:ascii="Arial" w:eastAsia="Arial" w:hAnsi="Arial" w:cs="Arial"/>
                <w:b/>
                <w:color w:val="000000"/>
                <w:sz w:val="22"/>
                <w:szCs w:val="22"/>
              </w:rPr>
              <w:t xml:space="preserve"> 21</w:t>
            </w:r>
          </w:p>
          <w:p w14:paraId="04A9C47A" w14:textId="77777777" w:rsidR="00EA2748" w:rsidRPr="0007074B" w:rsidRDefault="00EA2748" w:rsidP="00C51B65">
            <w:pPr>
              <w:spacing w:line="276" w:lineRule="auto"/>
              <w:rPr>
                <w:rFonts w:ascii="Arial" w:eastAsia="Arial" w:hAnsi="Arial" w:cs="Arial"/>
                <w:color w:val="000000"/>
                <w:sz w:val="22"/>
                <w:szCs w:val="22"/>
              </w:rPr>
            </w:pPr>
          </w:p>
        </w:tc>
      </w:tr>
      <w:tr w:rsidR="00EA2748" w:rsidRPr="0007074B" w14:paraId="6B948C3E" w14:textId="77777777" w:rsidTr="00B460D5">
        <w:tc>
          <w:tcPr>
            <w:tcW w:w="2802" w:type="dxa"/>
          </w:tcPr>
          <w:p w14:paraId="4B8AA150"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Stručná definice: </w:t>
            </w:r>
          </w:p>
        </w:tc>
        <w:tc>
          <w:tcPr>
            <w:tcW w:w="6486" w:type="dxa"/>
          </w:tcPr>
          <w:p w14:paraId="205B59E6" w14:textId="77777777" w:rsidR="00EA2748" w:rsidRPr="00375C6C" w:rsidRDefault="00EA2748" w:rsidP="00C516EA">
            <w:pPr>
              <w:spacing w:line="276" w:lineRule="auto"/>
              <w:jc w:val="both"/>
              <w:rPr>
                <w:rFonts w:ascii="Arial" w:hAnsi="Arial" w:cs="Arial"/>
                <w:sz w:val="22"/>
                <w:szCs w:val="22"/>
              </w:rPr>
            </w:pPr>
            <w:r w:rsidRPr="00375C6C">
              <w:rPr>
                <w:rFonts w:ascii="Arial" w:hAnsi="Arial" w:cs="Arial"/>
                <w:sz w:val="22"/>
                <w:szCs w:val="22"/>
              </w:rPr>
              <w:t xml:space="preserve">Realizátoři MA21 zařazení do jednotlivých kategorií procesu. </w:t>
            </w:r>
          </w:p>
        </w:tc>
      </w:tr>
      <w:tr w:rsidR="00EA2748" w:rsidRPr="0007074B" w14:paraId="744BECAD" w14:textId="77777777" w:rsidTr="00B460D5">
        <w:tc>
          <w:tcPr>
            <w:tcW w:w="2802" w:type="dxa"/>
          </w:tcPr>
          <w:p w14:paraId="3CD50F80"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Jednotka:</w:t>
            </w:r>
          </w:p>
        </w:tc>
        <w:tc>
          <w:tcPr>
            <w:tcW w:w="6486" w:type="dxa"/>
          </w:tcPr>
          <w:p w14:paraId="54C06768" w14:textId="77777777" w:rsidR="00EA2748" w:rsidRPr="00375C6C" w:rsidRDefault="00EA2748" w:rsidP="00C516EA">
            <w:pPr>
              <w:spacing w:line="276" w:lineRule="auto"/>
              <w:jc w:val="both"/>
              <w:rPr>
                <w:rFonts w:ascii="Arial" w:hAnsi="Arial" w:cs="Arial"/>
                <w:sz w:val="22"/>
                <w:szCs w:val="22"/>
              </w:rPr>
            </w:pPr>
            <w:r w:rsidRPr="00375C6C">
              <w:rPr>
                <w:rFonts w:ascii="Arial" w:hAnsi="Arial" w:cs="Arial"/>
                <w:sz w:val="22"/>
                <w:szCs w:val="22"/>
              </w:rPr>
              <w:t xml:space="preserve">Počet </w:t>
            </w:r>
          </w:p>
        </w:tc>
      </w:tr>
      <w:tr w:rsidR="00EA2748" w:rsidRPr="0007074B" w14:paraId="1E5C1972" w14:textId="77777777" w:rsidTr="00B460D5">
        <w:tc>
          <w:tcPr>
            <w:tcW w:w="2802" w:type="dxa"/>
          </w:tcPr>
          <w:p w14:paraId="1FC39845"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Gestor: </w:t>
            </w:r>
          </w:p>
        </w:tc>
        <w:tc>
          <w:tcPr>
            <w:tcW w:w="6486" w:type="dxa"/>
          </w:tcPr>
          <w:p w14:paraId="2DB54671" w14:textId="77777777" w:rsidR="00EA2748" w:rsidRPr="00375C6C" w:rsidRDefault="00D22265" w:rsidP="00C516EA">
            <w:pPr>
              <w:spacing w:line="276" w:lineRule="auto"/>
              <w:jc w:val="both"/>
              <w:rPr>
                <w:rFonts w:ascii="Arial" w:hAnsi="Arial" w:cs="Arial"/>
                <w:sz w:val="22"/>
                <w:szCs w:val="22"/>
              </w:rPr>
            </w:pPr>
            <w:r>
              <w:rPr>
                <w:rFonts w:ascii="Arial" w:hAnsi="Arial" w:cs="Arial"/>
                <w:sz w:val="22"/>
                <w:szCs w:val="22"/>
              </w:rPr>
              <w:t xml:space="preserve">Ministerstvo životního prostředí </w:t>
            </w:r>
            <w:r w:rsidR="00EA2748" w:rsidRPr="00375C6C">
              <w:rPr>
                <w:rFonts w:ascii="Arial" w:hAnsi="Arial" w:cs="Arial"/>
                <w:sz w:val="22"/>
                <w:szCs w:val="22"/>
              </w:rPr>
              <w:t>(CENIA)</w:t>
            </w:r>
          </w:p>
        </w:tc>
      </w:tr>
      <w:tr w:rsidR="00EA2748" w:rsidRPr="0007074B" w14:paraId="56A14E5D" w14:textId="77777777" w:rsidTr="00B460D5">
        <w:tc>
          <w:tcPr>
            <w:tcW w:w="2802" w:type="dxa"/>
          </w:tcPr>
          <w:p w14:paraId="4E48ED53"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Význam indikátoru: </w:t>
            </w:r>
          </w:p>
        </w:tc>
        <w:tc>
          <w:tcPr>
            <w:tcW w:w="6486" w:type="dxa"/>
          </w:tcPr>
          <w:p w14:paraId="5EC56ADB" w14:textId="77777777" w:rsidR="00EA2748" w:rsidRPr="00375C6C" w:rsidRDefault="00EA2748" w:rsidP="00C516EA">
            <w:pPr>
              <w:spacing w:line="276" w:lineRule="auto"/>
              <w:jc w:val="both"/>
              <w:rPr>
                <w:rFonts w:ascii="Arial" w:hAnsi="Arial" w:cs="Arial"/>
                <w:sz w:val="22"/>
                <w:szCs w:val="22"/>
              </w:rPr>
            </w:pPr>
            <w:r w:rsidRPr="00375C6C">
              <w:rPr>
                <w:rFonts w:ascii="Arial" w:hAnsi="Arial" w:cs="Arial"/>
                <w:sz w:val="22"/>
                <w:szCs w:val="22"/>
              </w:rPr>
              <w:t>Místní Agenda 21 (dále jen MA21) sleduje a popisuje nastavení klíčových procesů veřejné</w:t>
            </w:r>
            <w:r w:rsidR="00D22265">
              <w:rPr>
                <w:rFonts w:ascii="Arial" w:hAnsi="Arial" w:cs="Arial"/>
                <w:sz w:val="22"/>
                <w:szCs w:val="22"/>
              </w:rPr>
              <w:t xml:space="preserve"> </w:t>
            </w:r>
            <w:r w:rsidRPr="00375C6C">
              <w:rPr>
                <w:rFonts w:ascii="Arial" w:hAnsi="Arial" w:cs="Arial"/>
                <w:sz w:val="22"/>
                <w:szCs w:val="22"/>
              </w:rPr>
              <w:t>správy, které jsou nezbytné pro realizaci Agendy 21 na úrovni municipalit (obcí a regionů).</w:t>
            </w:r>
          </w:p>
        </w:tc>
      </w:tr>
      <w:tr w:rsidR="00EA2748" w:rsidRPr="0007074B" w14:paraId="5106A7CF" w14:textId="77777777" w:rsidTr="00B460D5">
        <w:tc>
          <w:tcPr>
            <w:tcW w:w="2802" w:type="dxa"/>
          </w:tcPr>
          <w:p w14:paraId="05483AD4"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Časová řada: </w:t>
            </w:r>
          </w:p>
        </w:tc>
        <w:tc>
          <w:tcPr>
            <w:tcW w:w="6486" w:type="dxa"/>
          </w:tcPr>
          <w:p w14:paraId="3F057FDA" w14:textId="77777777" w:rsidR="00EA2748" w:rsidRPr="00375C6C" w:rsidRDefault="00D22265" w:rsidP="00C516EA">
            <w:pPr>
              <w:spacing w:line="276" w:lineRule="auto"/>
              <w:jc w:val="both"/>
              <w:rPr>
                <w:rFonts w:ascii="Arial" w:hAnsi="Arial" w:cs="Arial"/>
                <w:sz w:val="22"/>
                <w:szCs w:val="22"/>
              </w:rPr>
            </w:pPr>
            <w:r>
              <w:rPr>
                <w:rFonts w:ascii="Arial" w:hAnsi="Arial" w:cs="Arial"/>
                <w:sz w:val="22"/>
                <w:szCs w:val="22"/>
              </w:rPr>
              <w:t>Od roku</w:t>
            </w:r>
            <w:r w:rsidR="00EA2748" w:rsidRPr="00375C6C">
              <w:rPr>
                <w:rFonts w:ascii="Arial" w:hAnsi="Arial" w:cs="Arial"/>
                <w:sz w:val="22"/>
                <w:szCs w:val="22"/>
              </w:rPr>
              <w:t xml:space="preserve"> 2006</w:t>
            </w:r>
          </w:p>
        </w:tc>
      </w:tr>
      <w:tr w:rsidR="00EA2748" w:rsidRPr="0007074B" w14:paraId="001B9B2C" w14:textId="77777777" w:rsidTr="00B460D5">
        <w:tc>
          <w:tcPr>
            <w:tcW w:w="2802" w:type="dxa"/>
          </w:tcPr>
          <w:p w14:paraId="07609355"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Frekvence výstupu: </w:t>
            </w:r>
          </w:p>
        </w:tc>
        <w:tc>
          <w:tcPr>
            <w:tcW w:w="6486" w:type="dxa"/>
          </w:tcPr>
          <w:p w14:paraId="1F00E345" w14:textId="77777777" w:rsidR="00EA2748" w:rsidRPr="00375C6C" w:rsidRDefault="00EA2748" w:rsidP="00C516EA">
            <w:pPr>
              <w:spacing w:line="276" w:lineRule="auto"/>
              <w:jc w:val="both"/>
              <w:rPr>
                <w:rFonts w:ascii="Arial" w:hAnsi="Arial" w:cs="Arial"/>
                <w:sz w:val="22"/>
                <w:szCs w:val="22"/>
              </w:rPr>
            </w:pPr>
            <w:r w:rsidRPr="00375C6C">
              <w:rPr>
                <w:rFonts w:ascii="Arial" w:hAnsi="Arial" w:cs="Arial"/>
                <w:sz w:val="22"/>
                <w:szCs w:val="22"/>
              </w:rPr>
              <w:t>Ročně</w:t>
            </w:r>
          </w:p>
        </w:tc>
      </w:tr>
      <w:tr w:rsidR="00EA2748" w:rsidRPr="0007074B" w14:paraId="056F8F0D" w14:textId="77777777" w:rsidTr="00B460D5">
        <w:trPr>
          <w:trHeight w:val="70"/>
        </w:trPr>
        <w:tc>
          <w:tcPr>
            <w:tcW w:w="2802" w:type="dxa"/>
          </w:tcPr>
          <w:p w14:paraId="3E1C96F0"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Členění indikátoru: </w:t>
            </w:r>
          </w:p>
        </w:tc>
        <w:tc>
          <w:tcPr>
            <w:tcW w:w="6486" w:type="dxa"/>
          </w:tcPr>
          <w:p w14:paraId="69D7589E" w14:textId="77777777" w:rsidR="00EA2748" w:rsidRPr="00375C6C" w:rsidRDefault="00EA2748" w:rsidP="00C516EA">
            <w:pPr>
              <w:spacing w:line="276" w:lineRule="auto"/>
              <w:jc w:val="both"/>
              <w:rPr>
                <w:rFonts w:ascii="Arial" w:hAnsi="Arial" w:cs="Arial"/>
                <w:sz w:val="22"/>
                <w:szCs w:val="22"/>
              </w:rPr>
            </w:pPr>
            <w:r w:rsidRPr="00375C6C">
              <w:rPr>
                <w:rFonts w:ascii="Arial" w:hAnsi="Arial" w:cs="Arial"/>
                <w:sz w:val="22"/>
                <w:szCs w:val="22"/>
              </w:rPr>
              <w:t>Dle jednotlivých kategorií: zájemci, kategorie D, C, B, A; dle typu municipality: malé obce (do 2000 obyvatel), města a obce, mikroregiony, kraje a místní akční skupiny.</w:t>
            </w:r>
          </w:p>
        </w:tc>
      </w:tr>
      <w:tr w:rsidR="00EA2748" w:rsidRPr="0007074B" w14:paraId="7FEF7A92" w14:textId="77777777" w:rsidTr="00B460D5">
        <w:trPr>
          <w:trHeight w:val="70"/>
        </w:trPr>
        <w:tc>
          <w:tcPr>
            <w:tcW w:w="2802" w:type="dxa"/>
          </w:tcPr>
          <w:p w14:paraId="23CF9D8C"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Mezinárodní srovnání:</w:t>
            </w:r>
          </w:p>
        </w:tc>
        <w:tc>
          <w:tcPr>
            <w:tcW w:w="6486" w:type="dxa"/>
          </w:tcPr>
          <w:p w14:paraId="6EDBC3B2" w14:textId="77777777" w:rsidR="00EA2748" w:rsidRPr="0007074B" w:rsidRDefault="00D22265" w:rsidP="00C51B65">
            <w:pPr>
              <w:spacing w:line="276" w:lineRule="auto"/>
              <w:rPr>
                <w:rFonts w:ascii="Arial" w:hAnsi="Arial" w:cs="Arial"/>
                <w:sz w:val="22"/>
                <w:szCs w:val="22"/>
              </w:rPr>
            </w:pPr>
            <w:r>
              <w:rPr>
                <w:rFonts w:ascii="Arial" w:hAnsi="Arial" w:cs="Arial"/>
                <w:sz w:val="22"/>
                <w:szCs w:val="22"/>
              </w:rPr>
              <w:t>-</w:t>
            </w:r>
          </w:p>
        </w:tc>
      </w:tr>
    </w:tbl>
    <w:p w14:paraId="213E3D6F" w14:textId="77777777" w:rsidR="00EA2748" w:rsidRPr="0007074B" w:rsidRDefault="00EA2748" w:rsidP="00C51B65">
      <w:pPr>
        <w:spacing w:line="276" w:lineRule="auto"/>
        <w:ind w:left="709"/>
        <w:jc w:val="both"/>
        <w:rPr>
          <w:rFonts w:ascii="Arial" w:eastAsia="Calibri" w:hAnsi="Arial" w:cs="Arial"/>
          <w:i/>
          <w:sz w:val="22"/>
          <w:szCs w:val="22"/>
        </w:rPr>
      </w:pPr>
    </w:p>
    <w:tbl>
      <w:tblPr>
        <w:tblStyle w:val="Mkatabulky"/>
        <w:tblW w:w="0" w:type="auto"/>
        <w:tblLook w:val="04A0" w:firstRow="1" w:lastRow="0" w:firstColumn="1" w:lastColumn="0" w:noHBand="0" w:noVBand="1"/>
      </w:tblPr>
      <w:tblGrid>
        <w:gridCol w:w="2802"/>
        <w:gridCol w:w="6486"/>
      </w:tblGrid>
      <w:tr w:rsidR="00EA2748" w:rsidRPr="0007074B" w14:paraId="2A3E9072" w14:textId="77777777" w:rsidTr="00B460D5">
        <w:tc>
          <w:tcPr>
            <w:tcW w:w="2802" w:type="dxa"/>
          </w:tcPr>
          <w:p w14:paraId="6BC791AE"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Název a označení indikátoru: </w:t>
            </w:r>
          </w:p>
        </w:tc>
        <w:tc>
          <w:tcPr>
            <w:tcW w:w="6486" w:type="dxa"/>
          </w:tcPr>
          <w:p w14:paraId="622CAF8D" w14:textId="77777777" w:rsidR="00EA2748" w:rsidRPr="00457014" w:rsidRDefault="00D22265" w:rsidP="00C51B65">
            <w:pPr>
              <w:spacing w:line="276" w:lineRule="auto"/>
              <w:rPr>
                <w:rFonts w:ascii="Arial" w:eastAsia="Arial" w:hAnsi="Arial" w:cs="Arial"/>
                <w:b/>
                <w:color w:val="000000"/>
                <w:sz w:val="22"/>
                <w:szCs w:val="22"/>
              </w:rPr>
            </w:pPr>
            <w:r>
              <w:rPr>
                <w:rFonts w:ascii="Arial" w:eastAsia="Arial" w:hAnsi="Arial" w:cs="Arial"/>
                <w:b/>
                <w:color w:val="000000"/>
                <w:sz w:val="22"/>
                <w:szCs w:val="22"/>
              </w:rPr>
              <w:t>18</w:t>
            </w:r>
            <w:r w:rsidR="00EA2748" w:rsidRPr="00457014">
              <w:rPr>
                <w:rFonts w:ascii="Arial" w:eastAsia="Arial" w:hAnsi="Arial" w:cs="Arial"/>
                <w:b/>
                <w:color w:val="000000"/>
                <w:sz w:val="22"/>
                <w:szCs w:val="22"/>
              </w:rPr>
              <w:t>.3.2 Počet strategií CLLD</w:t>
            </w:r>
          </w:p>
          <w:p w14:paraId="6757B16D" w14:textId="77777777" w:rsidR="00EA2748" w:rsidRPr="0007074B" w:rsidRDefault="00EA2748" w:rsidP="00C51B65">
            <w:pPr>
              <w:spacing w:line="276" w:lineRule="auto"/>
              <w:rPr>
                <w:rFonts w:ascii="Arial" w:eastAsia="Arial" w:hAnsi="Arial" w:cs="Arial"/>
                <w:color w:val="000000"/>
                <w:sz w:val="22"/>
                <w:szCs w:val="22"/>
              </w:rPr>
            </w:pPr>
          </w:p>
        </w:tc>
      </w:tr>
      <w:tr w:rsidR="00EA2748" w:rsidRPr="0007074B" w14:paraId="3B84CFED" w14:textId="77777777" w:rsidTr="00B460D5">
        <w:tc>
          <w:tcPr>
            <w:tcW w:w="2802" w:type="dxa"/>
          </w:tcPr>
          <w:p w14:paraId="3D3823D4" w14:textId="77777777" w:rsidR="00EA2748" w:rsidRPr="004861E5" w:rsidRDefault="00EA2748" w:rsidP="00C51B65">
            <w:pPr>
              <w:spacing w:line="276" w:lineRule="auto"/>
              <w:rPr>
                <w:rFonts w:ascii="Arial" w:hAnsi="Arial" w:cs="Arial"/>
                <w:sz w:val="22"/>
                <w:szCs w:val="22"/>
              </w:rPr>
            </w:pPr>
            <w:r w:rsidRPr="004861E5">
              <w:rPr>
                <w:rFonts w:ascii="Arial" w:hAnsi="Arial" w:cs="Arial"/>
                <w:sz w:val="22"/>
                <w:szCs w:val="22"/>
              </w:rPr>
              <w:t xml:space="preserve">Stručná definice: </w:t>
            </w:r>
          </w:p>
        </w:tc>
        <w:tc>
          <w:tcPr>
            <w:tcW w:w="6486" w:type="dxa"/>
          </w:tcPr>
          <w:p w14:paraId="2DC3619F" w14:textId="77777777" w:rsidR="00EA2748" w:rsidRPr="004861E5" w:rsidRDefault="00EA2748" w:rsidP="00C516EA">
            <w:pPr>
              <w:spacing w:line="276" w:lineRule="auto"/>
              <w:jc w:val="both"/>
              <w:rPr>
                <w:rFonts w:ascii="Arial" w:hAnsi="Arial" w:cs="Arial"/>
                <w:sz w:val="22"/>
                <w:szCs w:val="22"/>
              </w:rPr>
            </w:pPr>
            <w:r w:rsidRPr="004861E5">
              <w:rPr>
                <w:rFonts w:ascii="Arial" w:hAnsi="Arial" w:cs="Arial"/>
                <w:sz w:val="22"/>
                <w:szCs w:val="22"/>
              </w:rPr>
              <w:t>Počet schválených strategií CLLD</w:t>
            </w:r>
          </w:p>
        </w:tc>
      </w:tr>
      <w:tr w:rsidR="00EA2748" w:rsidRPr="0007074B" w14:paraId="55DC987F" w14:textId="77777777" w:rsidTr="00B460D5">
        <w:tc>
          <w:tcPr>
            <w:tcW w:w="2802" w:type="dxa"/>
          </w:tcPr>
          <w:p w14:paraId="712995A8" w14:textId="77777777" w:rsidR="00EA2748" w:rsidRPr="004861E5" w:rsidRDefault="00EA2748" w:rsidP="00C51B65">
            <w:pPr>
              <w:spacing w:line="276" w:lineRule="auto"/>
              <w:rPr>
                <w:rFonts w:ascii="Arial" w:hAnsi="Arial" w:cs="Arial"/>
                <w:sz w:val="22"/>
                <w:szCs w:val="22"/>
              </w:rPr>
            </w:pPr>
            <w:r w:rsidRPr="004861E5">
              <w:rPr>
                <w:rFonts w:ascii="Arial" w:hAnsi="Arial" w:cs="Arial"/>
                <w:sz w:val="22"/>
                <w:szCs w:val="22"/>
              </w:rPr>
              <w:t>Jednotka:</w:t>
            </w:r>
          </w:p>
        </w:tc>
        <w:tc>
          <w:tcPr>
            <w:tcW w:w="6486" w:type="dxa"/>
          </w:tcPr>
          <w:p w14:paraId="635F30B6" w14:textId="77777777" w:rsidR="00EA2748" w:rsidRPr="004861E5" w:rsidRDefault="00EA2748" w:rsidP="00C516EA">
            <w:pPr>
              <w:spacing w:line="276" w:lineRule="auto"/>
              <w:jc w:val="both"/>
              <w:rPr>
                <w:rFonts w:ascii="Arial" w:hAnsi="Arial" w:cs="Arial"/>
                <w:sz w:val="22"/>
                <w:szCs w:val="22"/>
              </w:rPr>
            </w:pPr>
            <w:r w:rsidRPr="004861E5">
              <w:rPr>
                <w:rFonts w:ascii="Arial" w:hAnsi="Arial" w:cs="Arial"/>
                <w:sz w:val="22"/>
                <w:szCs w:val="22"/>
              </w:rPr>
              <w:t>Počet</w:t>
            </w:r>
          </w:p>
        </w:tc>
      </w:tr>
      <w:tr w:rsidR="00EA2748" w:rsidRPr="0007074B" w14:paraId="6EDE2A80" w14:textId="77777777" w:rsidTr="00B460D5">
        <w:tc>
          <w:tcPr>
            <w:tcW w:w="2802" w:type="dxa"/>
          </w:tcPr>
          <w:p w14:paraId="0AD32CF0" w14:textId="77777777" w:rsidR="00EA2748" w:rsidRPr="004861E5" w:rsidRDefault="00EA2748" w:rsidP="00C51B65">
            <w:pPr>
              <w:spacing w:line="276" w:lineRule="auto"/>
              <w:rPr>
                <w:rFonts w:ascii="Arial" w:hAnsi="Arial" w:cs="Arial"/>
                <w:sz w:val="22"/>
                <w:szCs w:val="22"/>
              </w:rPr>
            </w:pPr>
            <w:r w:rsidRPr="004861E5">
              <w:rPr>
                <w:rFonts w:ascii="Arial" w:hAnsi="Arial" w:cs="Arial"/>
                <w:sz w:val="22"/>
                <w:szCs w:val="22"/>
              </w:rPr>
              <w:t xml:space="preserve">Gestor: </w:t>
            </w:r>
          </w:p>
        </w:tc>
        <w:tc>
          <w:tcPr>
            <w:tcW w:w="6486" w:type="dxa"/>
          </w:tcPr>
          <w:p w14:paraId="626F9CC5" w14:textId="77777777" w:rsidR="00EA2748" w:rsidRPr="004861E5" w:rsidRDefault="00D22265" w:rsidP="00C516EA">
            <w:pPr>
              <w:spacing w:line="276" w:lineRule="auto"/>
              <w:jc w:val="both"/>
              <w:rPr>
                <w:rFonts w:ascii="Arial" w:hAnsi="Arial" w:cs="Arial"/>
                <w:sz w:val="22"/>
                <w:szCs w:val="22"/>
              </w:rPr>
            </w:pPr>
            <w:r>
              <w:rPr>
                <w:rFonts w:ascii="Arial" w:hAnsi="Arial" w:cs="Arial"/>
                <w:sz w:val="22"/>
                <w:szCs w:val="22"/>
              </w:rPr>
              <w:t>Ministerstvo pro místní rozvoj</w:t>
            </w:r>
          </w:p>
        </w:tc>
      </w:tr>
      <w:tr w:rsidR="00EA2748" w:rsidRPr="0007074B" w14:paraId="18DD98A7" w14:textId="77777777" w:rsidTr="00B460D5">
        <w:tc>
          <w:tcPr>
            <w:tcW w:w="2802" w:type="dxa"/>
          </w:tcPr>
          <w:p w14:paraId="5C1150C8" w14:textId="77777777" w:rsidR="00EA2748" w:rsidRPr="004861E5" w:rsidRDefault="00EA2748" w:rsidP="00C51B65">
            <w:pPr>
              <w:spacing w:line="276" w:lineRule="auto"/>
              <w:rPr>
                <w:rFonts w:ascii="Arial" w:hAnsi="Arial" w:cs="Arial"/>
                <w:sz w:val="22"/>
                <w:szCs w:val="22"/>
              </w:rPr>
            </w:pPr>
            <w:r w:rsidRPr="004861E5">
              <w:rPr>
                <w:rFonts w:ascii="Arial" w:hAnsi="Arial" w:cs="Arial"/>
                <w:sz w:val="22"/>
                <w:szCs w:val="22"/>
              </w:rPr>
              <w:t xml:space="preserve">Význam indikátoru: </w:t>
            </w:r>
          </w:p>
        </w:tc>
        <w:tc>
          <w:tcPr>
            <w:tcW w:w="6486" w:type="dxa"/>
          </w:tcPr>
          <w:p w14:paraId="1F54F23C" w14:textId="77777777" w:rsidR="00EA2748" w:rsidRPr="004861E5" w:rsidRDefault="00EA2748" w:rsidP="00C516EA">
            <w:pPr>
              <w:spacing w:line="276" w:lineRule="auto"/>
              <w:jc w:val="both"/>
              <w:rPr>
                <w:rFonts w:ascii="Arial" w:hAnsi="Arial" w:cs="Arial"/>
                <w:sz w:val="22"/>
                <w:szCs w:val="22"/>
              </w:rPr>
            </w:pPr>
            <w:r w:rsidRPr="004861E5">
              <w:rPr>
                <w:rFonts w:ascii="Arial" w:hAnsi="Arial" w:cs="Arial"/>
                <w:sz w:val="22"/>
                <w:szCs w:val="22"/>
              </w:rPr>
              <w:t xml:space="preserve">Počet schválených strategií CLLD vypovídá o míře zapojení zájmových skupin a veřejnosti do rozvoje obcí (resp. venkova). </w:t>
            </w:r>
          </w:p>
        </w:tc>
      </w:tr>
      <w:tr w:rsidR="00EA2748" w:rsidRPr="0007074B" w14:paraId="4312FCDF" w14:textId="77777777" w:rsidTr="00B460D5">
        <w:tc>
          <w:tcPr>
            <w:tcW w:w="2802" w:type="dxa"/>
          </w:tcPr>
          <w:p w14:paraId="083602A2" w14:textId="77777777" w:rsidR="00EA2748" w:rsidRPr="004861E5" w:rsidRDefault="00EA2748" w:rsidP="00C51B65">
            <w:pPr>
              <w:spacing w:line="276" w:lineRule="auto"/>
              <w:rPr>
                <w:rFonts w:ascii="Arial" w:hAnsi="Arial" w:cs="Arial"/>
                <w:sz w:val="22"/>
                <w:szCs w:val="22"/>
              </w:rPr>
            </w:pPr>
            <w:r w:rsidRPr="004861E5">
              <w:rPr>
                <w:rFonts w:ascii="Arial" w:hAnsi="Arial" w:cs="Arial"/>
                <w:sz w:val="22"/>
                <w:szCs w:val="22"/>
              </w:rPr>
              <w:t xml:space="preserve">Časová řada: </w:t>
            </w:r>
          </w:p>
        </w:tc>
        <w:tc>
          <w:tcPr>
            <w:tcW w:w="6486" w:type="dxa"/>
          </w:tcPr>
          <w:p w14:paraId="1B0FAAAA" w14:textId="77777777" w:rsidR="00EA2748" w:rsidRPr="004861E5" w:rsidRDefault="00D22265" w:rsidP="00C516EA">
            <w:pPr>
              <w:spacing w:line="276" w:lineRule="auto"/>
              <w:jc w:val="both"/>
              <w:rPr>
                <w:rFonts w:ascii="Arial" w:hAnsi="Arial" w:cs="Arial"/>
                <w:sz w:val="22"/>
                <w:szCs w:val="22"/>
              </w:rPr>
            </w:pPr>
            <w:r>
              <w:rPr>
                <w:rFonts w:ascii="Arial" w:hAnsi="Arial" w:cs="Arial"/>
                <w:sz w:val="22"/>
                <w:szCs w:val="22"/>
              </w:rPr>
              <w:t>-</w:t>
            </w:r>
          </w:p>
        </w:tc>
      </w:tr>
      <w:tr w:rsidR="00EA2748" w:rsidRPr="0007074B" w14:paraId="4727CCAD" w14:textId="77777777" w:rsidTr="00B460D5">
        <w:tc>
          <w:tcPr>
            <w:tcW w:w="2802" w:type="dxa"/>
          </w:tcPr>
          <w:p w14:paraId="4A7BCAEE" w14:textId="77777777" w:rsidR="00EA2748" w:rsidRPr="004861E5" w:rsidRDefault="00EA2748" w:rsidP="00C51B65">
            <w:pPr>
              <w:spacing w:line="276" w:lineRule="auto"/>
              <w:rPr>
                <w:rFonts w:ascii="Arial" w:hAnsi="Arial" w:cs="Arial"/>
                <w:sz w:val="22"/>
                <w:szCs w:val="22"/>
              </w:rPr>
            </w:pPr>
            <w:r w:rsidRPr="004861E5">
              <w:rPr>
                <w:rFonts w:ascii="Arial" w:hAnsi="Arial" w:cs="Arial"/>
                <w:sz w:val="22"/>
                <w:szCs w:val="22"/>
              </w:rPr>
              <w:t xml:space="preserve">Frekvence výstupu: </w:t>
            </w:r>
          </w:p>
        </w:tc>
        <w:tc>
          <w:tcPr>
            <w:tcW w:w="6486" w:type="dxa"/>
          </w:tcPr>
          <w:p w14:paraId="0A24F716" w14:textId="5172E401" w:rsidR="00EA2748" w:rsidRPr="004861E5" w:rsidRDefault="00F619F4" w:rsidP="00C516EA">
            <w:pPr>
              <w:spacing w:line="276" w:lineRule="auto"/>
              <w:jc w:val="both"/>
              <w:rPr>
                <w:rFonts w:ascii="Arial" w:hAnsi="Arial" w:cs="Arial"/>
                <w:sz w:val="22"/>
                <w:szCs w:val="22"/>
              </w:rPr>
            </w:pPr>
            <w:r>
              <w:rPr>
                <w:rFonts w:ascii="Arial" w:hAnsi="Arial" w:cs="Arial"/>
                <w:sz w:val="22"/>
                <w:szCs w:val="22"/>
              </w:rPr>
              <w:t>Jednou</w:t>
            </w:r>
            <w:r w:rsidR="00EA2748" w:rsidRPr="004861E5">
              <w:rPr>
                <w:rFonts w:ascii="Arial" w:hAnsi="Arial" w:cs="Arial"/>
                <w:sz w:val="22"/>
                <w:szCs w:val="22"/>
              </w:rPr>
              <w:t xml:space="preserve"> za programové období EU</w:t>
            </w:r>
          </w:p>
        </w:tc>
      </w:tr>
      <w:tr w:rsidR="00EA2748" w:rsidRPr="0007074B" w14:paraId="35F9C138" w14:textId="77777777" w:rsidTr="00B460D5">
        <w:trPr>
          <w:trHeight w:val="70"/>
        </w:trPr>
        <w:tc>
          <w:tcPr>
            <w:tcW w:w="2802" w:type="dxa"/>
          </w:tcPr>
          <w:p w14:paraId="5CE3DFD7" w14:textId="77777777" w:rsidR="00EA2748" w:rsidRPr="004861E5" w:rsidRDefault="00EA2748" w:rsidP="00C51B65">
            <w:pPr>
              <w:spacing w:line="276" w:lineRule="auto"/>
              <w:rPr>
                <w:rFonts w:ascii="Arial" w:hAnsi="Arial" w:cs="Arial"/>
                <w:sz w:val="22"/>
                <w:szCs w:val="22"/>
              </w:rPr>
            </w:pPr>
            <w:r w:rsidRPr="004861E5">
              <w:rPr>
                <w:rFonts w:ascii="Arial" w:hAnsi="Arial" w:cs="Arial"/>
                <w:sz w:val="22"/>
                <w:szCs w:val="22"/>
              </w:rPr>
              <w:t xml:space="preserve">Členění indikátoru: </w:t>
            </w:r>
          </w:p>
        </w:tc>
        <w:tc>
          <w:tcPr>
            <w:tcW w:w="6486" w:type="dxa"/>
          </w:tcPr>
          <w:p w14:paraId="2D0F1086" w14:textId="3DCE42DA" w:rsidR="00EA2748" w:rsidRPr="004861E5" w:rsidRDefault="00795F94" w:rsidP="00C516EA">
            <w:pPr>
              <w:spacing w:line="276" w:lineRule="auto"/>
              <w:jc w:val="both"/>
              <w:rPr>
                <w:rFonts w:ascii="Arial" w:hAnsi="Arial" w:cs="Arial"/>
                <w:sz w:val="22"/>
                <w:szCs w:val="22"/>
              </w:rPr>
            </w:pPr>
            <w:r>
              <w:rPr>
                <w:rFonts w:ascii="Arial" w:hAnsi="Arial" w:cs="Arial"/>
                <w:sz w:val="22"/>
                <w:szCs w:val="22"/>
              </w:rPr>
              <w:t>D</w:t>
            </w:r>
            <w:r w:rsidR="00EA2748" w:rsidRPr="004861E5">
              <w:rPr>
                <w:rFonts w:ascii="Arial" w:hAnsi="Arial" w:cs="Arial"/>
                <w:sz w:val="22"/>
                <w:szCs w:val="22"/>
              </w:rPr>
              <w:t>le krajů</w:t>
            </w:r>
          </w:p>
        </w:tc>
      </w:tr>
      <w:tr w:rsidR="00EA2748" w:rsidRPr="0007074B" w14:paraId="3B40237F" w14:textId="77777777" w:rsidTr="00B460D5">
        <w:trPr>
          <w:trHeight w:val="70"/>
        </w:trPr>
        <w:tc>
          <w:tcPr>
            <w:tcW w:w="2802" w:type="dxa"/>
          </w:tcPr>
          <w:p w14:paraId="49764155" w14:textId="77777777" w:rsidR="00EA2748" w:rsidRPr="004861E5" w:rsidRDefault="00EA2748" w:rsidP="00C51B65">
            <w:pPr>
              <w:spacing w:line="276" w:lineRule="auto"/>
              <w:rPr>
                <w:rFonts w:ascii="Arial" w:hAnsi="Arial" w:cs="Arial"/>
                <w:sz w:val="22"/>
                <w:szCs w:val="22"/>
              </w:rPr>
            </w:pPr>
            <w:r w:rsidRPr="004861E5">
              <w:rPr>
                <w:rFonts w:ascii="Arial" w:hAnsi="Arial" w:cs="Arial"/>
                <w:sz w:val="22"/>
                <w:szCs w:val="22"/>
              </w:rPr>
              <w:t>Mezinárodní srovnání:</w:t>
            </w:r>
          </w:p>
        </w:tc>
        <w:tc>
          <w:tcPr>
            <w:tcW w:w="6486" w:type="dxa"/>
          </w:tcPr>
          <w:p w14:paraId="58B5385D" w14:textId="4AF08450" w:rsidR="00EA2748" w:rsidRPr="004861E5" w:rsidRDefault="00795F94" w:rsidP="00C51B65">
            <w:pPr>
              <w:spacing w:line="276" w:lineRule="auto"/>
              <w:rPr>
                <w:rFonts w:ascii="Arial" w:hAnsi="Arial" w:cs="Arial"/>
                <w:sz w:val="22"/>
                <w:szCs w:val="22"/>
              </w:rPr>
            </w:pPr>
            <w:r>
              <w:rPr>
                <w:rFonts w:ascii="Arial" w:hAnsi="Arial" w:cs="Arial"/>
                <w:sz w:val="22"/>
                <w:szCs w:val="22"/>
              </w:rPr>
              <w:t>EU</w:t>
            </w:r>
          </w:p>
        </w:tc>
      </w:tr>
    </w:tbl>
    <w:p w14:paraId="269EA591" w14:textId="77777777" w:rsidR="00EA2748" w:rsidRPr="0007074B" w:rsidRDefault="00EA2748" w:rsidP="00C51B65">
      <w:pPr>
        <w:spacing w:line="276" w:lineRule="auto"/>
        <w:ind w:left="709"/>
        <w:jc w:val="both"/>
        <w:rPr>
          <w:rFonts w:ascii="Arial" w:eastAsia="Calibri" w:hAnsi="Arial" w:cs="Arial"/>
          <w:i/>
          <w:sz w:val="22"/>
          <w:szCs w:val="22"/>
        </w:rPr>
      </w:pPr>
    </w:p>
    <w:tbl>
      <w:tblPr>
        <w:tblStyle w:val="Mkatabulky"/>
        <w:tblW w:w="0" w:type="auto"/>
        <w:tblLook w:val="04A0" w:firstRow="1" w:lastRow="0" w:firstColumn="1" w:lastColumn="0" w:noHBand="0" w:noVBand="1"/>
      </w:tblPr>
      <w:tblGrid>
        <w:gridCol w:w="2802"/>
        <w:gridCol w:w="6486"/>
      </w:tblGrid>
      <w:tr w:rsidR="00EA2748" w:rsidRPr="0007074B" w14:paraId="76EC2A8B" w14:textId="77777777" w:rsidTr="00B460D5">
        <w:tc>
          <w:tcPr>
            <w:tcW w:w="2802" w:type="dxa"/>
          </w:tcPr>
          <w:p w14:paraId="2F426AC4"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Název a označení indikátoru: </w:t>
            </w:r>
          </w:p>
        </w:tc>
        <w:tc>
          <w:tcPr>
            <w:tcW w:w="6486" w:type="dxa"/>
          </w:tcPr>
          <w:p w14:paraId="2206B8CC" w14:textId="77777777" w:rsidR="00EA2748" w:rsidRPr="00457014" w:rsidRDefault="00D22265" w:rsidP="00C51B65">
            <w:pPr>
              <w:spacing w:line="276" w:lineRule="auto"/>
              <w:rPr>
                <w:rFonts w:ascii="Arial" w:eastAsia="Arial" w:hAnsi="Arial" w:cs="Arial"/>
                <w:b/>
                <w:color w:val="000000"/>
                <w:sz w:val="22"/>
                <w:szCs w:val="22"/>
              </w:rPr>
            </w:pPr>
            <w:r>
              <w:rPr>
                <w:rFonts w:ascii="Arial" w:eastAsia="Arial" w:hAnsi="Arial" w:cs="Arial"/>
                <w:b/>
                <w:color w:val="000000"/>
                <w:sz w:val="22"/>
                <w:szCs w:val="22"/>
              </w:rPr>
              <w:t>18</w:t>
            </w:r>
            <w:r w:rsidR="00EA2748" w:rsidRPr="00457014">
              <w:rPr>
                <w:rFonts w:ascii="Arial" w:eastAsia="Arial" w:hAnsi="Arial" w:cs="Arial"/>
                <w:b/>
                <w:color w:val="000000"/>
                <w:sz w:val="22"/>
                <w:szCs w:val="22"/>
              </w:rPr>
              <w:t xml:space="preserve">.3.3 </w:t>
            </w:r>
            <w:r w:rsidR="00EA2748">
              <w:rPr>
                <w:rFonts w:ascii="Arial" w:eastAsia="Arial" w:hAnsi="Arial" w:cs="Arial"/>
                <w:b/>
                <w:color w:val="000000"/>
                <w:sz w:val="22"/>
                <w:szCs w:val="22"/>
              </w:rPr>
              <w:t>Počet obcí uskutečňujících participativní</w:t>
            </w:r>
            <w:r w:rsidR="00EA2748" w:rsidRPr="00457014">
              <w:rPr>
                <w:rFonts w:ascii="Arial" w:eastAsia="Arial" w:hAnsi="Arial" w:cs="Arial"/>
                <w:b/>
                <w:color w:val="000000"/>
                <w:sz w:val="22"/>
                <w:szCs w:val="22"/>
              </w:rPr>
              <w:t xml:space="preserve"> rozpočtování</w:t>
            </w:r>
          </w:p>
        </w:tc>
      </w:tr>
      <w:tr w:rsidR="00EA2748" w:rsidRPr="0007074B" w14:paraId="451E127B" w14:textId="77777777" w:rsidTr="00B460D5">
        <w:tc>
          <w:tcPr>
            <w:tcW w:w="2802" w:type="dxa"/>
          </w:tcPr>
          <w:p w14:paraId="5D291ECA"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Stručná definice: </w:t>
            </w:r>
          </w:p>
        </w:tc>
        <w:tc>
          <w:tcPr>
            <w:tcW w:w="6486" w:type="dxa"/>
          </w:tcPr>
          <w:p w14:paraId="0D8F14CF" w14:textId="77777777" w:rsidR="00EA2748" w:rsidRPr="0007074B" w:rsidRDefault="00EA2748" w:rsidP="00C516EA">
            <w:pPr>
              <w:spacing w:line="276" w:lineRule="auto"/>
              <w:jc w:val="both"/>
              <w:rPr>
                <w:rFonts w:ascii="Arial" w:hAnsi="Arial" w:cs="Arial"/>
                <w:sz w:val="22"/>
                <w:szCs w:val="22"/>
              </w:rPr>
            </w:pPr>
            <w:r>
              <w:rPr>
                <w:rFonts w:ascii="Arial" w:hAnsi="Arial" w:cs="Arial"/>
                <w:sz w:val="22"/>
                <w:szCs w:val="22"/>
              </w:rPr>
              <w:t xml:space="preserve">Počet obcí </w:t>
            </w:r>
            <w:r w:rsidRPr="004C002E">
              <w:rPr>
                <w:rFonts w:ascii="Arial" w:hAnsi="Arial" w:cs="Arial"/>
                <w:sz w:val="22"/>
                <w:szCs w:val="22"/>
              </w:rPr>
              <w:t>uskutečňujících participativní rozpočtování</w:t>
            </w:r>
            <w:r>
              <w:rPr>
                <w:rFonts w:ascii="Arial" w:hAnsi="Arial" w:cs="Arial"/>
                <w:sz w:val="22"/>
                <w:szCs w:val="22"/>
              </w:rPr>
              <w:t xml:space="preserve"> a objem </w:t>
            </w:r>
            <w:r w:rsidR="002F629F">
              <w:rPr>
                <w:rFonts w:ascii="Arial" w:hAnsi="Arial" w:cs="Arial"/>
                <w:sz w:val="22"/>
                <w:szCs w:val="22"/>
              </w:rPr>
              <w:t xml:space="preserve">jimi </w:t>
            </w:r>
            <w:r>
              <w:rPr>
                <w:rFonts w:ascii="Arial" w:hAnsi="Arial" w:cs="Arial"/>
                <w:sz w:val="22"/>
                <w:szCs w:val="22"/>
              </w:rPr>
              <w:t>přerozdělených finančních prostředků</w:t>
            </w:r>
            <w:r w:rsidR="00D22265">
              <w:rPr>
                <w:rFonts w:ascii="Arial" w:hAnsi="Arial" w:cs="Arial"/>
                <w:sz w:val="22"/>
                <w:szCs w:val="22"/>
              </w:rPr>
              <w:t>.</w:t>
            </w:r>
          </w:p>
        </w:tc>
      </w:tr>
      <w:tr w:rsidR="00EA2748" w:rsidRPr="0007074B" w14:paraId="3B807DFC" w14:textId="77777777" w:rsidTr="00B460D5">
        <w:tc>
          <w:tcPr>
            <w:tcW w:w="2802" w:type="dxa"/>
          </w:tcPr>
          <w:p w14:paraId="2DB7C4E3"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Jednotka:</w:t>
            </w:r>
          </w:p>
        </w:tc>
        <w:tc>
          <w:tcPr>
            <w:tcW w:w="6486" w:type="dxa"/>
          </w:tcPr>
          <w:p w14:paraId="7E0907E3" w14:textId="77777777" w:rsidR="00EA2748" w:rsidRPr="0007074B" w:rsidRDefault="00EA2748" w:rsidP="00C516EA">
            <w:pPr>
              <w:spacing w:line="276" w:lineRule="auto"/>
              <w:jc w:val="both"/>
              <w:rPr>
                <w:rFonts w:ascii="Arial" w:hAnsi="Arial" w:cs="Arial"/>
                <w:sz w:val="22"/>
                <w:szCs w:val="22"/>
              </w:rPr>
            </w:pPr>
            <w:r>
              <w:rPr>
                <w:rFonts w:ascii="Arial" w:hAnsi="Arial" w:cs="Arial"/>
                <w:sz w:val="22"/>
                <w:szCs w:val="22"/>
              </w:rPr>
              <w:t>Počet</w:t>
            </w:r>
          </w:p>
        </w:tc>
      </w:tr>
      <w:tr w:rsidR="00EA2748" w:rsidRPr="0007074B" w14:paraId="41CB1BFA" w14:textId="77777777" w:rsidTr="00B460D5">
        <w:tc>
          <w:tcPr>
            <w:tcW w:w="2802" w:type="dxa"/>
          </w:tcPr>
          <w:p w14:paraId="4B6E0363"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Gestor: </w:t>
            </w:r>
          </w:p>
        </w:tc>
        <w:tc>
          <w:tcPr>
            <w:tcW w:w="6486" w:type="dxa"/>
          </w:tcPr>
          <w:p w14:paraId="5684DACF" w14:textId="72FEFD91" w:rsidR="00EA2748" w:rsidRPr="0007074B" w:rsidRDefault="00D22265" w:rsidP="00C516EA">
            <w:pPr>
              <w:spacing w:line="276" w:lineRule="auto"/>
              <w:jc w:val="both"/>
              <w:rPr>
                <w:rFonts w:ascii="Arial" w:hAnsi="Arial" w:cs="Arial"/>
                <w:sz w:val="22"/>
                <w:szCs w:val="22"/>
              </w:rPr>
            </w:pPr>
            <w:r>
              <w:rPr>
                <w:rFonts w:ascii="Arial" w:hAnsi="Arial" w:cs="Arial"/>
                <w:sz w:val="22"/>
                <w:szCs w:val="22"/>
              </w:rPr>
              <w:t>Úřad vlády</w:t>
            </w:r>
            <w:r w:rsidR="00EA2748">
              <w:rPr>
                <w:rFonts w:ascii="Arial" w:hAnsi="Arial" w:cs="Arial"/>
                <w:sz w:val="22"/>
                <w:szCs w:val="22"/>
              </w:rPr>
              <w:t xml:space="preserve"> (ve spolupráci s D</w:t>
            </w:r>
            <w:r w:rsidR="00F256C2">
              <w:rPr>
                <w:rFonts w:ascii="Arial" w:hAnsi="Arial" w:cs="Arial"/>
                <w:sz w:val="22"/>
                <w:szCs w:val="22"/>
              </w:rPr>
              <w:t>emokracie</w:t>
            </w:r>
            <w:r w:rsidR="00EA2748">
              <w:rPr>
                <w:rFonts w:ascii="Arial" w:hAnsi="Arial" w:cs="Arial"/>
                <w:sz w:val="22"/>
                <w:szCs w:val="22"/>
              </w:rPr>
              <w:t xml:space="preserve"> 2</w:t>
            </w:r>
            <w:r w:rsidR="00F256C2">
              <w:rPr>
                <w:rFonts w:ascii="Arial" w:hAnsi="Arial" w:cs="Arial"/>
                <w:sz w:val="22"/>
                <w:szCs w:val="22"/>
              </w:rPr>
              <w:t>.</w:t>
            </w:r>
            <w:r w:rsidR="00EA2748">
              <w:rPr>
                <w:rFonts w:ascii="Arial" w:hAnsi="Arial" w:cs="Arial"/>
                <w:sz w:val="22"/>
                <w:szCs w:val="22"/>
              </w:rPr>
              <w:t>1</w:t>
            </w:r>
            <w:r w:rsidR="00F256C2">
              <w:rPr>
                <w:rFonts w:ascii="Arial" w:hAnsi="Arial" w:cs="Arial"/>
                <w:sz w:val="22"/>
                <w:szCs w:val="22"/>
              </w:rPr>
              <w:t xml:space="preserve"> s.r.o.</w:t>
            </w:r>
            <w:r w:rsidR="00EA2748">
              <w:rPr>
                <w:rFonts w:ascii="Arial" w:hAnsi="Arial" w:cs="Arial"/>
                <w:sz w:val="22"/>
                <w:szCs w:val="22"/>
              </w:rPr>
              <w:t>)</w:t>
            </w:r>
          </w:p>
        </w:tc>
      </w:tr>
      <w:tr w:rsidR="00EA2748" w:rsidRPr="0007074B" w14:paraId="29381E67" w14:textId="77777777" w:rsidTr="00B460D5">
        <w:tc>
          <w:tcPr>
            <w:tcW w:w="2802" w:type="dxa"/>
          </w:tcPr>
          <w:p w14:paraId="27FD2B6D"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Význam indikátoru: </w:t>
            </w:r>
          </w:p>
        </w:tc>
        <w:tc>
          <w:tcPr>
            <w:tcW w:w="6486" w:type="dxa"/>
          </w:tcPr>
          <w:p w14:paraId="3677B3C3" w14:textId="7BF031AA" w:rsidR="00EA2748" w:rsidRPr="0007074B" w:rsidRDefault="00EA2748" w:rsidP="00C516EA">
            <w:pPr>
              <w:spacing w:line="276" w:lineRule="auto"/>
              <w:jc w:val="both"/>
              <w:rPr>
                <w:rFonts w:ascii="Arial" w:hAnsi="Arial" w:cs="Arial"/>
                <w:sz w:val="22"/>
                <w:szCs w:val="22"/>
              </w:rPr>
            </w:pPr>
            <w:r>
              <w:rPr>
                <w:rFonts w:ascii="Arial" w:hAnsi="Arial" w:cs="Arial"/>
                <w:sz w:val="22"/>
                <w:szCs w:val="22"/>
              </w:rPr>
              <w:t>P</w:t>
            </w:r>
            <w:r w:rsidRPr="004C002E">
              <w:rPr>
                <w:rFonts w:ascii="Arial" w:hAnsi="Arial" w:cs="Arial"/>
                <w:sz w:val="22"/>
                <w:szCs w:val="22"/>
              </w:rPr>
              <w:t>articipativní rozpočtování</w:t>
            </w:r>
            <w:r>
              <w:rPr>
                <w:rFonts w:ascii="Arial" w:hAnsi="Arial" w:cs="Arial"/>
                <w:sz w:val="22"/>
                <w:szCs w:val="22"/>
              </w:rPr>
              <w:t xml:space="preserve"> je nástrojem aktivního zapojení občanů do rozvoje obce, které může být odděleno od využívání </w:t>
            </w:r>
            <w:r>
              <w:rPr>
                <w:rFonts w:ascii="Arial" w:hAnsi="Arial" w:cs="Arial"/>
                <w:sz w:val="22"/>
                <w:szCs w:val="22"/>
              </w:rPr>
              <w:lastRenderedPageBreak/>
              <w:t>dalších participativních metod a nástrojů dosud využívaných municipalitami.</w:t>
            </w:r>
            <w:r w:rsidR="00FB2B7A">
              <w:rPr>
                <w:rFonts w:ascii="Arial" w:hAnsi="Arial" w:cs="Arial"/>
                <w:sz w:val="22"/>
                <w:szCs w:val="22"/>
              </w:rPr>
              <w:t xml:space="preserve"> Participativní rozpočtování se zakládá na vyčlenění jisté části obecného rozpočtu, který je rozdělován mezi projekty, které navrhují a následně o nich rozhodují obyvatelé dané municipality. </w:t>
            </w:r>
          </w:p>
        </w:tc>
      </w:tr>
      <w:tr w:rsidR="00EA2748" w:rsidRPr="0007074B" w14:paraId="1A8768C7" w14:textId="77777777" w:rsidTr="00B460D5">
        <w:tc>
          <w:tcPr>
            <w:tcW w:w="2802" w:type="dxa"/>
          </w:tcPr>
          <w:p w14:paraId="68F311BC"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lastRenderedPageBreak/>
              <w:t xml:space="preserve">Časová řada: </w:t>
            </w:r>
          </w:p>
        </w:tc>
        <w:tc>
          <w:tcPr>
            <w:tcW w:w="6486" w:type="dxa"/>
          </w:tcPr>
          <w:p w14:paraId="4FFC3B9A" w14:textId="77777777" w:rsidR="00EA2748" w:rsidRPr="0007074B" w:rsidRDefault="00D22265" w:rsidP="00C516EA">
            <w:pPr>
              <w:spacing w:line="276" w:lineRule="auto"/>
              <w:jc w:val="both"/>
              <w:rPr>
                <w:rFonts w:ascii="Arial" w:hAnsi="Arial" w:cs="Arial"/>
                <w:sz w:val="22"/>
                <w:szCs w:val="22"/>
              </w:rPr>
            </w:pPr>
            <w:r>
              <w:rPr>
                <w:rFonts w:ascii="Arial" w:hAnsi="Arial" w:cs="Arial"/>
                <w:sz w:val="22"/>
                <w:szCs w:val="22"/>
              </w:rPr>
              <w:t>O</w:t>
            </w:r>
            <w:r w:rsidR="00EA2748">
              <w:rPr>
                <w:rFonts w:ascii="Arial" w:hAnsi="Arial" w:cs="Arial"/>
                <w:sz w:val="22"/>
                <w:szCs w:val="22"/>
              </w:rPr>
              <w:t xml:space="preserve">d </w:t>
            </w:r>
            <w:r>
              <w:rPr>
                <w:rFonts w:ascii="Arial" w:hAnsi="Arial" w:cs="Arial"/>
                <w:sz w:val="22"/>
                <w:szCs w:val="22"/>
              </w:rPr>
              <w:t xml:space="preserve">roku </w:t>
            </w:r>
            <w:r w:rsidR="00EA2748">
              <w:rPr>
                <w:rFonts w:ascii="Arial" w:hAnsi="Arial" w:cs="Arial"/>
                <w:sz w:val="22"/>
                <w:szCs w:val="22"/>
              </w:rPr>
              <w:t>2017</w:t>
            </w:r>
          </w:p>
        </w:tc>
      </w:tr>
      <w:tr w:rsidR="00EA2748" w:rsidRPr="0007074B" w14:paraId="10AC33F9" w14:textId="77777777" w:rsidTr="00B460D5">
        <w:tc>
          <w:tcPr>
            <w:tcW w:w="2802" w:type="dxa"/>
          </w:tcPr>
          <w:p w14:paraId="57CB4800"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Frekvence výstupu: </w:t>
            </w:r>
          </w:p>
        </w:tc>
        <w:tc>
          <w:tcPr>
            <w:tcW w:w="6486" w:type="dxa"/>
          </w:tcPr>
          <w:p w14:paraId="2C95FA33" w14:textId="77777777" w:rsidR="00EA2748" w:rsidRPr="0007074B" w:rsidRDefault="00D22265" w:rsidP="00C516EA">
            <w:pPr>
              <w:spacing w:line="276" w:lineRule="auto"/>
              <w:jc w:val="both"/>
              <w:rPr>
                <w:rFonts w:ascii="Arial" w:hAnsi="Arial" w:cs="Arial"/>
                <w:sz w:val="22"/>
                <w:szCs w:val="22"/>
              </w:rPr>
            </w:pPr>
            <w:r>
              <w:rPr>
                <w:rFonts w:ascii="Arial" w:hAnsi="Arial" w:cs="Arial"/>
                <w:sz w:val="22"/>
                <w:szCs w:val="22"/>
              </w:rPr>
              <w:t>R</w:t>
            </w:r>
            <w:r w:rsidR="00EA2748">
              <w:rPr>
                <w:rFonts w:ascii="Arial" w:hAnsi="Arial" w:cs="Arial"/>
                <w:sz w:val="22"/>
                <w:szCs w:val="22"/>
              </w:rPr>
              <w:t>očně</w:t>
            </w:r>
          </w:p>
        </w:tc>
      </w:tr>
      <w:tr w:rsidR="00EA2748" w:rsidRPr="0007074B" w14:paraId="4BF8E497" w14:textId="77777777" w:rsidTr="00B460D5">
        <w:trPr>
          <w:trHeight w:val="70"/>
        </w:trPr>
        <w:tc>
          <w:tcPr>
            <w:tcW w:w="2802" w:type="dxa"/>
          </w:tcPr>
          <w:p w14:paraId="395288D6"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Členění indikátoru: </w:t>
            </w:r>
          </w:p>
        </w:tc>
        <w:tc>
          <w:tcPr>
            <w:tcW w:w="6486" w:type="dxa"/>
          </w:tcPr>
          <w:p w14:paraId="0BD38097" w14:textId="7E117D41" w:rsidR="00EA2748" w:rsidRPr="0007074B" w:rsidRDefault="00D22265" w:rsidP="00C516EA">
            <w:pPr>
              <w:spacing w:line="276" w:lineRule="auto"/>
              <w:jc w:val="both"/>
              <w:rPr>
                <w:rFonts w:ascii="Arial" w:hAnsi="Arial" w:cs="Arial"/>
                <w:sz w:val="22"/>
                <w:szCs w:val="22"/>
              </w:rPr>
            </w:pPr>
            <w:r>
              <w:rPr>
                <w:rFonts w:ascii="Arial" w:hAnsi="Arial" w:cs="Arial"/>
                <w:sz w:val="22"/>
                <w:szCs w:val="22"/>
              </w:rPr>
              <w:t>P</w:t>
            </w:r>
            <w:r w:rsidR="00EA2748">
              <w:rPr>
                <w:rFonts w:ascii="Arial" w:hAnsi="Arial" w:cs="Arial"/>
                <w:sz w:val="22"/>
                <w:szCs w:val="22"/>
              </w:rPr>
              <w:t>očet obcí</w:t>
            </w:r>
            <w:r w:rsidR="00267BA8">
              <w:rPr>
                <w:rFonts w:ascii="Arial" w:hAnsi="Arial" w:cs="Arial"/>
                <w:sz w:val="22"/>
                <w:szCs w:val="22"/>
              </w:rPr>
              <w:t>, o</w:t>
            </w:r>
            <w:r w:rsidR="00EA2748">
              <w:rPr>
                <w:rFonts w:ascii="Arial" w:hAnsi="Arial" w:cs="Arial"/>
                <w:sz w:val="22"/>
                <w:szCs w:val="22"/>
              </w:rPr>
              <w:t>bjem přerozdělených finančních prostředků</w:t>
            </w:r>
          </w:p>
        </w:tc>
      </w:tr>
      <w:tr w:rsidR="00EA2748" w:rsidRPr="0007074B" w14:paraId="01AAC544" w14:textId="77777777" w:rsidTr="00B460D5">
        <w:trPr>
          <w:trHeight w:val="70"/>
        </w:trPr>
        <w:tc>
          <w:tcPr>
            <w:tcW w:w="2802" w:type="dxa"/>
          </w:tcPr>
          <w:p w14:paraId="2666567D"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Mezinárodní srovnání:</w:t>
            </w:r>
          </w:p>
        </w:tc>
        <w:tc>
          <w:tcPr>
            <w:tcW w:w="6486" w:type="dxa"/>
          </w:tcPr>
          <w:p w14:paraId="3F10C6E3" w14:textId="77777777" w:rsidR="00EA2748" w:rsidRPr="0007074B" w:rsidRDefault="00D22265" w:rsidP="00C516EA">
            <w:pPr>
              <w:spacing w:line="276" w:lineRule="auto"/>
              <w:jc w:val="both"/>
              <w:rPr>
                <w:rFonts w:ascii="Arial" w:hAnsi="Arial" w:cs="Arial"/>
                <w:sz w:val="22"/>
                <w:szCs w:val="22"/>
              </w:rPr>
            </w:pPr>
            <w:r>
              <w:rPr>
                <w:rFonts w:ascii="Arial" w:hAnsi="Arial" w:cs="Arial"/>
                <w:sz w:val="22"/>
                <w:szCs w:val="22"/>
              </w:rPr>
              <w:t>-</w:t>
            </w:r>
          </w:p>
        </w:tc>
      </w:tr>
    </w:tbl>
    <w:p w14:paraId="0F5E6A2B" w14:textId="77777777" w:rsidR="00D22265" w:rsidRPr="00D22265" w:rsidRDefault="00D22265" w:rsidP="00C516EA">
      <w:pPr>
        <w:pStyle w:val="r2030cle"/>
        <w:numPr>
          <w:ilvl w:val="0"/>
          <w:numId w:val="17"/>
        </w:numPr>
        <w:ind w:left="567" w:hanging="425"/>
        <w:jc w:val="both"/>
      </w:pPr>
      <w:r w:rsidRPr="00D22265">
        <w:t>Města a obce omezila emise skleníkových plynů a adaptovala se na změnu klimatu.</w:t>
      </w:r>
    </w:p>
    <w:p w14:paraId="341BAA66" w14:textId="77777777" w:rsidR="00EA2748" w:rsidRPr="009C0D10" w:rsidRDefault="00D22265" w:rsidP="00C516EA">
      <w:pPr>
        <w:pStyle w:val="r2030podcle"/>
        <w:numPr>
          <w:ilvl w:val="1"/>
          <w:numId w:val="17"/>
        </w:numPr>
        <w:ind w:left="567" w:hanging="425"/>
        <w:jc w:val="both"/>
      </w:pPr>
      <w:r w:rsidRPr="00D22265">
        <w:t>Obce III. stupně předcházejí dopadům změny klimatu a jsou schopny se jim přizpůsobit.</w:t>
      </w:r>
    </w:p>
    <w:tbl>
      <w:tblPr>
        <w:tblStyle w:val="Mkatabulky"/>
        <w:tblW w:w="0" w:type="auto"/>
        <w:shd w:val="pct15" w:color="auto" w:fill="auto"/>
        <w:tblLook w:val="04A0" w:firstRow="1" w:lastRow="0" w:firstColumn="1" w:lastColumn="0" w:noHBand="0" w:noVBand="1"/>
      </w:tblPr>
      <w:tblGrid>
        <w:gridCol w:w="2802"/>
        <w:gridCol w:w="6486"/>
      </w:tblGrid>
      <w:tr w:rsidR="00477E8D" w:rsidRPr="00477E8D" w14:paraId="2A6CCC72" w14:textId="77777777" w:rsidTr="00477E8D">
        <w:tc>
          <w:tcPr>
            <w:tcW w:w="2802" w:type="dxa"/>
            <w:shd w:val="pct15" w:color="auto" w:fill="auto"/>
          </w:tcPr>
          <w:p w14:paraId="2464CD12" w14:textId="77777777" w:rsidR="00EA2748" w:rsidRPr="00477E8D" w:rsidRDefault="00EA2748" w:rsidP="00C51B65">
            <w:pPr>
              <w:spacing w:line="276" w:lineRule="auto"/>
              <w:rPr>
                <w:rFonts w:ascii="Arial" w:hAnsi="Arial" w:cs="Arial"/>
                <w:sz w:val="22"/>
                <w:szCs w:val="22"/>
              </w:rPr>
            </w:pPr>
            <w:r w:rsidRPr="00477E8D">
              <w:rPr>
                <w:rFonts w:ascii="Arial" w:hAnsi="Arial" w:cs="Arial"/>
                <w:sz w:val="22"/>
                <w:szCs w:val="22"/>
              </w:rPr>
              <w:t xml:space="preserve">Název a označení indikátoru: </w:t>
            </w:r>
          </w:p>
        </w:tc>
        <w:tc>
          <w:tcPr>
            <w:tcW w:w="6486" w:type="dxa"/>
            <w:shd w:val="pct15" w:color="auto" w:fill="auto"/>
          </w:tcPr>
          <w:p w14:paraId="4A1BDFFD" w14:textId="77777777" w:rsidR="00EA2748" w:rsidRPr="00477E8D" w:rsidRDefault="00D22265" w:rsidP="00C51B65">
            <w:pPr>
              <w:spacing w:line="276" w:lineRule="auto"/>
              <w:rPr>
                <w:rFonts w:ascii="Arial" w:eastAsia="Arial" w:hAnsi="Arial" w:cs="Arial"/>
                <w:b/>
                <w:sz w:val="22"/>
                <w:szCs w:val="22"/>
              </w:rPr>
            </w:pPr>
            <w:r>
              <w:rPr>
                <w:rFonts w:ascii="Arial" w:eastAsia="Arial" w:hAnsi="Arial" w:cs="Arial"/>
                <w:b/>
                <w:sz w:val="22"/>
                <w:szCs w:val="22"/>
              </w:rPr>
              <w:t>19</w:t>
            </w:r>
            <w:r w:rsidR="00EA2748" w:rsidRPr="00477E8D">
              <w:rPr>
                <w:rFonts w:ascii="Arial" w:eastAsia="Arial" w:hAnsi="Arial" w:cs="Arial"/>
                <w:b/>
                <w:sz w:val="22"/>
                <w:szCs w:val="22"/>
              </w:rPr>
              <w:t>.1.1 Podíl integrovaných strategií obcí III. stupně obsahujících problematiku změny klimatu</w:t>
            </w:r>
          </w:p>
        </w:tc>
      </w:tr>
      <w:tr w:rsidR="00477E8D" w:rsidRPr="00477E8D" w14:paraId="707AECC2" w14:textId="77777777" w:rsidTr="00477E8D">
        <w:trPr>
          <w:trHeight w:val="354"/>
        </w:trPr>
        <w:tc>
          <w:tcPr>
            <w:tcW w:w="2802" w:type="dxa"/>
            <w:shd w:val="pct15" w:color="auto" w:fill="auto"/>
          </w:tcPr>
          <w:p w14:paraId="2AEBFB98" w14:textId="77777777" w:rsidR="00EA2748" w:rsidRPr="00477E8D" w:rsidRDefault="00EA2748" w:rsidP="00C51B65">
            <w:pPr>
              <w:spacing w:line="276" w:lineRule="auto"/>
              <w:rPr>
                <w:rFonts w:ascii="Arial" w:hAnsi="Arial" w:cs="Arial"/>
                <w:sz w:val="22"/>
                <w:szCs w:val="22"/>
              </w:rPr>
            </w:pPr>
            <w:r w:rsidRPr="00477E8D">
              <w:rPr>
                <w:rFonts w:ascii="Arial" w:hAnsi="Arial" w:cs="Arial"/>
                <w:sz w:val="22"/>
                <w:szCs w:val="22"/>
              </w:rPr>
              <w:t xml:space="preserve">Stručná definice: </w:t>
            </w:r>
          </w:p>
        </w:tc>
        <w:tc>
          <w:tcPr>
            <w:tcW w:w="6486" w:type="dxa"/>
            <w:shd w:val="pct15" w:color="auto" w:fill="auto"/>
          </w:tcPr>
          <w:p w14:paraId="3A1FC951" w14:textId="77777777" w:rsidR="00EA2748" w:rsidRPr="00477E8D" w:rsidRDefault="00EA2748" w:rsidP="00C516EA">
            <w:pPr>
              <w:spacing w:line="276" w:lineRule="auto"/>
              <w:jc w:val="both"/>
              <w:rPr>
                <w:rFonts w:ascii="Arial" w:hAnsi="Arial" w:cs="Arial"/>
                <w:sz w:val="22"/>
                <w:szCs w:val="22"/>
              </w:rPr>
            </w:pPr>
            <w:r w:rsidRPr="00477E8D">
              <w:rPr>
                <w:rFonts w:ascii="Arial" w:hAnsi="Arial" w:cs="Arial"/>
                <w:sz w:val="22"/>
                <w:szCs w:val="22"/>
              </w:rPr>
              <w:t xml:space="preserve">Podíl integrovaných, resp. rozvojových strategií obcí III. stupně obsahujících problematiku změny klimatu (adaptace i </w:t>
            </w:r>
            <w:proofErr w:type="spellStart"/>
            <w:r w:rsidRPr="00477E8D">
              <w:rPr>
                <w:rFonts w:ascii="Arial" w:hAnsi="Arial" w:cs="Arial"/>
                <w:sz w:val="22"/>
                <w:szCs w:val="22"/>
              </w:rPr>
              <w:t>mitigace</w:t>
            </w:r>
            <w:proofErr w:type="spellEnd"/>
            <w:r w:rsidRPr="00477E8D">
              <w:rPr>
                <w:rFonts w:ascii="Arial" w:hAnsi="Arial" w:cs="Arial"/>
                <w:sz w:val="22"/>
                <w:szCs w:val="22"/>
              </w:rPr>
              <w:t>) na celkovém počtu lokálních strategií platných pro obce s rozšířenou působností (ORP)</w:t>
            </w:r>
          </w:p>
        </w:tc>
      </w:tr>
      <w:tr w:rsidR="00477E8D" w:rsidRPr="00477E8D" w14:paraId="7DDA5C9A" w14:textId="77777777" w:rsidTr="00477E8D">
        <w:tc>
          <w:tcPr>
            <w:tcW w:w="2802" w:type="dxa"/>
            <w:shd w:val="pct15" w:color="auto" w:fill="auto"/>
          </w:tcPr>
          <w:p w14:paraId="36D9C17E" w14:textId="77777777" w:rsidR="00EA2748" w:rsidRPr="00477E8D" w:rsidRDefault="00EA2748" w:rsidP="00C51B65">
            <w:pPr>
              <w:spacing w:line="276" w:lineRule="auto"/>
              <w:rPr>
                <w:rFonts w:ascii="Arial" w:hAnsi="Arial" w:cs="Arial"/>
                <w:sz w:val="22"/>
                <w:szCs w:val="22"/>
              </w:rPr>
            </w:pPr>
            <w:r w:rsidRPr="00477E8D">
              <w:rPr>
                <w:rFonts w:ascii="Arial" w:hAnsi="Arial" w:cs="Arial"/>
                <w:sz w:val="22"/>
                <w:szCs w:val="22"/>
              </w:rPr>
              <w:t>Jednotka:</w:t>
            </w:r>
          </w:p>
        </w:tc>
        <w:tc>
          <w:tcPr>
            <w:tcW w:w="6486" w:type="dxa"/>
            <w:shd w:val="pct15" w:color="auto" w:fill="auto"/>
          </w:tcPr>
          <w:p w14:paraId="5AE0D1B8" w14:textId="523D5071" w:rsidR="00EA2748" w:rsidRPr="00477E8D" w:rsidRDefault="00F30DA3" w:rsidP="00C516EA">
            <w:pPr>
              <w:spacing w:line="276" w:lineRule="auto"/>
              <w:jc w:val="both"/>
              <w:rPr>
                <w:rFonts w:ascii="Arial" w:hAnsi="Arial" w:cs="Arial"/>
                <w:sz w:val="22"/>
                <w:szCs w:val="22"/>
              </w:rPr>
            </w:pPr>
            <w:r>
              <w:rPr>
                <w:rFonts w:ascii="Arial" w:hAnsi="Arial" w:cs="Arial"/>
                <w:sz w:val="22"/>
                <w:szCs w:val="22"/>
              </w:rPr>
              <w:t>Podíl v (%)</w:t>
            </w:r>
          </w:p>
        </w:tc>
      </w:tr>
      <w:tr w:rsidR="00477E8D" w:rsidRPr="00477E8D" w14:paraId="0161CBCD" w14:textId="77777777" w:rsidTr="00477E8D">
        <w:tc>
          <w:tcPr>
            <w:tcW w:w="2802" w:type="dxa"/>
            <w:shd w:val="pct15" w:color="auto" w:fill="auto"/>
          </w:tcPr>
          <w:p w14:paraId="3D1F7B34" w14:textId="77777777" w:rsidR="00EA2748" w:rsidRPr="00477E8D" w:rsidRDefault="00EA2748" w:rsidP="00C51B65">
            <w:pPr>
              <w:spacing w:line="276" w:lineRule="auto"/>
              <w:rPr>
                <w:rFonts w:ascii="Arial" w:hAnsi="Arial" w:cs="Arial"/>
                <w:sz w:val="22"/>
                <w:szCs w:val="22"/>
              </w:rPr>
            </w:pPr>
            <w:r w:rsidRPr="00477E8D">
              <w:rPr>
                <w:rFonts w:ascii="Arial" w:hAnsi="Arial" w:cs="Arial"/>
                <w:sz w:val="22"/>
                <w:szCs w:val="22"/>
              </w:rPr>
              <w:t xml:space="preserve">Gestor: </w:t>
            </w:r>
          </w:p>
        </w:tc>
        <w:tc>
          <w:tcPr>
            <w:tcW w:w="6486" w:type="dxa"/>
            <w:shd w:val="pct15" w:color="auto" w:fill="auto"/>
          </w:tcPr>
          <w:p w14:paraId="7BC64C15" w14:textId="77777777" w:rsidR="00EA2748" w:rsidRPr="00477E8D" w:rsidRDefault="00D22265" w:rsidP="00C516EA">
            <w:pPr>
              <w:spacing w:line="276" w:lineRule="auto"/>
              <w:jc w:val="both"/>
              <w:rPr>
                <w:rFonts w:ascii="Arial" w:hAnsi="Arial" w:cs="Arial"/>
                <w:sz w:val="22"/>
                <w:szCs w:val="22"/>
              </w:rPr>
            </w:pPr>
            <w:r>
              <w:rPr>
                <w:rFonts w:ascii="Arial" w:hAnsi="Arial" w:cs="Arial"/>
                <w:sz w:val="22"/>
                <w:szCs w:val="22"/>
              </w:rPr>
              <w:t>Ministerstvo pro místní rozvoj</w:t>
            </w:r>
            <w:r w:rsidR="00EA2748" w:rsidRPr="00477E8D">
              <w:rPr>
                <w:rFonts w:ascii="Arial" w:hAnsi="Arial" w:cs="Arial"/>
                <w:sz w:val="22"/>
                <w:szCs w:val="22"/>
              </w:rPr>
              <w:t xml:space="preserve"> (nepotvrzeno)</w:t>
            </w:r>
          </w:p>
        </w:tc>
      </w:tr>
      <w:tr w:rsidR="00477E8D" w:rsidRPr="00477E8D" w14:paraId="7F5413F7" w14:textId="77777777" w:rsidTr="00477E8D">
        <w:tc>
          <w:tcPr>
            <w:tcW w:w="2802" w:type="dxa"/>
            <w:shd w:val="pct15" w:color="auto" w:fill="auto"/>
          </w:tcPr>
          <w:p w14:paraId="1FD428DA" w14:textId="77777777" w:rsidR="00EA2748" w:rsidRPr="00477E8D" w:rsidRDefault="00EA2748" w:rsidP="00C51B65">
            <w:pPr>
              <w:spacing w:line="276" w:lineRule="auto"/>
              <w:rPr>
                <w:rFonts w:ascii="Arial" w:hAnsi="Arial" w:cs="Arial"/>
                <w:sz w:val="22"/>
                <w:szCs w:val="22"/>
              </w:rPr>
            </w:pPr>
            <w:r w:rsidRPr="00477E8D">
              <w:rPr>
                <w:rFonts w:ascii="Arial" w:hAnsi="Arial" w:cs="Arial"/>
                <w:sz w:val="22"/>
                <w:szCs w:val="22"/>
              </w:rPr>
              <w:t xml:space="preserve">Význam indikátoru: </w:t>
            </w:r>
          </w:p>
        </w:tc>
        <w:tc>
          <w:tcPr>
            <w:tcW w:w="6486" w:type="dxa"/>
            <w:shd w:val="pct15" w:color="auto" w:fill="auto"/>
          </w:tcPr>
          <w:p w14:paraId="29300193" w14:textId="77777777" w:rsidR="00EA2748" w:rsidRPr="00477E8D" w:rsidRDefault="00EA2748" w:rsidP="00C516EA">
            <w:pPr>
              <w:spacing w:line="276" w:lineRule="auto"/>
              <w:jc w:val="both"/>
              <w:rPr>
                <w:rFonts w:ascii="Arial" w:hAnsi="Arial" w:cs="Arial"/>
                <w:sz w:val="22"/>
                <w:szCs w:val="22"/>
              </w:rPr>
            </w:pPr>
            <w:r w:rsidRPr="00477E8D">
              <w:rPr>
                <w:rFonts w:ascii="Arial" w:hAnsi="Arial" w:cs="Arial"/>
                <w:sz w:val="22"/>
                <w:szCs w:val="22"/>
              </w:rPr>
              <w:t>Předpokladem pro zvládnutí klimatické změny je fakt, že začne být uznávána jako problém na lokální úrovni a místní rozvojové strategie budou ve svých řešeních navazovat na vládní strategické a koncepční materiály v této oblasti. Vzhledem k vysokému počtu obcí (přes 6000) není realistické očekávat, že všechny obce budou disponovat vlastní rozvojovým dokumentem, proto se indikátor omezuje na obce s rozšířenou působností (ORP).</w:t>
            </w:r>
          </w:p>
          <w:p w14:paraId="31B9233B" w14:textId="77777777" w:rsidR="00EA2748" w:rsidRPr="00477E8D" w:rsidRDefault="00EA2748" w:rsidP="00C516EA">
            <w:pPr>
              <w:spacing w:line="276" w:lineRule="auto"/>
              <w:jc w:val="both"/>
              <w:rPr>
                <w:rFonts w:ascii="Arial" w:hAnsi="Arial" w:cs="Arial"/>
                <w:sz w:val="22"/>
                <w:szCs w:val="22"/>
              </w:rPr>
            </w:pPr>
          </w:p>
          <w:p w14:paraId="268960D2" w14:textId="77777777" w:rsidR="00EA2748" w:rsidRPr="00477E8D" w:rsidRDefault="00EA2748" w:rsidP="00C516EA">
            <w:pPr>
              <w:spacing w:line="276" w:lineRule="auto"/>
              <w:jc w:val="both"/>
              <w:rPr>
                <w:rFonts w:ascii="Arial" w:hAnsi="Arial" w:cs="Arial"/>
                <w:sz w:val="22"/>
                <w:szCs w:val="22"/>
              </w:rPr>
            </w:pPr>
            <w:r w:rsidRPr="00477E8D">
              <w:rPr>
                <w:rFonts w:ascii="Arial" w:hAnsi="Arial" w:cs="Arial"/>
                <w:sz w:val="22"/>
                <w:szCs w:val="22"/>
              </w:rPr>
              <w:t>Pro vyhodnocení lze využít informační systém Databáze strategií a pro klimatickou změnu na úrovni městských a obecních plánů a strategií zřídit zvláštní příznak v dosud existující sadě deskriptorů.</w:t>
            </w:r>
          </w:p>
        </w:tc>
      </w:tr>
      <w:tr w:rsidR="00477E8D" w:rsidRPr="00477E8D" w14:paraId="07B45492" w14:textId="77777777" w:rsidTr="00477E8D">
        <w:tc>
          <w:tcPr>
            <w:tcW w:w="2802" w:type="dxa"/>
            <w:shd w:val="pct15" w:color="auto" w:fill="auto"/>
          </w:tcPr>
          <w:p w14:paraId="578EF1B6" w14:textId="77777777" w:rsidR="00EA2748" w:rsidRPr="00477E8D" w:rsidRDefault="00EA2748" w:rsidP="00C51B65">
            <w:pPr>
              <w:spacing w:line="276" w:lineRule="auto"/>
              <w:rPr>
                <w:rFonts w:ascii="Arial" w:hAnsi="Arial" w:cs="Arial"/>
                <w:sz w:val="22"/>
                <w:szCs w:val="22"/>
              </w:rPr>
            </w:pPr>
            <w:r w:rsidRPr="00477E8D">
              <w:rPr>
                <w:rFonts w:ascii="Arial" w:hAnsi="Arial" w:cs="Arial"/>
                <w:sz w:val="22"/>
                <w:szCs w:val="22"/>
              </w:rPr>
              <w:t xml:space="preserve">Časová řada: </w:t>
            </w:r>
          </w:p>
        </w:tc>
        <w:tc>
          <w:tcPr>
            <w:tcW w:w="6486" w:type="dxa"/>
            <w:shd w:val="pct15" w:color="auto" w:fill="auto"/>
          </w:tcPr>
          <w:p w14:paraId="21DBC8D5" w14:textId="77777777" w:rsidR="00EA2748" w:rsidRPr="00477E8D" w:rsidRDefault="00EA2748" w:rsidP="00C516EA">
            <w:pPr>
              <w:spacing w:line="276" w:lineRule="auto"/>
              <w:jc w:val="both"/>
              <w:rPr>
                <w:rFonts w:ascii="Arial" w:hAnsi="Arial" w:cs="Arial"/>
                <w:sz w:val="22"/>
                <w:szCs w:val="22"/>
              </w:rPr>
            </w:pPr>
            <w:r w:rsidRPr="00477E8D">
              <w:rPr>
                <w:rFonts w:ascii="Arial" w:hAnsi="Arial" w:cs="Arial"/>
                <w:sz w:val="22"/>
                <w:szCs w:val="22"/>
              </w:rPr>
              <w:t xml:space="preserve">- </w:t>
            </w:r>
          </w:p>
        </w:tc>
      </w:tr>
      <w:tr w:rsidR="00477E8D" w:rsidRPr="00477E8D" w14:paraId="5A1C0AFC" w14:textId="77777777" w:rsidTr="00477E8D">
        <w:tc>
          <w:tcPr>
            <w:tcW w:w="2802" w:type="dxa"/>
            <w:shd w:val="pct15" w:color="auto" w:fill="auto"/>
          </w:tcPr>
          <w:p w14:paraId="2C1D1991" w14:textId="77777777" w:rsidR="00EA2748" w:rsidRPr="00477E8D" w:rsidRDefault="00EA2748" w:rsidP="00C51B65">
            <w:pPr>
              <w:spacing w:line="276" w:lineRule="auto"/>
              <w:rPr>
                <w:rFonts w:ascii="Arial" w:hAnsi="Arial" w:cs="Arial"/>
                <w:sz w:val="22"/>
                <w:szCs w:val="22"/>
              </w:rPr>
            </w:pPr>
            <w:r w:rsidRPr="00477E8D">
              <w:rPr>
                <w:rFonts w:ascii="Arial" w:hAnsi="Arial" w:cs="Arial"/>
                <w:sz w:val="22"/>
                <w:szCs w:val="22"/>
              </w:rPr>
              <w:t xml:space="preserve">Frekvence výstupu: </w:t>
            </w:r>
          </w:p>
        </w:tc>
        <w:tc>
          <w:tcPr>
            <w:tcW w:w="6486" w:type="dxa"/>
            <w:shd w:val="pct15" w:color="auto" w:fill="auto"/>
          </w:tcPr>
          <w:p w14:paraId="736A8FD0" w14:textId="77777777" w:rsidR="00EA2748" w:rsidRPr="00477E8D" w:rsidRDefault="00D22265" w:rsidP="00C516EA">
            <w:pPr>
              <w:spacing w:line="276" w:lineRule="auto"/>
              <w:jc w:val="both"/>
              <w:rPr>
                <w:rFonts w:ascii="Arial" w:hAnsi="Arial" w:cs="Arial"/>
                <w:sz w:val="22"/>
                <w:szCs w:val="22"/>
              </w:rPr>
            </w:pPr>
            <w:r>
              <w:rPr>
                <w:rFonts w:ascii="Arial" w:hAnsi="Arial" w:cs="Arial"/>
                <w:sz w:val="22"/>
                <w:szCs w:val="22"/>
              </w:rPr>
              <w:t>Ročně</w:t>
            </w:r>
          </w:p>
        </w:tc>
      </w:tr>
      <w:tr w:rsidR="00477E8D" w:rsidRPr="00477E8D" w14:paraId="23E2A9CB" w14:textId="77777777" w:rsidTr="00477E8D">
        <w:trPr>
          <w:trHeight w:val="70"/>
        </w:trPr>
        <w:tc>
          <w:tcPr>
            <w:tcW w:w="2802" w:type="dxa"/>
            <w:shd w:val="pct15" w:color="auto" w:fill="auto"/>
          </w:tcPr>
          <w:p w14:paraId="00DE3919" w14:textId="77777777" w:rsidR="00EA2748" w:rsidRPr="00477E8D" w:rsidRDefault="00EA2748" w:rsidP="00C51B65">
            <w:pPr>
              <w:spacing w:line="276" w:lineRule="auto"/>
              <w:rPr>
                <w:rFonts w:ascii="Arial" w:hAnsi="Arial" w:cs="Arial"/>
                <w:sz w:val="22"/>
                <w:szCs w:val="22"/>
              </w:rPr>
            </w:pPr>
            <w:r w:rsidRPr="00477E8D">
              <w:rPr>
                <w:rFonts w:ascii="Arial" w:hAnsi="Arial" w:cs="Arial"/>
                <w:sz w:val="22"/>
                <w:szCs w:val="22"/>
              </w:rPr>
              <w:t xml:space="preserve">Členění indikátoru: </w:t>
            </w:r>
          </w:p>
        </w:tc>
        <w:tc>
          <w:tcPr>
            <w:tcW w:w="6486" w:type="dxa"/>
            <w:shd w:val="pct15" w:color="auto" w:fill="auto"/>
          </w:tcPr>
          <w:p w14:paraId="6841157F" w14:textId="77777777" w:rsidR="00EA2748" w:rsidRPr="00477E8D" w:rsidRDefault="00D22265" w:rsidP="00C516EA">
            <w:pPr>
              <w:spacing w:line="276" w:lineRule="auto"/>
              <w:jc w:val="both"/>
              <w:rPr>
                <w:rFonts w:ascii="Arial" w:hAnsi="Arial" w:cs="Arial"/>
                <w:sz w:val="22"/>
                <w:szCs w:val="22"/>
              </w:rPr>
            </w:pPr>
            <w:r>
              <w:rPr>
                <w:rFonts w:ascii="Arial" w:hAnsi="Arial" w:cs="Arial"/>
                <w:sz w:val="22"/>
                <w:szCs w:val="22"/>
              </w:rPr>
              <w:t>O</w:t>
            </w:r>
            <w:r w:rsidR="00EA2748" w:rsidRPr="00477E8D">
              <w:rPr>
                <w:rFonts w:ascii="Arial" w:hAnsi="Arial" w:cs="Arial"/>
                <w:sz w:val="22"/>
                <w:szCs w:val="22"/>
              </w:rPr>
              <w:t>bce III. stupně, kraje (NUTS III)</w:t>
            </w:r>
          </w:p>
        </w:tc>
      </w:tr>
      <w:tr w:rsidR="00477E8D" w:rsidRPr="00477E8D" w14:paraId="407AACCA" w14:textId="77777777" w:rsidTr="00477E8D">
        <w:trPr>
          <w:trHeight w:val="70"/>
        </w:trPr>
        <w:tc>
          <w:tcPr>
            <w:tcW w:w="2802" w:type="dxa"/>
            <w:shd w:val="pct15" w:color="auto" w:fill="auto"/>
          </w:tcPr>
          <w:p w14:paraId="49988AF7" w14:textId="77777777" w:rsidR="00EA2748" w:rsidRPr="00477E8D" w:rsidRDefault="00EA2748" w:rsidP="00C51B65">
            <w:pPr>
              <w:spacing w:line="276" w:lineRule="auto"/>
              <w:rPr>
                <w:rFonts w:ascii="Arial" w:hAnsi="Arial" w:cs="Arial"/>
                <w:sz w:val="22"/>
                <w:szCs w:val="22"/>
              </w:rPr>
            </w:pPr>
            <w:r w:rsidRPr="00477E8D">
              <w:rPr>
                <w:rFonts w:ascii="Arial" w:hAnsi="Arial" w:cs="Arial"/>
                <w:sz w:val="22"/>
                <w:szCs w:val="22"/>
              </w:rPr>
              <w:t>Mezinárodní srovnání:</w:t>
            </w:r>
          </w:p>
        </w:tc>
        <w:tc>
          <w:tcPr>
            <w:tcW w:w="6486" w:type="dxa"/>
            <w:shd w:val="pct15" w:color="auto" w:fill="auto"/>
          </w:tcPr>
          <w:p w14:paraId="7C1804BC" w14:textId="77777777" w:rsidR="00EA2748" w:rsidRPr="00477E8D" w:rsidRDefault="00EA2748" w:rsidP="00C516EA">
            <w:pPr>
              <w:spacing w:line="276" w:lineRule="auto"/>
              <w:jc w:val="both"/>
              <w:rPr>
                <w:rFonts w:ascii="Arial" w:hAnsi="Arial" w:cs="Arial"/>
                <w:sz w:val="22"/>
                <w:szCs w:val="22"/>
              </w:rPr>
            </w:pPr>
            <w:r w:rsidRPr="00477E8D">
              <w:rPr>
                <w:rFonts w:ascii="Arial" w:hAnsi="Arial" w:cs="Arial"/>
                <w:sz w:val="22"/>
                <w:szCs w:val="22"/>
              </w:rPr>
              <w:t>-</w:t>
            </w:r>
          </w:p>
        </w:tc>
      </w:tr>
    </w:tbl>
    <w:p w14:paraId="3D438B0A" w14:textId="77777777" w:rsidR="00D22265" w:rsidRPr="0061774A" w:rsidRDefault="00D22265" w:rsidP="00C516EA">
      <w:pPr>
        <w:pStyle w:val="r2030podcle"/>
        <w:numPr>
          <w:ilvl w:val="1"/>
          <w:numId w:val="17"/>
        </w:numPr>
        <w:ind w:left="567" w:hanging="425"/>
      </w:pPr>
      <w:r w:rsidRPr="0061774A">
        <w:t>Snižuje se počet a velikost městských tepelných ostrovů.</w:t>
      </w:r>
    </w:p>
    <w:tbl>
      <w:tblPr>
        <w:tblStyle w:val="Mkatabulky"/>
        <w:tblW w:w="0" w:type="auto"/>
        <w:tblLook w:val="04A0" w:firstRow="1" w:lastRow="0" w:firstColumn="1" w:lastColumn="0" w:noHBand="0" w:noVBand="1"/>
      </w:tblPr>
      <w:tblGrid>
        <w:gridCol w:w="2802"/>
        <w:gridCol w:w="6486"/>
      </w:tblGrid>
      <w:tr w:rsidR="00EA2748" w:rsidRPr="0007074B" w14:paraId="1BE43F88" w14:textId="77777777" w:rsidTr="00B460D5">
        <w:tc>
          <w:tcPr>
            <w:tcW w:w="2802" w:type="dxa"/>
          </w:tcPr>
          <w:p w14:paraId="6339C750"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Název a označení </w:t>
            </w:r>
            <w:r w:rsidRPr="0007074B">
              <w:rPr>
                <w:rFonts w:ascii="Arial" w:hAnsi="Arial" w:cs="Arial"/>
                <w:sz w:val="22"/>
                <w:szCs w:val="22"/>
              </w:rPr>
              <w:lastRenderedPageBreak/>
              <w:t xml:space="preserve">indikátoru: </w:t>
            </w:r>
          </w:p>
        </w:tc>
        <w:tc>
          <w:tcPr>
            <w:tcW w:w="6486" w:type="dxa"/>
          </w:tcPr>
          <w:p w14:paraId="3AA0293F" w14:textId="77777777" w:rsidR="00EA2748" w:rsidRPr="00457014" w:rsidRDefault="00D22265" w:rsidP="00C51B65">
            <w:pPr>
              <w:spacing w:line="276" w:lineRule="auto"/>
              <w:rPr>
                <w:rFonts w:ascii="Arial" w:eastAsia="Calibri" w:hAnsi="Arial" w:cs="Arial"/>
                <w:b/>
                <w:sz w:val="22"/>
                <w:szCs w:val="22"/>
              </w:rPr>
            </w:pPr>
            <w:r>
              <w:rPr>
                <w:rFonts w:ascii="Arial" w:eastAsia="Calibri" w:hAnsi="Arial" w:cs="Arial"/>
                <w:b/>
                <w:sz w:val="22"/>
                <w:szCs w:val="22"/>
              </w:rPr>
              <w:lastRenderedPageBreak/>
              <w:t>19</w:t>
            </w:r>
            <w:r w:rsidR="00EA2748" w:rsidRPr="00457014">
              <w:rPr>
                <w:rFonts w:ascii="Arial" w:eastAsia="Calibri" w:hAnsi="Arial" w:cs="Arial"/>
                <w:b/>
                <w:sz w:val="22"/>
                <w:szCs w:val="22"/>
              </w:rPr>
              <w:t>.2.1 Tepelný ostrov města</w:t>
            </w:r>
          </w:p>
          <w:p w14:paraId="2D5B1FEB" w14:textId="77777777" w:rsidR="00EA2748" w:rsidRPr="0007074B" w:rsidRDefault="00EA2748" w:rsidP="00C51B65">
            <w:pPr>
              <w:spacing w:line="276" w:lineRule="auto"/>
              <w:rPr>
                <w:rFonts w:ascii="Arial" w:eastAsia="Arial" w:hAnsi="Arial" w:cs="Arial"/>
                <w:color w:val="000000"/>
                <w:sz w:val="22"/>
                <w:szCs w:val="22"/>
              </w:rPr>
            </w:pPr>
          </w:p>
        </w:tc>
      </w:tr>
      <w:tr w:rsidR="00EA2748" w:rsidRPr="0007074B" w14:paraId="25A898B1" w14:textId="77777777" w:rsidTr="00B460D5">
        <w:tc>
          <w:tcPr>
            <w:tcW w:w="2802" w:type="dxa"/>
          </w:tcPr>
          <w:p w14:paraId="1E6610FC"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lastRenderedPageBreak/>
              <w:t xml:space="preserve">Stručná definice: </w:t>
            </w:r>
          </w:p>
        </w:tc>
        <w:tc>
          <w:tcPr>
            <w:tcW w:w="6486" w:type="dxa"/>
          </w:tcPr>
          <w:p w14:paraId="4CA65F73" w14:textId="09BE4B3A" w:rsidR="00EA2748" w:rsidRPr="00375C6C" w:rsidRDefault="00EA2748" w:rsidP="00C516EA">
            <w:pPr>
              <w:spacing w:line="276" w:lineRule="auto"/>
              <w:jc w:val="both"/>
              <w:rPr>
                <w:rFonts w:ascii="Arial" w:hAnsi="Arial" w:cs="Arial"/>
                <w:sz w:val="22"/>
                <w:szCs w:val="22"/>
              </w:rPr>
            </w:pPr>
            <w:r w:rsidRPr="00375C6C">
              <w:rPr>
                <w:rFonts w:ascii="Arial" w:hAnsi="Arial" w:cs="Arial"/>
                <w:sz w:val="22"/>
                <w:szCs w:val="22"/>
              </w:rPr>
              <w:t>Přepočet radiačn</w:t>
            </w:r>
            <w:r w:rsidR="00D22265">
              <w:rPr>
                <w:rFonts w:ascii="Arial" w:hAnsi="Arial" w:cs="Arial"/>
                <w:sz w:val="22"/>
                <w:szCs w:val="22"/>
              </w:rPr>
              <w:t>ích hodnot na °</w:t>
            </w:r>
            <w:r w:rsidRPr="00375C6C">
              <w:rPr>
                <w:rFonts w:ascii="Arial" w:hAnsi="Arial" w:cs="Arial"/>
                <w:sz w:val="22"/>
                <w:szCs w:val="22"/>
              </w:rPr>
              <w:t xml:space="preserve">C z termálních pásem družice </w:t>
            </w:r>
            <w:proofErr w:type="spellStart"/>
            <w:r w:rsidRPr="00375C6C">
              <w:rPr>
                <w:rFonts w:ascii="Arial" w:hAnsi="Arial" w:cs="Arial"/>
                <w:sz w:val="22"/>
                <w:szCs w:val="22"/>
              </w:rPr>
              <w:t>Landsat</w:t>
            </w:r>
            <w:proofErr w:type="spellEnd"/>
            <w:r w:rsidRPr="00375C6C">
              <w:rPr>
                <w:rFonts w:ascii="Arial" w:hAnsi="Arial" w:cs="Arial"/>
                <w:sz w:val="22"/>
                <w:szCs w:val="22"/>
              </w:rPr>
              <w:t xml:space="preserve"> 8, na jejímž základě bude identifikován rozsah tepelného ostrova města. Tepelný ostrov bude identifikován jako anomálie cca 2 °C od okolní oblasti. Analýza bude zpřesněna na základě dat z meteorologických a klimatických stanic a dat krajinného pokryvu a využití území ze Služby </w:t>
            </w:r>
            <w:proofErr w:type="spellStart"/>
            <w:r w:rsidRPr="00375C6C">
              <w:rPr>
                <w:rFonts w:ascii="Arial" w:hAnsi="Arial" w:cs="Arial"/>
                <w:sz w:val="22"/>
                <w:szCs w:val="22"/>
              </w:rPr>
              <w:t>Copernicus</w:t>
            </w:r>
            <w:proofErr w:type="spellEnd"/>
            <w:r w:rsidRPr="00375C6C">
              <w:rPr>
                <w:rFonts w:ascii="Arial" w:hAnsi="Arial" w:cs="Arial"/>
                <w:sz w:val="22"/>
                <w:szCs w:val="22"/>
              </w:rPr>
              <w:t xml:space="preserve"> pro monitorování území (CORINE Land </w:t>
            </w:r>
            <w:proofErr w:type="spellStart"/>
            <w:r w:rsidRPr="00375C6C">
              <w:rPr>
                <w:rFonts w:ascii="Arial" w:hAnsi="Arial" w:cs="Arial"/>
                <w:sz w:val="22"/>
                <w:szCs w:val="22"/>
              </w:rPr>
              <w:t>Cover</w:t>
            </w:r>
            <w:proofErr w:type="spellEnd"/>
            <w:r w:rsidRPr="00375C6C">
              <w:rPr>
                <w:rFonts w:ascii="Arial" w:hAnsi="Arial" w:cs="Arial"/>
                <w:sz w:val="22"/>
                <w:szCs w:val="22"/>
              </w:rPr>
              <w:t>, HRL, Urban Atlas). Data budou vztažena na územní jednotky vycházejících z dat RSO tak, aby bylo možné vyhodnotit množství obyvatel zasažených tepelným znečištěním ve městech.</w:t>
            </w:r>
          </w:p>
        </w:tc>
      </w:tr>
      <w:tr w:rsidR="00EA2748" w:rsidRPr="0007074B" w14:paraId="7F39F6E3" w14:textId="77777777" w:rsidTr="00B460D5">
        <w:tc>
          <w:tcPr>
            <w:tcW w:w="2802" w:type="dxa"/>
          </w:tcPr>
          <w:p w14:paraId="4FF696F1"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Jednotka:</w:t>
            </w:r>
          </w:p>
        </w:tc>
        <w:tc>
          <w:tcPr>
            <w:tcW w:w="6486" w:type="dxa"/>
          </w:tcPr>
          <w:p w14:paraId="420970D2" w14:textId="77777777" w:rsidR="00EA2748" w:rsidRPr="00375C6C" w:rsidRDefault="00D22265" w:rsidP="00C516EA">
            <w:pPr>
              <w:spacing w:line="276" w:lineRule="auto"/>
              <w:jc w:val="both"/>
              <w:rPr>
                <w:rFonts w:ascii="Arial" w:hAnsi="Arial" w:cs="Arial"/>
                <w:sz w:val="22"/>
                <w:szCs w:val="22"/>
              </w:rPr>
            </w:pPr>
            <w:r>
              <w:rPr>
                <w:rFonts w:ascii="Arial" w:hAnsi="Arial" w:cs="Arial"/>
                <w:sz w:val="22"/>
                <w:szCs w:val="22"/>
              </w:rPr>
              <w:t>K</w:t>
            </w:r>
            <w:r w:rsidR="00EA2748" w:rsidRPr="00375C6C">
              <w:rPr>
                <w:rFonts w:ascii="Arial" w:hAnsi="Arial" w:cs="Arial"/>
                <w:sz w:val="22"/>
                <w:szCs w:val="22"/>
              </w:rPr>
              <w:t>m</w:t>
            </w:r>
            <w:r w:rsidR="00EA2748" w:rsidRPr="00D22265">
              <w:rPr>
                <w:rFonts w:ascii="Arial" w:hAnsi="Arial" w:cs="Arial"/>
                <w:sz w:val="22"/>
                <w:szCs w:val="22"/>
                <w:vertAlign w:val="superscript"/>
              </w:rPr>
              <w:t>2</w:t>
            </w:r>
          </w:p>
        </w:tc>
      </w:tr>
      <w:tr w:rsidR="00EA2748" w:rsidRPr="0007074B" w14:paraId="02750FE9" w14:textId="77777777" w:rsidTr="00B460D5">
        <w:tc>
          <w:tcPr>
            <w:tcW w:w="2802" w:type="dxa"/>
          </w:tcPr>
          <w:p w14:paraId="6DC1510E"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Gestor: </w:t>
            </w:r>
          </w:p>
        </w:tc>
        <w:tc>
          <w:tcPr>
            <w:tcW w:w="6486" w:type="dxa"/>
          </w:tcPr>
          <w:p w14:paraId="2C4F8A30" w14:textId="77777777" w:rsidR="00EA2748" w:rsidRPr="00375C6C" w:rsidRDefault="00D22265" w:rsidP="00C516EA">
            <w:pPr>
              <w:spacing w:line="276" w:lineRule="auto"/>
              <w:jc w:val="both"/>
              <w:rPr>
                <w:rFonts w:ascii="Arial" w:hAnsi="Arial" w:cs="Arial"/>
                <w:sz w:val="22"/>
                <w:szCs w:val="22"/>
              </w:rPr>
            </w:pPr>
            <w:r>
              <w:rPr>
                <w:rFonts w:ascii="Arial" w:hAnsi="Arial" w:cs="Arial"/>
                <w:sz w:val="22"/>
                <w:szCs w:val="22"/>
              </w:rPr>
              <w:t>Ministerstvo životního prostředí</w:t>
            </w:r>
            <w:r w:rsidR="00EA2748" w:rsidRPr="00375C6C">
              <w:rPr>
                <w:rFonts w:ascii="Arial" w:hAnsi="Arial" w:cs="Arial"/>
                <w:sz w:val="22"/>
                <w:szCs w:val="22"/>
              </w:rPr>
              <w:t xml:space="preserve"> (CENIA)</w:t>
            </w:r>
          </w:p>
        </w:tc>
      </w:tr>
      <w:tr w:rsidR="00EA2748" w:rsidRPr="0007074B" w14:paraId="0680DD82" w14:textId="77777777" w:rsidTr="00B460D5">
        <w:tc>
          <w:tcPr>
            <w:tcW w:w="2802" w:type="dxa"/>
          </w:tcPr>
          <w:p w14:paraId="5FF00129"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Význam indikátoru: </w:t>
            </w:r>
          </w:p>
        </w:tc>
        <w:tc>
          <w:tcPr>
            <w:tcW w:w="6486" w:type="dxa"/>
          </w:tcPr>
          <w:p w14:paraId="15695F7C" w14:textId="77777777" w:rsidR="00EA2748" w:rsidRPr="00375C6C" w:rsidRDefault="00EA2748" w:rsidP="00C516EA">
            <w:pPr>
              <w:spacing w:line="276" w:lineRule="auto"/>
              <w:jc w:val="both"/>
              <w:rPr>
                <w:rFonts w:ascii="Arial" w:hAnsi="Arial" w:cs="Arial"/>
                <w:sz w:val="22"/>
                <w:szCs w:val="22"/>
              </w:rPr>
            </w:pPr>
            <w:r w:rsidRPr="00375C6C">
              <w:rPr>
                <w:rFonts w:ascii="Arial" w:hAnsi="Arial" w:cs="Arial"/>
                <w:sz w:val="22"/>
                <w:szCs w:val="22"/>
              </w:rPr>
              <w:t>Urbanizační procesy představují významné antropogenní zásahy do klimatického systému a vedou k vytvoření odlišných klimatických podmínek. Města tak mají vyšší teplotu vzduchu ve srovnání s jejich okolím, anomálie teploty má roční i denní chod, nejvíce jsou městem ovlivněny minimální denní teploty.</w:t>
            </w:r>
          </w:p>
        </w:tc>
      </w:tr>
      <w:tr w:rsidR="00EA2748" w:rsidRPr="0007074B" w14:paraId="34AF15E2" w14:textId="77777777" w:rsidTr="00B460D5">
        <w:tc>
          <w:tcPr>
            <w:tcW w:w="2802" w:type="dxa"/>
          </w:tcPr>
          <w:p w14:paraId="18BE8651"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Časová řada: </w:t>
            </w:r>
          </w:p>
        </w:tc>
        <w:tc>
          <w:tcPr>
            <w:tcW w:w="6486" w:type="dxa"/>
          </w:tcPr>
          <w:p w14:paraId="60338CD8" w14:textId="77777777" w:rsidR="00EA2748" w:rsidRPr="00375C6C" w:rsidRDefault="0015417B" w:rsidP="00C516EA">
            <w:pPr>
              <w:spacing w:line="276" w:lineRule="auto"/>
              <w:jc w:val="both"/>
              <w:rPr>
                <w:rFonts w:ascii="Arial" w:hAnsi="Arial" w:cs="Arial"/>
                <w:sz w:val="22"/>
                <w:szCs w:val="22"/>
              </w:rPr>
            </w:pPr>
            <w:r>
              <w:rPr>
                <w:rFonts w:ascii="Arial" w:hAnsi="Arial" w:cs="Arial"/>
                <w:sz w:val="22"/>
                <w:szCs w:val="22"/>
              </w:rPr>
              <w:t>N</w:t>
            </w:r>
            <w:r w:rsidR="00D22265">
              <w:rPr>
                <w:rFonts w:ascii="Arial" w:hAnsi="Arial" w:cs="Arial"/>
                <w:sz w:val="22"/>
                <w:szCs w:val="22"/>
              </w:rPr>
              <w:t>ení k dispozici, od roku</w:t>
            </w:r>
            <w:r w:rsidR="00EA2748" w:rsidRPr="00375C6C">
              <w:rPr>
                <w:rFonts w:ascii="Arial" w:hAnsi="Arial" w:cs="Arial"/>
                <w:sz w:val="22"/>
                <w:szCs w:val="22"/>
              </w:rPr>
              <w:t xml:space="preserve"> 2016</w:t>
            </w:r>
          </w:p>
        </w:tc>
      </w:tr>
      <w:tr w:rsidR="00EA2748" w:rsidRPr="0007074B" w14:paraId="5BD5ED66" w14:textId="77777777" w:rsidTr="00B460D5">
        <w:tc>
          <w:tcPr>
            <w:tcW w:w="2802" w:type="dxa"/>
          </w:tcPr>
          <w:p w14:paraId="3BE749A8"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Frekvence výstupu: </w:t>
            </w:r>
          </w:p>
        </w:tc>
        <w:tc>
          <w:tcPr>
            <w:tcW w:w="6486" w:type="dxa"/>
          </w:tcPr>
          <w:p w14:paraId="3301819B" w14:textId="0A9BAFDA" w:rsidR="00EA2748" w:rsidRPr="00375C6C" w:rsidRDefault="00F30DA3" w:rsidP="00C516EA">
            <w:pPr>
              <w:spacing w:line="276" w:lineRule="auto"/>
              <w:jc w:val="both"/>
              <w:rPr>
                <w:rFonts w:ascii="Arial" w:hAnsi="Arial" w:cs="Arial"/>
                <w:sz w:val="22"/>
                <w:szCs w:val="22"/>
              </w:rPr>
            </w:pPr>
            <w:r>
              <w:rPr>
                <w:rFonts w:ascii="Arial" w:hAnsi="Arial" w:cs="Arial"/>
                <w:sz w:val="22"/>
                <w:szCs w:val="22"/>
              </w:rPr>
              <w:t>Jednou za</w:t>
            </w:r>
            <w:r w:rsidR="00EA2748" w:rsidRPr="00375C6C">
              <w:rPr>
                <w:rFonts w:ascii="Arial" w:hAnsi="Arial" w:cs="Arial"/>
                <w:sz w:val="22"/>
                <w:szCs w:val="22"/>
              </w:rPr>
              <w:t xml:space="preserve"> 3 roky</w:t>
            </w:r>
          </w:p>
        </w:tc>
      </w:tr>
      <w:tr w:rsidR="00EA2748" w:rsidRPr="0007074B" w14:paraId="2B2AF735" w14:textId="77777777" w:rsidTr="00B460D5">
        <w:trPr>
          <w:trHeight w:val="70"/>
        </w:trPr>
        <w:tc>
          <w:tcPr>
            <w:tcW w:w="2802" w:type="dxa"/>
          </w:tcPr>
          <w:p w14:paraId="390156F2"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Členění indikátoru: </w:t>
            </w:r>
          </w:p>
        </w:tc>
        <w:tc>
          <w:tcPr>
            <w:tcW w:w="6486" w:type="dxa"/>
          </w:tcPr>
          <w:p w14:paraId="0371432E" w14:textId="7C2CA5E0" w:rsidR="00EA2748" w:rsidRPr="00375C6C" w:rsidRDefault="00EA2748" w:rsidP="00C516EA">
            <w:pPr>
              <w:spacing w:line="276" w:lineRule="auto"/>
              <w:jc w:val="both"/>
              <w:rPr>
                <w:rFonts w:ascii="Arial" w:hAnsi="Arial" w:cs="Arial"/>
                <w:sz w:val="22"/>
                <w:szCs w:val="22"/>
              </w:rPr>
            </w:pPr>
            <w:r w:rsidRPr="00375C6C">
              <w:rPr>
                <w:rFonts w:ascii="Arial" w:hAnsi="Arial" w:cs="Arial"/>
                <w:sz w:val="22"/>
                <w:szCs w:val="22"/>
              </w:rPr>
              <w:t>Data budou vztažena na územní jednotky vycházejících z dat RSO tak, aby bylo možné vyhodnotit množství obyvatel zasažených tepelným znečištěním ve městech.</w:t>
            </w:r>
          </w:p>
        </w:tc>
      </w:tr>
      <w:tr w:rsidR="00EA2748" w:rsidRPr="0007074B" w14:paraId="7E56ED3B" w14:textId="77777777" w:rsidTr="00B460D5">
        <w:trPr>
          <w:trHeight w:val="70"/>
        </w:trPr>
        <w:tc>
          <w:tcPr>
            <w:tcW w:w="2802" w:type="dxa"/>
          </w:tcPr>
          <w:p w14:paraId="2A5A6846"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Mezinárodní srovnání:</w:t>
            </w:r>
          </w:p>
        </w:tc>
        <w:tc>
          <w:tcPr>
            <w:tcW w:w="6486" w:type="dxa"/>
          </w:tcPr>
          <w:p w14:paraId="695F0BDC" w14:textId="77777777" w:rsidR="00EA2748" w:rsidRPr="00375C6C" w:rsidRDefault="00D22265" w:rsidP="00C51B65">
            <w:pPr>
              <w:spacing w:line="276" w:lineRule="auto"/>
              <w:rPr>
                <w:rFonts w:ascii="Arial" w:hAnsi="Arial" w:cs="Arial"/>
                <w:sz w:val="22"/>
                <w:szCs w:val="22"/>
              </w:rPr>
            </w:pPr>
            <w:r>
              <w:rPr>
                <w:rFonts w:ascii="Arial" w:hAnsi="Arial" w:cs="Arial"/>
                <w:sz w:val="22"/>
                <w:szCs w:val="22"/>
              </w:rPr>
              <w:t>-</w:t>
            </w:r>
          </w:p>
        </w:tc>
      </w:tr>
    </w:tbl>
    <w:p w14:paraId="6466C8BE" w14:textId="77777777" w:rsidR="00120807" w:rsidRPr="00120807" w:rsidRDefault="00120807" w:rsidP="00C516EA">
      <w:pPr>
        <w:pStyle w:val="r2030podcle"/>
        <w:numPr>
          <w:ilvl w:val="1"/>
          <w:numId w:val="17"/>
        </w:numPr>
        <w:ind w:left="567" w:hanging="425"/>
        <w:jc w:val="both"/>
      </w:pPr>
      <w:r w:rsidRPr="00120807">
        <w:t>Všechny nově dokončené budovy se řadí do energetické třídy A. Existující budovy se postupně renovují minimálně na úroveň energetické třídy C.</w:t>
      </w:r>
    </w:p>
    <w:tbl>
      <w:tblPr>
        <w:tblStyle w:val="Mkatabulky"/>
        <w:tblW w:w="0" w:type="auto"/>
        <w:tblLook w:val="04A0" w:firstRow="1" w:lastRow="0" w:firstColumn="1" w:lastColumn="0" w:noHBand="0" w:noVBand="1"/>
      </w:tblPr>
      <w:tblGrid>
        <w:gridCol w:w="2802"/>
        <w:gridCol w:w="6486"/>
      </w:tblGrid>
      <w:tr w:rsidR="00EA2748" w:rsidRPr="0007074B" w14:paraId="671637CB" w14:textId="77777777" w:rsidTr="00B460D5">
        <w:tc>
          <w:tcPr>
            <w:tcW w:w="2802" w:type="dxa"/>
          </w:tcPr>
          <w:p w14:paraId="56301084"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Název a označení indikátoru: </w:t>
            </w:r>
          </w:p>
        </w:tc>
        <w:tc>
          <w:tcPr>
            <w:tcW w:w="6486" w:type="dxa"/>
          </w:tcPr>
          <w:p w14:paraId="0CF67C96" w14:textId="735FC6A9" w:rsidR="00EA2748" w:rsidRPr="006575CE" w:rsidRDefault="00120807" w:rsidP="00C51B65">
            <w:pPr>
              <w:spacing w:line="276" w:lineRule="auto"/>
              <w:rPr>
                <w:rFonts w:ascii="Arial" w:eastAsia="Arial" w:hAnsi="Arial" w:cs="Arial"/>
                <w:b/>
                <w:color w:val="000000"/>
                <w:sz w:val="22"/>
                <w:szCs w:val="22"/>
              </w:rPr>
            </w:pPr>
            <w:r>
              <w:rPr>
                <w:rFonts w:ascii="Arial" w:eastAsia="Calibri" w:hAnsi="Arial" w:cs="Arial"/>
                <w:b/>
                <w:sz w:val="22"/>
                <w:szCs w:val="22"/>
              </w:rPr>
              <w:t>19</w:t>
            </w:r>
            <w:r w:rsidR="00EA2748" w:rsidRPr="006575CE">
              <w:rPr>
                <w:rFonts w:ascii="Arial" w:eastAsia="Calibri" w:hAnsi="Arial" w:cs="Arial"/>
                <w:b/>
                <w:sz w:val="22"/>
                <w:szCs w:val="22"/>
              </w:rPr>
              <w:t>.</w:t>
            </w:r>
            <w:r w:rsidR="002460FC">
              <w:rPr>
                <w:rFonts w:ascii="Arial" w:eastAsia="Calibri" w:hAnsi="Arial" w:cs="Arial"/>
                <w:b/>
                <w:sz w:val="22"/>
                <w:szCs w:val="22"/>
              </w:rPr>
              <w:t>3</w:t>
            </w:r>
            <w:r w:rsidR="00EA2748" w:rsidRPr="006575CE">
              <w:rPr>
                <w:rFonts w:ascii="Arial" w:eastAsia="Calibri" w:hAnsi="Arial" w:cs="Arial"/>
                <w:b/>
                <w:sz w:val="22"/>
                <w:szCs w:val="22"/>
              </w:rPr>
              <w:t>.1 Podíl dokončených budov ve třídě A na počtu dokončených budov</w:t>
            </w:r>
          </w:p>
        </w:tc>
      </w:tr>
      <w:tr w:rsidR="00EA2748" w:rsidRPr="0007074B" w14:paraId="3EA90790" w14:textId="77777777" w:rsidTr="00B460D5">
        <w:tc>
          <w:tcPr>
            <w:tcW w:w="2802" w:type="dxa"/>
          </w:tcPr>
          <w:p w14:paraId="5A675484"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Stručná definice: </w:t>
            </w:r>
          </w:p>
        </w:tc>
        <w:tc>
          <w:tcPr>
            <w:tcW w:w="6486" w:type="dxa"/>
          </w:tcPr>
          <w:p w14:paraId="492229C3" w14:textId="77777777" w:rsidR="00EA2748" w:rsidRPr="0007074B" w:rsidRDefault="00EA2748" w:rsidP="00C516EA">
            <w:pPr>
              <w:spacing w:line="276" w:lineRule="auto"/>
              <w:jc w:val="both"/>
              <w:rPr>
                <w:rFonts w:ascii="Arial" w:hAnsi="Arial" w:cs="Arial"/>
                <w:sz w:val="22"/>
                <w:szCs w:val="22"/>
              </w:rPr>
            </w:pPr>
            <w:r w:rsidRPr="0007074B">
              <w:rPr>
                <w:rFonts w:ascii="Arial" w:hAnsi="Arial" w:cs="Arial"/>
                <w:sz w:val="22"/>
                <w:szCs w:val="22"/>
              </w:rPr>
              <w:t>Indikátor je konstruován jako podíl počtu dokončených budov ve třídě A na celkovém počtu dokončených budov v regionálním členění.</w:t>
            </w:r>
          </w:p>
        </w:tc>
      </w:tr>
      <w:tr w:rsidR="00EA2748" w:rsidRPr="0007074B" w14:paraId="18966D10" w14:textId="77777777" w:rsidTr="00B460D5">
        <w:tc>
          <w:tcPr>
            <w:tcW w:w="2802" w:type="dxa"/>
          </w:tcPr>
          <w:p w14:paraId="75940476"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Jednotka:</w:t>
            </w:r>
          </w:p>
        </w:tc>
        <w:tc>
          <w:tcPr>
            <w:tcW w:w="6486" w:type="dxa"/>
          </w:tcPr>
          <w:p w14:paraId="4A7C2B50" w14:textId="77777777" w:rsidR="00EA2748" w:rsidRPr="0007074B" w:rsidRDefault="00120807" w:rsidP="00C516EA">
            <w:pPr>
              <w:spacing w:line="276" w:lineRule="auto"/>
              <w:jc w:val="both"/>
              <w:rPr>
                <w:rFonts w:ascii="Arial" w:hAnsi="Arial" w:cs="Arial"/>
                <w:sz w:val="22"/>
                <w:szCs w:val="22"/>
              </w:rPr>
            </w:pPr>
            <w:r>
              <w:rPr>
                <w:rFonts w:ascii="Arial" w:hAnsi="Arial" w:cs="Arial"/>
                <w:sz w:val="22"/>
                <w:szCs w:val="22"/>
              </w:rPr>
              <w:t xml:space="preserve">Podíl (v </w:t>
            </w:r>
            <w:r w:rsidR="00EA2748" w:rsidRPr="0007074B">
              <w:rPr>
                <w:rFonts w:ascii="Arial" w:hAnsi="Arial" w:cs="Arial"/>
                <w:sz w:val="22"/>
                <w:szCs w:val="22"/>
              </w:rPr>
              <w:t>%</w:t>
            </w:r>
            <w:r>
              <w:rPr>
                <w:rFonts w:ascii="Arial" w:hAnsi="Arial" w:cs="Arial"/>
                <w:sz w:val="22"/>
                <w:szCs w:val="22"/>
              </w:rPr>
              <w:t>)</w:t>
            </w:r>
          </w:p>
        </w:tc>
      </w:tr>
      <w:tr w:rsidR="00EA2748" w:rsidRPr="0007074B" w14:paraId="5972092F" w14:textId="77777777" w:rsidTr="00B460D5">
        <w:tc>
          <w:tcPr>
            <w:tcW w:w="2802" w:type="dxa"/>
          </w:tcPr>
          <w:p w14:paraId="5DE2BFD9"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Gestor: </w:t>
            </w:r>
          </w:p>
        </w:tc>
        <w:tc>
          <w:tcPr>
            <w:tcW w:w="6486" w:type="dxa"/>
          </w:tcPr>
          <w:p w14:paraId="5EE6DB25" w14:textId="77777777" w:rsidR="00EA2748" w:rsidRPr="0007074B" w:rsidRDefault="00120807" w:rsidP="00C516EA">
            <w:pPr>
              <w:spacing w:line="276" w:lineRule="auto"/>
              <w:jc w:val="both"/>
              <w:rPr>
                <w:rFonts w:ascii="Arial" w:hAnsi="Arial" w:cs="Arial"/>
                <w:sz w:val="22"/>
                <w:szCs w:val="22"/>
              </w:rPr>
            </w:pPr>
            <w:r>
              <w:rPr>
                <w:rFonts w:ascii="Arial" w:hAnsi="Arial" w:cs="Arial"/>
                <w:sz w:val="22"/>
                <w:szCs w:val="22"/>
              </w:rPr>
              <w:t>Český statistický úřad</w:t>
            </w:r>
          </w:p>
        </w:tc>
      </w:tr>
      <w:tr w:rsidR="00EA2748" w:rsidRPr="0007074B" w14:paraId="6BC2A993" w14:textId="77777777" w:rsidTr="00B460D5">
        <w:tc>
          <w:tcPr>
            <w:tcW w:w="2802" w:type="dxa"/>
          </w:tcPr>
          <w:p w14:paraId="06D73BC0"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Význam indikátoru: </w:t>
            </w:r>
          </w:p>
        </w:tc>
        <w:tc>
          <w:tcPr>
            <w:tcW w:w="6486" w:type="dxa"/>
          </w:tcPr>
          <w:p w14:paraId="0A1BE8E7" w14:textId="77777777" w:rsidR="00EA2748" w:rsidRPr="0007074B" w:rsidRDefault="00EA2748" w:rsidP="00C516EA">
            <w:pPr>
              <w:spacing w:line="276" w:lineRule="auto"/>
              <w:jc w:val="both"/>
              <w:rPr>
                <w:rFonts w:ascii="Arial" w:hAnsi="Arial" w:cs="Arial"/>
                <w:sz w:val="22"/>
                <w:szCs w:val="22"/>
              </w:rPr>
            </w:pPr>
            <w:r w:rsidRPr="0007074B">
              <w:rPr>
                <w:rFonts w:ascii="Arial" w:hAnsi="Arial" w:cs="Arial"/>
                <w:sz w:val="22"/>
                <w:szCs w:val="22"/>
              </w:rPr>
              <w:t>Evropská unie spatřuje v energetické účinnosti významný způsob, jak snižovat svou závislost na fosilních palivech, efektivněji chránit životní prostředí a šetřit výdaje za energii.</w:t>
            </w:r>
          </w:p>
        </w:tc>
      </w:tr>
      <w:tr w:rsidR="00EA2748" w:rsidRPr="0007074B" w14:paraId="6B798E1C" w14:textId="77777777" w:rsidTr="00B460D5">
        <w:tc>
          <w:tcPr>
            <w:tcW w:w="2802" w:type="dxa"/>
          </w:tcPr>
          <w:p w14:paraId="25F06D6E"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Časová řada: </w:t>
            </w:r>
          </w:p>
        </w:tc>
        <w:tc>
          <w:tcPr>
            <w:tcW w:w="6486" w:type="dxa"/>
          </w:tcPr>
          <w:p w14:paraId="13A2E6B6" w14:textId="77777777" w:rsidR="00EA2748" w:rsidRPr="0007074B" w:rsidRDefault="00120807" w:rsidP="00C516EA">
            <w:pPr>
              <w:spacing w:line="276" w:lineRule="auto"/>
              <w:jc w:val="both"/>
              <w:rPr>
                <w:rFonts w:ascii="Arial" w:hAnsi="Arial" w:cs="Arial"/>
                <w:sz w:val="22"/>
                <w:szCs w:val="22"/>
              </w:rPr>
            </w:pPr>
            <w:r>
              <w:rPr>
                <w:rFonts w:ascii="Arial" w:hAnsi="Arial" w:cs="Arial"/>
                <w:sz w:val="22"/>
                <w:szCs w:val="22"/>
              </w:rPr>
              <w:t>O</w:t>
            </w:r>
            <w:r w:rsidR="00EA2748" w:rsidRPr="0007074B">
              <w:rPr>
                <w:rFonts w:ascii="Arial" w:hAnsi="Arial" w:cs="Arial"/>
                <w:sz w:val="22"/>
                <w:szCs w:val="22"/>
              </w:rPr>
              <w:t xml:space="preserve">d </w:t>
            </w:r>
            <w:r>
              <w:rPr>
                <w:rFonts w:ascii="Arial" w:hAnsi="Arial" w:cs="Arial"/>
                <w:sz w:val="22"/>
                <w:szCs w:val="22"/>
              </w:rPr>
              <w:t xml:space="preserve">roku </w:t>
            </w:r>
            <w:r w:rsidR="00EA2748" w:rsidRPr="0007074B">
              <w:rPr>
                <w:rFonts w:ascii="Arial" w:hAnsi="Arial" w:cs="Arial"/>
                <w:sz w:val="22"/>
                <w:szCs w:val="22"/>
              </w:rPr>
              <w:t>2010</w:t>
            </w:r>
          </w:p>
        </w:tc>
      </w:tr>
      <w:tr w:rsidR="00EA2748" w:rsidRPr="0007074B" w14:paraId="62B5C314" w14:textId="77777777" w:rsidTr="00B460D5">
        <w:tc>
          <w:tcPr>
            <w:tcW w:w="2802" w:type="dxa"/>
          </w:tcPr>
          <w:p w14:paraId="314DB8A4"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Frekvence výstupu: </w:t>
            </w:r>
          </w:p>
        </w:tc>
        <w:tc>
          <w:tcPr>
            <w:tcW w:w="6486" w:type="dxa"/>
          </w:tcPr>
          <w:p w14:paraId="0DB137C9" w14:textId="77777777" w:rsidR="00EA2748" w:rsidRPr="0007074B" w:rsidRDefault="00B96B5D" w:rsidP="00C516EA">
            <w:pPr>
              <w:spacing w:line="276" w:lineRule="auto"/>
              <w:jc w:val="both"/>
              <w:rPr>
                <w:rFonts w:ascii="Arial" w:hAnsi="Arial" w:cs="Arial"/>
                <w:sz w:val="22"/>
                <w:szCs w:val="22"/>
              </w:rPr>
            </w:pPr>
            <w:r>
              <w:rPr>
                <w:rFonts w:ascii="Arial" w:hAnsi="Arial" w:cs="Arial"/>
                <w:sz w:val="22"/>
                <w:szCs w:val="22"/>
              </w:rPr>
              <w:t>Ročně</w:t>
            </w:r>
          </w:p>
        </w:tc>
      </w:tr>
      <w:tr w:rsidR="00EA2748" w:rsidRPr="0007074B" w14:paraId="5582EB0C" w14:textId="77777777" w:rsidTr="00B460D5">
        <w:trPr>
          <w:trHeight w:val="70"/>
        </w:trPr>
        <w:tc>
          <w:tcPr>
            <w:tcW w:w="2802" w:type="dxa"/>
          </w:tcPr>
          <w:p w14:paraId="7209C4C8"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Členění indikátoru: </w:t>
            </w:r>
          </w:p>
        </w:tc>
        <w:tc>
          <w:tcPr>
            <w:tcW w:w="6486" w:type="dxa"/>
          </w:tcPr>
          <w:p w14:paraId="7BCF29C8" w14:textId="081FBABC" w:rsidR="00EA2748" w:rsidRPr="0007074B" w:rsidRDefault="00795F94" w:rsidP="00C516EA">
            <w:pPr>
              <w:spacing w:line="276" w:lineRule="auto"/>
              <w:jc w:val="both"/>
              <w:rPr>
                <w:rFonts w:ascii="Arial" w:hAnsi="Arial" w:cs="Arial"/>
                <w:sz w:val="22"/>
                <w:szCs w:val="22"/>
              </w:rPr>
            </w:pPr>
            <w:r>
              <w:rPr>
                <w:rFonts w:ascii="Arial" w:hAnsi="Arial" w:cs="Arial"/>
                <w:sz w:val="22"/>
                <w:szCs w:val="22"/>
              </w:rPr>
              <w:t>Dle krajů, bytové a nebytové budovy</w:t>
            </w:r>
          </w:p>
        </w:tc>
      </w:tr>
      <w:tr w:rsidR="00EA2748" w:rsidRPr="0007074B" w14:paraId="1E20FE7A" w14:textId="77777777" w:rsidTr="00B460D5">
        <w:trPr>
          <w:trHeight w:val="70"/>
        </w:trPr>
        <w:tc>
          <w:tcPr>
            <w:tcW w:w="2802" w:type="dxa"/>
          </w:tcPr>
          <w:p w14:paraId="1A7FFBE9"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Mezinárodní srovnání:</w:t>
            </w:r>
          </w:p>
        </w:tc>
        <w:tc>
          <w:tcPr>
            <w:tcW w:w="6486" w:type="dxa"/>
          </w:tcPr>
          <w:p w14:paraId="3AEFD73C" w14:textId="77777777" w:rsidR="00EA2748" w:rsidRPr="0007074B" w:rsidRDefault="00120807" w:rsidP="00C51B65">
            <w:pPr>
              <w:spacing w:line="276" w:lineRule="auto"/>
              <w:rPr>
                <w:rFonts w:ascii="Arial" w:hAnsi="Arial" w:cs="Arial"/>
                <w:sz w:val="22"/>
                <w:szCs w:val="22"/>
              </w:rPr>
            </w:pPr>
            <w:r>
              <w:rPr>
                <w:rFonts w:ascii="Arial" w:hAnsi="Arial" w:cs="Arial"/>
                <w:sz w:val="22"/>
                <w:szCs w:val="22"/>
              </w:rPr>
              <w:t>-</w:t>
            </w:r>
          </w:p>
        </w:tc>
      </w:tr>
    </w:tbl>
    <w:p w14:paraId="72CF5473" w14:textId="77777777" w:rsidR="00EA2748" w:rsidRPr="0007074B" w:rsidRDefault="00EA2748" w:rsidP="00C51B65">
      <w:pPr>
        <w:spacing w:line="276" w:lineRule="auto"/>
        <w:ind w:left="709"/>
        <w:jc w:val="both"/>
        <w:rPr>
          <w:rFonts w:ascii="Arial" w:eastAsia="Calibri" w:hAnsi="Arial" w:cs="Arial"/>
          <w:sz w:val="22"/>
          <w:szCs w:val="22"/>
        </w:rPr>
      </w:pPr>
    </w:p>
    <w:tbl>
      <w:tblPr>
        <w:tblStyle w:val="Mkatabulky"/>
        <w:tblW w:w="0" w:type="auto"/>
        <w:shd w:val="pct15" w:color="auto" w:fill="auto"/>
        <w:tblLook w:val="04A0" w:firstRow="1" w:lastRow="0" w:firstColumn="1" w:lastColumn="0" w:noHBand="0" w:noVBand="1"/>
      </w:tblPr>
      <w:tblGrid>
        <w:gridCol w:w="2802"/>
        <w:gridCol w:w="6486"/>
      </w:tblGrid>
      <w:tr w:rsidR="00477E8D" w:rsidRPr="00477E8D" w14:paraId="5F39FF04" w14:textId="77777777" w:rsidTr="00477E8D">
        <w:tc>
          <w:tcPr>
            <w:tcW w:w="2802" w:type="dxa"/>
            <w:shd w:val="pct15" w:color="auto" w:fill="auto"/>
          </w:tcPr>
          <w:p w14:paraId="16E7C095" w14:textId="77777777" w:rsidR="00EA2748" w:rsidRPr="00477E8D" w:rsidRDefault="00EA2748" w:rsidP="00C51B65">
            <w:pPr>
              <w:spacing w:line="276" w:lineRule="auto"/>
              <w:rPr>
                <w:rFonts w:ascii="Arial" w:hAnsi="Arial" w:cs="Arial"/>
                <w:sz w:val="22"/>
                <w:szCs w:val="22"/>
              </w:rPr>
            </w:pPr>
            <w:r w:rsidRPr="00477E8D">
              <w:rPr>
                <w:rFonts w:ascii="Arial" w:hAnsi="Arial" w:cs="Arial"/>
                <w:sz w:val="22"/>
                <w:szCs w:val="22"/>
              </w:rPr>
              <w:t xml:space="preserve">Název a označení </w:t>
            </w:r>
            <w:r w:rsidRPr="00477E8D">
              <w:rPr>
                <w:rFonts w:ascii="Arial" w:hAnsi="Arial" w:cs="Arial"/>
                <w:sz w:val="22"/>
                <w:szCs w:val="22"/>
              </w:rPr>
              <w:lastRenderedPageBreak/>
              <w:t xml:space="preserve">indikátoru: </w:t>
            </w:r>
          </w:p>
        </w:tc>
        <w:tc>
          <w:tcPr>
            <w:tcW w:w="6486" w:type="dxa"/>
            <w:shd w:val="pct15" w:color="auto" w:fill="auto"/>
          </w:tcPr>
          <w:p w14:paraId="53D3D0E5" w14:textId="3C5546C4" w:rsidR="00EA2748" w:rsidRPr="00477E8D" w:rsidRDefault="00120807" w:rsidP="00C51B65">
            <w:pPr>
              <w:spacing w:line="276" w:lineRule="auto"/>
              <w:rPr>
                <w:rFonts w:ascii="Arial" w:eastAsia="Calibri" w:hAnsi="Arial" w:cs="Arial"/>
                <w:b/>
                <w:sz w:val="22"/>
                <w:szCs w:val="22"/>
              </w:rPr>
            </w:pPr>
            <w:r>
              <w:rPr>
                <w:rFonts w:ascii="Arial" w:eastAsia="Calibri" w:hAnsi="Arial" w:cs="Arial"/>
                <w:b/>
                <w:sz w:val="22"/>
                <w:szCs w:val="22"/>
              </w:rPr>
              <w:lastRenderedPageBreak/>
              <w:t>19</w:t>
            </w:r>
            <w:r w:rsidR="00EA2748" w:rsidRPr="00477E8D">
              <w:rPr>
                <w:rFonts w:ascii="Arial" w:eastAsia="Calibri" w:hAnsi="Arial" w:cs="Arial"/>
                <w:b/>
                <w:sz w:val="22"/>
                <w:szCs w:val="22"/>
              </w:rPr>
              <w:t>.</w:t>
            </w:r>
            <w:r w:rsidR="002460FC">
              <w:rPr>
                <w:rFonts w:ascii="Arial" w:eastAsia="Calibri" w:hAnsi="Arial" w:cs="Arial"/>
                <w:b/>
                <w:sz w:val="22"/>
                <w:szCs w:val="22"/>
              </w:rPr>
              <w:t>3</w:t>
            </w:r>
            <w:r w:rsidR="00EA2748" w:rsidRPr="00477E8D">
              <w:rPr>
                <w:rFonts w:ascii="Arial" w:eastAsia="Calibri" w:hAnsi="Arial" w:cs="Arial"/>
                <w:b/>
                <w:sz w:val="22"/>
                <w:szCs w:val="22"/>
              </w:rPr>
              <w:t>.2 Podíl adaptovaných budov</w:t>
            </w:r>
          </w:p>
          <w:p w14:paraId="0001C6F3" w14:textId="77777777" w:rsidR="00EA2748" w:rsidRPr="00477E8D" w:rsidRDefault="00EA2748" w:rsidP="00C51B65">
            <w:pPr>
              <w:spacing w:line="276" w:lineRule="auto"/>
              <w:rPr>
                <w:rFonts w:ascii="Arial" w:eastAsia="Arial" w:hAnsi="Arial" w:cs="Arial"/>
                <w:sz w:val="22"/>
                <w:szCs w:val="22"/>
              </w:rPr>
            </w:pPr>
          </w:p>
        </w:tc>
      </w:tr>
      <w:tr w:rsidR="00477E8D" w:rsidRPr="00477E8D" w14:paraId="18F7C3FA" w14:textId="77777777" w:rsidTr="00477E8D">
        <w:tc>
          <w:tcPr>
            <w:tcW w:w="2802" w:type="dxa"/>
            <w:shd w:val="pct15" w:color="auto" w:fill="auto"/>
          </w:tcPr>
          <w:p w14:paraId="4EF912C5" w14:textId="77777777" w:rsidR="00EA2748" w:rsidRPr="00477E8D" w:rsidRDefault="00EA2748" w:rsidP="00C51B65">
            <w:pPr>
              <w:spacing w:line="276" w:lineRule="auto"/>
              <w:rPr>
                <w:rFonts w:ascii="Arial" w:hAnsi="Arial" w:cs="Arial"/>
                <w:sz w:val="22"/>
                <w:szCs w:val="22"/>
              </w:rPr>
            </w:pPr>
            <w:r w:rsidRPr="00477E8D">
              <w:rPr>
                <w:rFonts w:ascii="Arial" w:hAnsi="Arial" w:cs="Arial"/>
                <w:sz w:val="22"/>
                <w:szCs w:val="22"/>
              </w:rPr>
              <w:lastRenderedPageBreak/>
              <w:t xml:space="preserve">Stručná definice: </w:t>
            </w:r>
          </w:p>
        </w:tc>
        <w:tc>
          <w:tcPr>
            <w:tcW w:w="6486" w:type="dxa"/>
            <w:shd w:val="pct15" w:color="auto" w:fill="auto"/>
          </w:tcPr>
          <w:p w14:paraId="445200DC" w14:textId="77777777" w:rsidR="00EA2748" w:rsidRPr="00477E8D" w:rsidRDefault="00EA2748" w:rsidP="00C516EA">
            <w:pPr>
              <w:spacing w:line="276" w:lineRule="auto"/>
              <w:jc w:val="both"/>
              <w:rPr>
                <w:rFonts w:ascii="Arial" w:hAnsi="Arial" w:cs="Arial"/>
                <w:sz w:val="22"/>
                <w:szCs w:val="22"/>
              </w:rPr>
            </w:pPr>
            <w:r w:rsidRPr="00477E8D">
              <w:rPr>
                <w:rFonts w:ascii="Arial" w:hAnsi="Arial" w:cs="Arial"/>
                <w:sz w:val="22"/>
                <w:szCs w:val="22"/>
              </w:rPr>
              <w:t>Indikátor je konstruován jako podíl počtu adaptovaných budov na základě dat dostupných v rámci příslušných dotačních programů na celkovém počtu budov v regionálním členění.</w:t>
            </w:r>
          </w:p>
        </w:tc>
      </w:tr>
      <w:tr w:rsidR="00477E8D" w:rsidRPr="00477E8D" w14:paraId="17C4072D" w14:textId="77777777" w:rsidTr="00477E8D">
        <w:tc>
          <w:tcPr>
            <w:tcW w:w="2802" w:type="dxa"/>
            <w:shd w:val="pct15" w:color="auto" w:fill="auto"/>
          </w:tcPr>
          <w:p w14:paraId="74260F4E" w14:textId="77777777" w:rsidR="00EA2748" w:rsidRPr="00477E8D" w:rsidRDefault="00EA2748" w:rsidP="00C51B65">
            <w:pPr>
              <w:spacing w:line="276" w:lineRule="auto"/>
              <w:rPr>
                <w:rFonts w:ascii="Arial" w:hAnsi="Arial" w:cs="Arial"/>
                <w:sz w:val="22"/>
                <w:szCs w:val="22"/>
              </w:rPr>
            </w:pPr>
            <w:r w:rsidRPr="00477E8D">
              <w:rPr>
                <w:rFonts w:ascii="Arial" w:hAnsi="Arial" w:cs="Arial"/>
                <w:sz w:val="22"/>
                <w:szCs w:val="22"/>
              </w:rPr>
              <w:t>Jednotka:</w:t>
            </w:r>
          </w:p>
        </w:tc>
        <w:tc>
          <w:tcPr>
            <w:tcW w:w="6486" w:type="dxa"/>
            <w:shd w:val="pct15" w:color="auto" w:fill="auto"/>
          </w:tcPr>
          <w:p w14:paraId="73261A18" w14:textId="77777777" w:rsidR="00EA2748" w:rsidRPr="00477E8D" w:rsidRDefault="00120807" w:rsidP="00C516EA">
            <w:pPr>
              <w:spacing w:line="276" w:lineRule="auto"/>
              <w:jc w:val="both"/>
              <w:rPr>
                <w:rFonts w:ascii="Arial" w:hAnsi="Arial" w:cs="Arial"/>
                <w:sz w:val="22"/>
                <w:szCs w:val="22"/>
              </w:rPr>
            </w:pPr>
            <w:r>
              <w:rPr>
                <w:rFonts w:ascii="Arial" w:hAnsi="Arial" w:cs="Arial"/>
                <w:sz w:val="22"/>
                <w:szCs w:val="22"/>
              </w:rPr>
              <w:t xml:space="preserve">Podíl (v </w:t>
            </w:r>
            <w:r w:rsidR="00EA2748" w:rsidRPr="00477E8D">
              <w:rPr>
                <w:rFonts w:ascii="Arial" w:hAnsi="Arial" w:cs="Arial"/>
                <w:sz w:val="22"/>
                <w:szCs w:val="22"/>
              </w:rPr>
              <w:t>%</w:t>
            </w:r>
            <w:r>
              <w:rPr>
                <w:rFonts w:ascii="Arial" w:hAnsi="Arial" w:cs="Arial"/>
                <w:sz w:val="22"/>
                <w:szCs w:val="22"/>
              </w:rPr>
              <w:t>)</w:t>
            </w:r>
          </w:p>
        </w:tc>
      </w:tr>
      <w:tr w:rsidR="00477E8D" w:rsidRPr="00477E8D" w14:paraId="4F6C91F6" w14:textId="77777777" w:rsidTr="00477E8D">
        <w:tc>
          <w:tcPr>
            <w:tcW w:w="2802" w:type="dxa"/>
            <w:shd w:val="pct15" w:color="auto" w:fill="auto"/>
          </w:tcPr>
          <w:p w14:paraId="565417F2" w14:textId="77777777" w:rsidR="00EA2748" w:rsidRPr="00477E8D" w:rsidRDefault="00EA2748" w:rsidP="00C51B65">
            <w:pPr>
              <w:spacing w:line="276" w:lineRule="auto"/>
              <w:rPr>
                <w:rFonts w:ascii="Arial" w:hAnsi="Arial" w:cs="Arial"/>
                <w:sz w:val="22"/>
                <w:szCs w:val="22"/>
              </w:rPr>
            </w:pPr>
            <w:r w:rsidRPr="00477E8D">
              <w:rPr>
                <w:rFonts w:ascii="Arial" w:hAnsi="Arial" w:cs="Arial"/>
                <w:sz w:val="22"/>
                <w:szCs w:val="22"/>
              </w:rPr>
              <w:t xml:space="preserve">Gestor: </w:t>
            </w:r>
          </w:p>
        </w:tc>
        <w:tc>
          <w:tcPr>
            <w:tcW w:w="6486" w:type="dxa"/>
            <w:shd w:val="pct15" w:color="auto" w:fill="auto"/>
          </w:tcPr>
          <w:p w14:paraId="73278D81" w14:textId="77777777" w:rsidR="00EA2748" w:rsidRPr="00477E8D" w:rsidRDefault="00120807" w:rsidP="00C516EA">
            <w:pPr>
              <w:spacing w:line="276" w:lineRule="auto"/>
              <w:jc w:val="both"/>
              <w:rPr>
                <w:rFonts w:ascii="Arial" w:hAnsi="Arial" w:cs="Arial"/>
                <w:sz w:val="22"/>
                <w:szCs w:val="22"/>
              </w:rPr>
            </w:pPr>
            <w:r>
              <w:rPr>
                <w:rFonts w:ascii="Arial" w:hAnsi="Arial" w:cs="Arial"/>
                <w:sz w:val="22"/>
                <w:szCs w:val="22"/>
              </w:rPr>
              <w:t>G</w:t>
            </w:r>
            <w:r w:rsidR="00EA2748" w:rsidRPr="00477E8D">
              <w:rPr>
                <w:rFonts w:ascii="Arial" w:hAnsi="Arial" w:cs="Arial"/>
                <w:sz w:val="22"/>
                <w:szCs w:val="22"/>
              </w:rPr>
              <w:t>aranti příslušných dotačních programů</w:t>
            </w:r>
          </w:p>
        </w:tc>
      </w:tr>
      <w:tr w:rsidR="00477E8D" w:rsidRPr="00477E8D" w14:paraId="3012FE5E" w14:textId="77777777" w:rsidTr="00477E8D">
        <w:tc>
          <w:tcPr>
            <w:tcW w:w="2802" w:type="dxa"/>
            <w:shd w:val="pct15" w:color="auto" w:fill="auto"/>
          </w:tcPr>
          <w:p w14:paraId="13286D33" w14:textId="77777777" w:rsidR="00EA2748" w:rsidRPr="00477E8D" w:rsidRDefault="00EA2748" w:rsidP="00C51B65">
            <w:pPr>
              <w:spacing w:line="276" w:lineRule="auto"/>
              <w:rPr>
                <w:rFonts w:ascii="Arial" w:hAnsi="Arial" w:cs="Arial"/>
                <w:sz w:val="22"/>
                <w:szCs w:val="22"/>
              </w:rPr>
            </w:pPr>
            <w:r w:rsidRPr="00477E8D">
              <w:rPr>
                <w:rFonts w:ascii="Arial" w:hAnsi="Arial" w:cs="Arial"/>
                <w:sz w:val="22"/>
                <w:szCs w:val="22"/>
              </w:rPr>
              <w:t xml:space="preserve">Význam indikátoru: </w:t>
            </w:r>
          </w:p>
        </w:tc>
        <w:tc>
          <w:tcPr>
            <w:tcW w:w="6486" w:type="dxa"/>
            <w:shd w:val="pct15" w:color="auto" w:fill="auto"/>
          </w:tcPr>
          <w:p w14:paraId="10F20769" w14:textId="77777777" w:rsidR="00EA2748" w:rsidRPr="00477E8D" w:rsidRDefault="00EA2748" w:rsidP="00C516EA">
            <w:pPr>
              <w:spacing w:line="276" w:lineRule="auto"/>
              <w:jc w:val="both"/>
              <w:rPr>
                <w:rFonts w:ascii="Arial" w:hAnsi="Arial" w:cs="Arial"/>
                <w:sz w:val="22"/>
                <w:szCs w:val="22"/>
              </w:rPr>
            </w:pPr>
            <w:r w:rsidRPr="00477E8D">
              <w:rPr>
                <w:rFonts w:ascii="Arial" w:hAnsi="Arial" w:cs="Arial"/>
                <w:sz w:val="22"/>
                <w:szCs w:val="22"/>
              </w:rPr>
              <w:t>Indikátor je indikátorem citlivosti urbánního prostředí vůči extrémním teplotám. Zvyšující se hodnoty tohoto indikátoru jsou hodnoceny jako pokles citlivosti, tedy pozitivně.</w:t>
            </w:r>
          </w:p>
        </w:tc>
      </w:tr>
      <w:tr w:rsidR="00477E8D" w:rsidRPr="00477E8D" w14:paraId="444D02D8" w14:textId="77777777" w:rsidTr="00477E8D">
        <w:tc>
          <w:tcPr>
            <w:tcW w:w="2802" w:type="dxa"/>
            <w:shd w:val="pct15" w:color="auto" w:fill="auto"/>
          </w:tcPr>
          <w:p w14:paraId="63B530F7" w14:textId="77777777" w:rsidR="00EA2748" w:rsidRPr="00477E8D" w:rsidRDefault="00EA2748" w:rsidP="00C51B65">
            <w:pPr>
              <w:spacing w:line="276" w:lineRule="auto"/>
              <w:rPr>
                <w:rFonts w:ascii="Arial" w:hAnsi="Arial" w:cs="Arial"/>
                <w:sz w:val="22"/>
                <w:szCs w:val="22"/>
              </w:rPr>
            </w:pPr>
            <w:r w:rsidRPr="00477E8D">
              <w:rPr>
                <w:rFonts w:ascii="Arial" w:hAnsi="Arial" w:cs="Arial"/>
                <w:sz w:val="22"/>
                <w:szCs w:val="22"/>
              </w:rPr>
              <w:t xml:space="preserve">Časová řada: </w:t>
            </w:r>
          </w:p>
        </w:tc>
        <w:tc>
          <w:tcPr>
            <w:tcW w:w="6486" w:type="dxa"/>
            <w:shd w:val="pct15" w:color="auto" w:fill="auto"/>
          </w:tcPr>
          <w:p w14:paraId="3924653F" w14:textId="77777777" w:rsidR="00EA2748" w:rsidRPr="00477E8D" w:rsidRDefault="00EA2748" w:rsidP="00C51B65">
            <w:pPr>
              <w:spacing w:line="276" w:lineRule="auto"/>
              <w:rPr>
                <w:rFonts w:ascii="Arial" w:hAnsi="Arial" w:cs="Arial"/>
                <w:sz w:val="22"/>
                <w:szCs w:val="22"/>
              </w:rPr>
            </w:pPr>
          </w:p>
        </w:tc>
      </w:tr>
      <w:tr w:rsidR="00477E8D" w:rsidRPr="00477E8D" w14:paraId="3BF7397F" w14:textId="77777777" w:rsidTr="00477E8D">
        <w:tc>
          <w:tcPr>
            <w:tcW w:w="2802" w:type="dxa"/>
            <w:shd w:val="pct15" w:color="auto" w:fill="auto"/>
          </w:tcPr>
          <w:p w14:paraId="5972F3F4" w14:textId="77777777" w:rsidR="00EA2748" w:rsidRPr="00477E8D" w:rsidRDefault="00EA2748" w:rsidP="00C51B65">
            <w:pPr>
              <w:spacing w:line="276" w:lineRule="auto"/>
              <w:rPr>
                <w:rFonts w:ascii="Arial" w:hAnsi="Arial" w:cs="Arial"/>
                <w:sz w:val="22"/>
                <w:szCs w:val="22"/>
              </w:rPr>
            </w:pPr>
            <w:r w:rsidRPr="00477E8D">
              <w:rPr>
                <w:rFonts w:ascii="Arial" w:hAnsi="Arial" w:cs="Arial"/>
                <w:sz w:val="22"/>
                <w:szCs w:val="22"/>
              </w:rPr>
              <w:t xml:space="preserve">Frekvence výstupu: </w:t>
            </w:r>
          </w:p>
        </w:tc>
        <w:tc>
          <w:tcPr>
            <w:tcW w:w="6486" w:type="dxa"/>
            <w:shd w:val="pct15" w:color="auto" w:fill="auto"/>
          </w:tcPr>
          <w:p w14:paraId="2A05CF87" w14:textId="77777777" w:rsidR="00EA2748" w:rsidRPr="00477E8D" w:rsidRDefault="00EA2748" w:rsidP="00C51B65">
            <w:pPr>
              <w:spacing w:line="276" w:lineRule="auto"/>
              <w:rPr>
                <w:rFonts w:ascii="Arial" w:hAnsi="Arial" w:cs="Arial"/>
                <w:sz w:val="22"/>
                <w:szCs w:val="22"/>
              </w:rPr>
            </w:pPr>
          </w:p>
        </w:tc>
      </w:tr>
      <w:tr w:rsidR="00477E8D" w:rsidRPr="00477E8D" w14:paraId="10340C16" w14:textId="77777777" w:rsidTr="00477E8D">
        <w:trPr>
          <w:trHeight w:val="70"/>
        </w:trPr>
        <w:tc>
          <w:tcPr>
            <w:tcW w:w="2802" w:type="dxa"/>
            <w:shd w:val="pct15" w:color="auto" w:fill="auto"/>
          </w:tcPr>
          <w:p w14:paraId="1665939B" w14:textId="77777777" w:rsidR="00EA2748" w:rsidRPr="00477E8D" w:rsidRDefault="00EA2748" w:rsidP="00C51B65">
            <w:pPr>
              <w:spacing w:line="276" w:lineRule="auto"/>
              <w:rPr>
                <w:rFonts w:ascii="Arial" w:hAnsi="Arial" w:cs="Arial"/>
                <w:sz w:val="22"/>
                <w:szCs w:val="22"/>
              </w:rPr>
            </w:pPr>
            <w:r w:rsidRPr="00477E8D">
              <w:rPr>
                <w:rFonts w:ascii="Arial" w:hAnsi="Arial" w:cs="Arial"/>
                <w:sz w:val="22"/>
                <w:szCs w:val="22"/>
              </w:rPr>
              <w:t xml:space="preserve">Členění indikátoru: </w:t>
            </w:r>
          </w:p>
        </w:tc>
        <w:tc>
          <w:tcPr>
            <w:tcW w:w="6486" w:type="dxa"/>
            <w:shd w:val="pct15" w:color="auto" w:fill="auto"/>
          </w:tcPr>
          <w:p w14:paraId="51DC6C50" w14:textId="77777777" w:rsidR="00EA2748" w:rsidRPr="00477E8D" w:rsidRDefault="00EA2748" w:rsidP="00C51B65">
            <w:pPr>
              <w:spacing w:line="276" w:lineRule="auto"/>
              <w:rPr>
                <w:rFonts w:ascii="Arial" w:hAnsi="Arial" w:cs="Arial"/>
                <w:sz w:val="22"/>
                <w:szCs w:val="22"/>
              </w:rPr>
            </w:pPr>
          </w:p>
        </w:tc>
      </w:tr>
      <w:tr w:rsidR="00477E8D" w:rsidRPr="00477E8D" w14:paraId="123A8FAA" w14:textId="77777777" w:rsidTr="00477E8D">
        <w:trPr>
          <w:trHeight w:val="70"/>
        </w:trPr>
        <w:tc>
          <w:tcPr>
            <w:tcW w:w="2802" w:type="dxa"/>
            <w:shd w:val="pct15" w:color="auto" w:fill="auto"/>
          </w:tcPr>
          <w:p w14:paraId="37C0655C" w14:textId="77777777" w:rsidR="00EA2748" w:rsidRPr="00477E8D" w:rsidRDefault="00EA2748" w:rsidP="00C51B65">
            <w:pPr>
              <w:spacing w:line="276" w:lineRule="auto"/>
              <w:rPr>
                <w:rFonts w:ascii="Arial" w:hAnsi="Arial" w:cs="Arial"/>
                <w:sz w:val="22"/>
                <w:szCs w:val="22"/>
              </w:rPr>
            </w:pPr>
            <w:r w:rsidRPr="00477E8D">
              <w:rPr>
                <w:rFonts w:ascii="Arial" w:hAnsi="Arial" w:cs="Arial"/>
                <w:sz w:val="22"/>
                <w:szCs w:val="22"/>
              </w:rPr>
              <w:t>Mezinárodní srovnání:</w:t>
            </w:r>
          </w:p>
        </w:tc>
        <w:tc>
          <w:tcPr>
            <w:tcW w:w="6486" w:type="dxa"/>
            <w:shd w:val="pct15" w:color="auto" w:fill="auto"/>
          </w:tcPr>
          <w:p w14:paraId="6AFD4B31" w14:textId="77777777" w:rsidR="00EA2748" w:rsidRPr="00477E8D" w:rsidRDefault="00EA2748" w:rsidP="00C51B65">
            <w:pPr>
              <w:spacing w:line="276" w:lineRule="auto"/>
              <w:rPr>
                <w:rFonts w:ascii="Arial" w:hAnsi="Arial" w:cs="Arial"/>
                <w:sz w:val="22"/>
                <w:szCs w:val="22"/>
              </w:rPr>
            </w:pPr>
          </w:p>
        </w:tc>
      </w:tr>
      <w:tr w:rsidR="00477E8D" w:rsidRPr="00477E8D" w14:paraId="242DACA4" w14:textId="77777777" w:rsidTr="00477E8D">
        <w:trPr>
          <w:trHeight w:val="70"/>
        </w:trPr>
        <w:tc>
          <w:tcPr>
            <w:tcW w:w="2802" w:type="dxa"/>
            <w:shd w:val="pct15" w:color="auto" w:fill="auto"/>
          </w:tcPr>
          <w:p w14:paraId="6BA61FC8" w14:textId="77777777" w:rsidR="00EA2748" w:rsidRPr="00477E8D" w:rsidRDefault="00EA2748" w:rsidP="00C51B65">
            <w:pPr>
              <w:spacing w:line="276" w:lineRule="auto"/>
              <w:rPr>
                <w:rFonts w:ascii="Arial" w:hAnsi="Arial" w:cs="Arial"/>
                <w:i/>
                <w:sz w:val="22"/>
                <w:szCs w:val="22"/>
              </w:rPr>
            </w:pPr>
            <w:r w:rsidRPr="00477E8D">
              <w:rPr>
                <w:rFonts w:ascii="Arial" w:hAnsi="Arial" w:cs="Arial"/>
                <w:i/>
                <w:sz w:val="22"/>
                <w:szCs w:val="22"/>
              </w:rPr>
              <w:t>Poznámka</w:t>
            </w:r>
          </w:p>
        </w:tc>
        <w:tc>
          <w:tcPr>
            <w:tcW w:w="6486" w:type="dxa"/>
            <w:shd w:val="pct15" w:color="auto" w:fill="auto"/>
          </w:tcPr>
          <w:p w14:paraId="5F1E303E" w14:textId="2E88B355" w:rsidR="00EA2748" w:rsidRPr="00477E8D" w:rsidRDefault="00EA2748" w:rsidP="00C51B65">
            <w:pPr>
              <w:spacing w:line="276" w:lineRule="auto"/>
              <w:rPr>
                <w:rFonts w:ascii="Arial" w:hAnsi="Arial" w:cs="Arial"/>
                <w:i/>
                <w:sz w:val="22"/>
                <w:szCs w:val="22"/>
              </w:rPr>
            </w:pPr>
          </w:p>
        </w:tc>
      </w:tr>
    </w:tbl>
    <w:p w14:paraId="0744DB8F" w14:textId="77777777" w:rsidR="00120807" w:rsidRPr="00120807" w:rsidRDefault="00120807" w:rsidP="00C516EA">
      <w:pPr>
        <w:pStyle w:val="r2030podcle"/>
        <w:numPr>
          <w:ilvl w:val="1"/>
          <w:numId w:val="17"/>
        </w:numPr>
        <w:ind w:left="567" w:hanging="425"/>
      </w:pPr>
      <w:r w:rsidRPr="00120807">
        <w:t xml:space="preserve">Zvyšuje se podíl veřejné zeleně v městských aglomeracích. </w:t>
      </w:r>
    </w:p>
    <w:tbl>
      <w:tblPr>
        <w:tblStyle w:val="Mkatabulky"/>
        <w:tblW w:w="0" w:type="auto"/>
        <w:tblLook w:val="04A0" w:firstRow="1" w:lastRow="0" w:firstColumn="1" w:lastColumn="0" w:noHBand="0" w:noVBand="1"/>
      </w:tblPr>
      <w:tblGrid>
        <w:gridCol w:w="2802"/>
        <w:gridCol w:w="6486"/>
      </w:tblGrid>
      <w:tr w:rsidR="00EA2748" w:rsidRPr="0007074B" w14:paraId="55EC6D2D" w14:textId="77777777" w:rsidTr="00B460D5">
        <w:tc>
          <w:tcPr>
            <w:tcW w:w="2802" w:type="dxa"/>
          </w:tcPr>
          <w:p w14:paraId="77A7B777"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Název a označení indikátoru: </w:t>
            </w:r>
          </w:p>
        </w:tc>
        <w:tc>
          <w:tcPr>
            <w:tcW w:w="6486" w:type="dxa"/>
          </w:tcPr>
          <w:p w14:paraId="78364B1C" w14:textId="4D548D75" w:rsidR="00EA2748" w:rsidRPr="006575CE" w:rsidRDefault="00120807" w:rsidP="00C51B65">
            <w:pPr>
              <w:spacing w:line="276" w:lineRule="auto"/>
              <w:rPr>
                <w:rFonts w:ascii="Arial" w:eastAsia="Arial" w:hAnsi="Arial" w:cs="Arial"/>
                <w:b/>
                <w:color w:val="000000"/>
                <w:sz w:val="22"/>
                <w:szCs w:val="22"/>
              </w:rPr>
            </w:pPr>
            <w:r>
              <w:rPr>
                <w:rFonts w:ascii="Arial" w:eastAsia="Calibri" w:hAnsi="Arial" w:cs="Arial"/>
                <w:b/>
                <w:sz w:val="22"/>
                <w:szCs w:val="22"/>
              </w:rPr>
              <w:t>19</w:t>
            </w:r>
            <w:r w:rsidR="00EA2748" w:rsidRPr="006575CE">
              <w:rPr>
                <w:rFonts w:ascii="Arial" w:eastAsia="Calibri" w:hAnsi="Arial" w:cs="Arial"/>
                <w:b/>
                <w:sz w:val="22"/>
                <w:szCs w:val="22"/>
              </w:rPr>
              <w:t>.</w:t>
            </w:r>
            <w:r w:rsidR="002460FC">
              <w:rPr>
                <w:rFonts w:ascii="Arial" w:eastAsia="Calibri" w:hAnsi="Arial" w:cs="Arial"/>
                <w:b/>
                <w:sz w:val="22"/>
                <w:szCs w:val="22"/>
              </w:rPr>
              <w:t>4</w:t>
            </w:r>
            <w:r w:rsidR="00EA2748" w:rsidRPr="006575CE">
              <w:rPr>
                <w:rFonts w:ascii="Arial" w:eastAsia="Calibri" w:hAnsi="Arial" w:cs="Arial"/>
                <w:b/>
                <w:sz w:val="22"/>
                <w:szCs w:val="22"/>
              </w:rPr>
              <w:t xml:space="preserve">.1 Podíl </w:t>
            </w:r>
            <w:r w:rsidR="00EA20E0">
              <w:rPr>
                <w:rFonts w:ascii="Arial" w:eastAsia="Calibri" w:hAnsi="Arial" w:cs="Arial"/>
                <w:b/>
                <w:sz w:val="22"/>
                <w:szCs w:val="22"/>
              </w:rPr>
              <w:t xml:space="preserve">plochy </w:t>
            </w:r>
            <w:r w:rsidR="00EA2748" w:rsidRPr="006575CE">
              <w:rPr>
                <w:rFonts w:ascii="Arial" w:eastAsia="Calibri" w:hAnsi="Arial" w:cs="Arial"/>
                <w:b/>
                <w:sz w:val="22"/>
                <w:szCs w:val="22"/>
              </w:rPr>
              <w:t>zeleně ve městech</w:t>
            </w:r>
            <w:r w:rsidR="00EA2748" w:rsidRPr="006575CE">
              <w:rPr>
                <w:rFonts w:ascii="Arial" w:eastAsia="Arial" w:hAnsi="Arial" w:cs="Arial"/>
                <w:b/>
                <w:color w:val="000000"/>
                <w:sz w:val="22"/>
                <w:szCs w:val="22"/>
              </w:rPr>
              <w:t xml:space="preserve"> </w:t>
            </w:r>
          </w:p>
        </w:tc>
      </w:tr>
      <w:tr w:rsidR="00EA2748" w:rsidRPr="0007074B" w14:paraId="64135102" w14:textId="77777777" w:rsidTr="00B460D5">
        <w:tc>
          <w:tcPr>
            <w:tcW w:w="2802" w:type="dxa"/>
          </w:tcPr>
          <w:p w14:paraId="6A2548DD"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Stručná definice: </w:t>
            </w:r>
          </w:p>
        </w:tc>
        <w:tc>
          <w:tcPr>
            <w:tcW w:w="6486" w:type="dxa"/>
          </w:tcPr>
          <w:p w14:paraId="3369273E" w14:textId="49FAD595" w:rsidR="00EA2748" w:rsidRPr="0007074B" w:rsidRDefault="00EA2748" w:rsidP="00C516EA">
            <w:pPr>
              <w:spacing w:line="276" w:lineRule="auto"/>
              <w:jc w:val="both"/>
              <w:rPr>
                <w:rFonts w:ascii="Arial" w:hAnsi="Arial" w:cs="Arial"/>
                <w:sz w:val="22"/>
                <w:szCs w:val="22"/>
              </w:rPr>
            </w:pPr>
            <w:r w:rsidRPr="00870B1D">
              <w:rPr>
                <w:rFonts w:ascii="Arial" w:hAnsi="Arial" w:cs="Arial"/>
                <w:sz w:val="22"/>
                <w:szCs w:val="22"/>
              </w:rPr>
              <w:t xml:space="preserve">Indikátor je konstruován jako celkový úhrn zelených ploch ve městě a jejich podíl na celkové velikosti města, přičemž město je plošně vymezeno územními jednotkami vycházejících z dat RSO a zelené plochy zahrnují: lesní pozemky, chráněné oblasti (VZCHÚ, MZCHÚ), záplavová území – poldry, zamokřená území, TTP – louky a pastviny, městské parky se zelení, střechy porostlé zelení (tzv. zelené střechy), </w:t>
            </w:r>
            <w:proofErr w:type="spellStart"/>
            <w:r w:rsidRPr="00870B1D">
              <w:rPr>
                <w:rFonts w:ascii="Arial" w:hAnsi="Arial" w:cs="Arial"/>
                <w:sz w:val="22"/>
                <w:szCs w:val="22"/>
              </w:rPr>
              <w:t>ekodukty</w:t>
            </w:r>
            <w:proofErr w:type="spellEnd"/>
            <w:r w:rsidRPr="00870B1D">
              <w:rPr>
                <w:rFonts w:ascii="Arial" w:hAnsi="Arial" w:cs="Arial"/>
                <w:sz w:val="22"/>
                <w:szCs w:val="22"/>
              </w:rPr>
              <w:t>, vodní toky a jejich břehová vegetace, vodní plochy.</w:t>
            </w:r>
          </w:p>
        </w:tc>
      </w:tr>
      <w:tr w:rsidR="00EA2748" w:rsidRPr="0007074B" w14:paraId="6EC454E0" w14:textId="77777777" w:rsidTr="00B460D5">
        <w:tc>
          <w:tcPr>
            <w:tcW w:w="2802" w:type="dxa"/>
          </w:tcPr>
          <w:p w14:paraId="5417B19C"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Jednotka:</w:t>
            </w:r>
          </w:p>
        </w:tc>
        <w:tc>
          <w:tcPr>
            <w:tcW w:w="6486" w:type="dxa"/>
          </w:tcPr>
          <w:p w14:paraId="2C059F7D" w14:textId="4064A8E5" w:rsidR="00EA2748" w:rsidRPr="0007074B" w:rsidRDefault="00120807" w:rsidP="00C516EA">
            <w:pPr>
              <w:spacing w:line="276" w:lineRule="auto"/>
              <w:jc w:val="both"/>
              <w:rPr>
                <w:rFonts w:ascii="Arial" w:hAnsi="Arial" w:cs="Arial"/>
                <w:sz w:val="22"/>
                <w:szCs w:val="22"/>
              </w:rPr>
            </w:pPr>
            <w:r>
              <w:rPr>
                <w:rFonts w:ascii="Arial" w:hAnsi="Arial" w:cs="Arial"/>
                <w:sz w:val="22"/>
                <w:szCs w:val="22"/>
              </w:rPr>
              <w:t xml:space="preserve">Podíl (v </w:t>
            </w:r>
            <w:r w:rsidR="00EA2748" w:rsidRPr="00870B1D">
              <w:rPr>
                <w:rFonts w:ascii="Arial" w:hAnsi="Arial" w:cs="Arial"/>
                <w:sz w:val="22"/>
                <w:szCs w:val="22"/>
              </w:rPr>
              <w:t>%</w:t>
            </w:r>
            <w:r>
              <w:rPr>
                <w:rFonts w:ascii="Arial" w:hAnsi="Arial" w:cs="Arial"/>
                <w:sz w:val="22"/>
                <w:szCs w:val="22"/>
              </w:rPr>
              <w:t>)</w:t>
            </w:r>
            <w:r w:rsidR="00EA2748" w:rsidRPr="00870B1D">
              <w:rPr>
                <w:rFonts w:ascii="Arial" w:hAnsi="Arial" w:cs="Arial"/>
                <w:sz w:val="22"/>
                <w:szCs w:val="22"/>
              </w:rPr>
              <w:t xml:space="preserve">, </w:t>
            </w:r>
            <w:r w:rsidR="00F619F4">
              <w:rPr>
                <w:rFonts w:ascii="Arial" w:hAnsi="Arial" w:cs="Arial"/>
                <w:sz w:val="22"/>
                <w:szCs w:val="22"/>
              </w:rPr>
              <w:t>p</w:t>
            </w:r>
            <w:r w:rsidR="00F30DA3">
              <w:rPr>
                <w:rFonts w:ascii="Arial" w:hAnsi="Arial" w:cs="Arial"/>
                <w:sz w:val="22"/>
                <w:szCs w:val="22"/>
              </w:rPr>
              <w:t xml:space="preserve">locha </w:t>
            </w:r>
            <w:r w:rsidR="00F30DA3" w:rsidRPr="00375C6C">
              <w:rPr>
                <w:rFonts w:ascii="Arial" w:hAnsi="Arial" w:cs="Arial"/>
                <w:sz w:val="22"/>
                <w:szCs w:val="22"/>
              </w:rPr>
              <w:t>[ha]</w:t>
            </w:r>
          </w:p>
        </w:tc>
      </w:tr>
      <w:tr w:rsidR="00EA2748" w:rsidRPr="0007074B" w14:paraId="0D4DBBAD" w14:textId="77777777" w:rsidTr="00B460D5">
        <w:tc>
          <w:tcPr>
            <w:tcW w:w="2802" w:type="dxa"/>
          </w:tcPr>
          <w:p w14:paraId="7CF906BD"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Gestor: </w:t>
            </w:r>
          </w:p>
        </w:tc>
        <w:tc>
          <w:tcPr>
            <w:tcW w:w="6486" w:type="dxa"/>
          </w:tcPr>
          <w:p w14:paraId="78847A1E" w14:textId="77777777" w:rsidR="00EA2748" w:rsidRPr="0007074B" w:rsidRDefault="00120807" w:rsidP="00C516EA">
            <w:pPr>
              <w:spacing w:line="276" w:lineRule="auto"/>
              <w:jc w:val="both"/>
              <w:rPr>
                <w:rFonts w:ascii="Arial" w:hAnsi="Arial" w:cs="Arial"/>
                <w:sz w:val="22"/>
                <w:szCs w:val="22"/>
              </w:rPr>
            </w:pPr>
            <w:r>
              <w:rPr>
                <w:rFonts w:ascii="Arial" w:hAnsi="Arial" w:cs="Arial"/>
                <w:sz w:val="22"/>
                <w:szCs w:val="22"/>
              </w:rPr>
              <w:t>Ministerstvo životního prostředí</w:t>
            </w:r>
            <w:r w:rsidR="00EA2748">
              <w:rPr>
                <w:rFonts w:ascii="Arial" w:hAnsi="Arial" w:cs="Arial"/>
                <w:sz w:val="22"/>
                <w:szCs w:val="22"/>
              </w:rPr>
              <w:t xml:space="preserve"> (CENIA)</w:t>
            </w:r>
          </w:p>
        </w:tc>
      </w:tr>
      <w:tr w:rsidR="00EA2748" w:rsidRPr="0007074B" w14:paraId="33817102" w14:textId="77777777" w:rsidTr="00B460D5">
        <w:tc>
          <w:tcPr>
            <w:tcW w:w="2802" w:type="dxa"/>
          </w:tcPr>
          <w:p w14:paraId="7A25892D"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Význam indikátoru: </w:t>
            </w:r>
          </w:p>
        </w:tc>
        <w:tc>
          <w:tcPr>
            <w:tcW w:w="6486" w:type="dxa"/>
          </w:tcPr>
          <w:p w14:paraId="0D0C7F6F" w14:textId="77777777" w:rsidR="00EA2748" w:rsidRPr="00870B1D" w:rsidRDefault="00EA2748" w:rsidP="00C516EA">
            <w:pPr>
              <w:spacing w:line="276" w:lineRule="auto"/>
              <w:jc w:val="both"/>
              <w:rPr>
                <w:rFonts w:ascii="Arial" w:hAnsi="Arial" w:cs="Arial"/>
                <w:sz w:val="22"/>
                <w:szCs w:val="22"/>
              </w:rPr>
            </w:pPr>
            <w:r w:rsidRPr="00870B1D">
              <w:rPr>
                <w:rFonts w:ascii="Arial" w:hAnsi="Arial" w:cs="Arial"/>
                <w:sz w:val="22"/>
                <w:szCs w:val="22"/>
              </w:rPr>
              <w:t>Zelené plochy ve městech pozitivně působí na fyzický a psychický stav obyvatelstva, podporují sociální soudržnost, představují významné klidové zóny s možností přirozeného zastínění, zlepšují mikroklima oblasti, zvyšují evapotranspiraci, snižují povrchový odtok a tím zlepšují zdravotní podmínky obyvatelstva a obecně kvalitu života ve městech.</w:t>
            </w:r>
          </w:p>
        </w:tc>
      </w:tr>
      <w:tr w:rsidR="00EA2748" w:rsidRPr="0007074B" w14:paraId="540B2A84" w14:textId="77777777" w:rsidTr="00B460D5">
        <w:tc>
          <w:tcPr>
            <w:tcW w:w="2802" w:type="dxa"/>
          </w:tcPr>
          <w:p w14:paraId="07D92F99"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Časová řada: </w:t>
            </w:r>
          </w:p>
        </w:tc>
        <w:tc>
          <w:tcPr>
            <w:tcW w:w="6486" w:type="dxa"/>
          </w:tcPr>
          <w:p w14:paraId="3203BA34" w14:textId="77777777" w:rsidR="00EA2748" w:rsidRPr="00870B1D" w:rsidRDefault="00120807" w:rsidP="00C516EA">
            <w:pPr>
              <w:spacing w:line="276" w:lineRule="auto"/>
              <w:jc w:val="both"/>
              <w:rPr>
                <w:rFonts w:ascii="Arial" w:hAnsi="Arial" w:cs="Arial"/>
                <w:sz w:val="22"/>
                <w:szCs w:val="22"/>
              </w:rPr>
            </w:pPr>
            <w:r>
              <w:rPr>
                <w:rFonts w:ascii="Arial" w:hAnsi="Arial" w:cs="Arial"/>
                <w:sz w:val="22"/>
                <w:szCs w:val="22"/>
              </w:rPr>
              <w:t>Od roku</w:t>
            </w:r>
            <w:r w:rsidR="00EA2748" w:rsidRPr="00870B1D">
              <w:rPr>
                <w:rFonts w:ascii="Arial" w:hAnsi="Arial" w:cs="Arial"/>
                <w:sz w:val="22"/>
                <w:szCs w:val="22"/>
              </w:rPr>
              <w:t xml:space="preserve"> 2016</w:t>
            </w:r>
          </w:p>
        </w:tc>
      </w:tr>
      <w:tr w:rsidR="00EA2748" w:rsidRPr="0007074B" w14:paraId="03B15435" w14:textId="77777777" w:rsidTr="00B460D5">
        <w:tc>
          <w:tcPr>
            <w:tcW w:w="2802" w:type="dxa"/>
          </w:tcPr>
          <w:p w14:paraId="4B6AEAAF"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Frekvence výstupu: </w:t>
            </w:r>
          </w:p>
        </w:tc>
        <w:tc>
          <w:tcPr>
            <w:tcW w:w="6486" w:type="dxa"/>
          </w:tcPr>
          <w:p w14:paraId="5FBA2885" w14:textId="2400B3B4" w:rsidR="00EA2748" w:rsidRPr="00870B1D" w:rsidRDefault="00F30DA3" w:rsidP="00C516EA">
            <w:pPr>
              <w:spacing w:line="276" w:lineRule="auto"/>
              <w:jc w:val="both"/>
              <w:rPr>
                <w:rFonts w:ascii="Arial" w:hAnsi="Arial" w:cs="Arial"/>
                <w:sz w:val="22"/>
                <w:szCs w:val="22"/>
              </w:rPr>
            </w:pPr>
            <w:r>
              <w:rPr>
                <w:rFonts w:ascii="Arial" w:hAnsi="Arial" w:cs="Arial"/>
                <w:sz w:val="22"/>
                <w:szCs w:val="22"/>
              </w:rPr>
              <w:t>Jednou za</w:t>
            </w:r>
            <w:r w:rsidR="00EA2748" w:rsidRPr="00870B1D">
              <w:rPr>
                <w:rFonts w:ascii="Arial" w:hAnsi="Arial" w:cs="Arial"/>
                <w:sz w:val="22"/>
                <w:szCs w:val="22"/>
              </w:rPr>
              <w:t xml:space="preserve"> 6 let</w:t>
            </w:r>
          </w:p>
        </w:tc>
      </w:tr>
      <w:tr w:rsidR="00EA2748" w:rsidRPr="0007074B" w14:paraId="1253F755" w14:textId="77777777" w:rsidTr="00B460D5">
        <w:trPr>
          <w:trHeight w:val="70"/>
        </w:trPr>
        <w:tc>
          <w:tcPr>
            <w:tcW w:w="2802" w:type="dxa"/>
          </w:tcPr>
          <w:p w14:paraId="44F81938"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Členění indikátoru: </w:t>
            </w:r>
          </w:p>
        </w:tc>
        <w:tc>
          <w:tcPr>
            <w:tcW w:w="6486" w:type="dxa"/>
          </w:tcPr>
          <w:p w14:paraId="7CEC5A5F" w14:textId="77777777" w:rsidR="00EA2748" w:rsidRPr="00870B1D" w:rsidRDefault="00EA2748" w:rsidP="00C516EA">
            <w:pPr>
              <w:spacing w:line="276" w:lineRule="auto"/>
              <w:jc w:val="both"/>
              <w:rPr>
                <w:rFonts w:ascii="Arial" w:hAnsi="Arial" w:cs="Arial"/>
                <w:sz w:val="22"/>
                <w:szCs w:val="22"/>
              </w:rPr>
            </w:pPr>
            <w:r w:rsidRPr="00870B1D">
              <w:rPr>
                <w:rFonts w:ascii="Arial" w:hAnsi="Arial" w:cs="Arial"/>
                <w:sz w:val="22"/>
                <w:szCs w:val="22"/>
              </w:rPr>
              <w:t>Jednotlivé kategorie zeleně; města ČR</w:t>
            </w:r>
          </w:p>
        </w:tc>
      </w:tr>
      <w:tr w:rsidR="00EA2748" w:rsidRPr="0007074B" w14:paraId="70F9B845" w14:textId="77777777" w:rsidTr="00B460D5">
        <w:trPr>
          <w:trHeight w:val="70"/>
        </w:trPr>
        <w:tc>
          <w:tcPr>
            <w:tcW w:w="2802" w:type="dxa"/>
          </w:tcPr>
          <w:p w14:paraId="3A44456E"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Mezinárodní srovnání:</w:t>
            </w:r>
          </w:p>
        </w:tc>
        <w:tc>
          <w:tcPr>
            <w:tcW w:w="6486" w:type="dxa"/>
          </w:tcPr>
          <w:p w14:paraId="682866B9" w14:textId="77777777" w:rsidR="00EA2748" w:rsidRPr="00870B1D" w:rsidRDefault="00120807" w:rsidP="00C51B65">
            <w:pPr>
              <w:spacing w:line="276" w:lineRule="auto"/>
              <w:rPr>
                <w:rFonts w:ascii="Arial" w:hAnsi="Arial" w:cs="Arial"/>
                <w:sz w:val="22"/>
                <w:szCs w:val="22"/>
              </w:rPr>
            </w:pPr>
            <w:r>
              <w:rPr>
                <w:rFonts w:ascii="Arial" w:hAnsi="Arial" w:cs="Arial"/>
                <w:sz w:val="22"/>
                <w:szCs w:val="22"/>
              </w:rPr>
              <w:t>-</w:t>
            </w:r>
          </w:p>
        </w:tc>
      </w:tr>
    </w:tbl>
    <w:p w14:paraId="371F32F1" w14:textId="77777777" w:rsidR="00120807" w:rsidRPr="00120807" w:rsidRDefault="00120807" w:rsidP="00C516EA">
      <w:pPr>
        <w:pStyle w:val="r2030podcle"/>
        <w:numPr>
          <w:ilvl w:val="1"/>
          <w:numId w:val="17"/>
        </w:numPr>
        <w:ind w:left="567" w:hanging="425"/>
      </w:pPr>
      <w:r w:rsidRPr="00120807">
        <w:t>Významně roste délka cyklostezek a komunikací vhodných pro cyklisty.</w:t>
      </w:r>
    </w:p>
    <w:tbl>
      <w:tblPr>
        <w:tblStyle w:val="Mkatabulky"/>
        <w:tblW w:w="0" w:type="auto"/>
        <w:tblLook w:val="04A0" w:firstRow="1" w:lastRow="0" w:firstColumn="1" w:lastColumn="0" w:noHBand="0" w:noVBand="1"/>
      </w:tblPr>
      <w:tblGrid>
        <w:gridCol w:w="2802"/>
        <w:gridCol w:w="6486"/>
      </w:tblGrid>
      <w:tr w:rsidR="00EA2748" w:rsidRPr="0007074B" w14:paraId="1A3169E3" w14:textId="77777777" w:rsidTr="00B460D5">
        <w:tc>
          <w:tcPr>
            <w:tcW w:w="2802" w:type="dxa"/>
          </w:tcPr>
          <w:p w14:paraId="42F21567"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Název a označení indikátoru: </w:t>
            </w:r>
          </w:p>
        </w:tc>
        <w:tc>
          <w:tcPr>
            <w:tcW w:w="6486" w:type="dxa"/>
          </w:tcPr>
          <w:p w14:paraId="5C2BDFB1" w14:textId="3FC3A994" w:rsidR="00EA2748" w:rsidRPr="006575CE" w:rsidRDefault="00120807" w:rsidP="00C51B65">
            <w:pPr>
              <w:spacing w:line="276" w:lineRule="auto"/>
              <w:rPr>
                <w:rFonts w:ascii="Arial" w:eastAsia="Arial" w:hAnsi="Arial" w:cs="Arial"/>
                <w:b/>
                <w:color w:val="000000"/>
                <w:sz w:val="22"/>
                <w:szCs w:val="22"/>
              </w:rPr>
            </w:pPr>
            <w:r>
              <w:rPr>
                <w:rFonts w:ascii="Arial" w:eastAsia="Calibri" w:hAnsi="Arial" w:cs="Arial"/>
                <w:b/>
                <w:sz w:val="22"/>
                <w:szCs w:val="22"/>
              </w:rPr>
              <w:t>19</w:t>
            </w:r>
            <w:r w:rsidR="00EA2748" w:rsidRPr="006575CE">
              <w:rPr>
                <w:rFonts w:ascii="Arial" w:eastAsia="Calibri" w:hAnsi="Arial" w:cs="Arial"/>
                <w:b/>
                <w:sz w:val="22"/>
                <w:szCs w:val="22"/>
              </w:rPr>
              <w:t>.</w:t>
            </w:r>
            <w:r w:rsidR="002460FC">
              <w:rPr>
                <w:rFonts w:ascii="Arial" w:eastAsia="Calibri" w:hAnsi="Arial" w:cs="Arial"/>
                <w:b/>
                <w:sz w:val="22"/>
                <w:szCs w:val="22"/>
              </w:rPr>
              <w:t>5</w:t>
            </w:r>
            <w:r w:rsidR="00EA2748" w:rsidRPr="006575CE">
              <w:rPr>
                <w:rFonts w:ascii="Arial" w:eastAsia="Calibri" w:hAnsi="Arial" w:cs="Arial"/>
                <w:b/>
                <w:sz w:val="22"/>
                <w:szCs w:val="22"/>
              </w:rPr>
              <w:t xml:space="preserve">.1 Počet kilometrů nově vybudovaných úseků cyklistické infrastruktury </w:t>
            </w:r>
          </w:p>
        </w:tc>
      </w:tr>
      <w:tr w:rsidR="00EA2748" w:rsidRPr="0007074B" w14:paraId="7E187DA0" w14:textId="77777777" w:rsidTr="00B460D5">
        <w:tc>
          <w:tcPr>
            <w:tcW w:w="2802" w:type="dxa"/>
          </w:tcPr>
          <w:p w14:paraId="74B7E21C"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Stručná definice: </w:t>
            </w:r>
          </w:p>
        </w:tc>
        <w:tc>
          <w:tcPr>
            <w:tcW w:w="6486" w:type="dxa"/>
          </w:tcPr>
          <w:p w14:paraId="4D6A324C" w14:textId="77777777" w:rsidR="00EA2748" w:rsidRPr="002712FE" w:rsidRDefault="00EA2748" w:rsidP="00C516EA">
            <w:pPr>
              <w:spacing w:line="276" w:lineRule="auto"/>
              <w:jc w:val="both"/>
              <w:rPr>
                <w:rFonts w:ascii="Arial" w:hAnsi="Arial" w:cs="Arial"/>
                <w:sz w:val="22"/>
                <w:szCs w:val="22"/>
              </w:rPr>
            </w:pPr>
            <w:r w:rsidRPr="00870B1D">
              <w:rPr>
                <w:rFonts w:ascii="Arial" w:hAnsi="Arial" w:cs="Arial"/>
                <w:bCs/>
                <w:sz w:val="22"/>
                <w:szCs w:val="22"/>
              </w:rPr>
              <w:t>Cyklostezka</w:t>
            </w:r>
            <w:r w:rsidRPr="002712FE">
              <w:rPr>
                <w:rFonts w:ascii="Arial" w:hAnsi="Arial" w:cs="Arial"/>
                <w:sz w:val="22"/>
                <w:szCs w:val="22"/>
              </w:rPr>
              <w:t xml:space="preserve"> </w:t>
            </w:r>
            <w:r w:rsidRPr="002712FE">
              <w:rPr>
                <w:rFonts w:ascii="Arial" w:eastAsia="Calibri" w:hAnsi="Arial" w:cs="Arial"/>
                <w:sz w:val="22"/>
                <w:szCs w:val="22"/>
              </w:rPr>
              <w:t xml:space="preserve">je </w:t>
            </w:r>
            <w:hyperlink r:id="rId12" w:tooltip="Pozemní komunikace" w:history="1">
              <w:r w:rsidRPr="002712FE">
                <w:rPr>
                  <w:rFonts w:ascii="Arial" w:eastAsia="Calibri" w:hAnsi="Arial" w:cs="Arial"/>
                  <w:sz w:val="22"/>
                  <w:szCs w:val="22"/>
                </w:rPr>
                <w:t>pozemní komunikace</w:t>
              </w:r>
            </w:hyperlink>
            <w:r w:rsidRPr="002712FE">
              <w:rPr>
                <w:rFonts w:ascii="Arial" w:eastAsia="Calibri" w:hAnsi="Arial" w:cs="Arial"/>
                <w:sz w:val="22"/>
                <w:szCs w:val="22"/>
              </w:rPr>
              <w:t xml:space="preserve"> vyhrazená </w:t>
            </w:r>
            <w:hyperlink r:id="rId13" w:tooltip="Dopravní značka" w:history="1">
              <w:r w:rsidRPr="002712FE">
                <w:rPr>
                  <w:rFonts w:ascii="Arial" w:eastAsia="Calibri" w:hAnsi="Arial" w:cs="Arial"/>
                  <w:sz w:val="22"/>
                  <w:szCs w:val="22"/>
                </w:rPr>
                <w:t xml:space="preserve">dopravní </w:t>
              </w:r>
              <w:r w:rsidRPr="002712FE">
                <w:rPr>
                  <w:rFonts w:ascii="Arial" w:eastAsia="Calibri" w:hAnsi="Arial" w:cs="Arial"/>
                  <w:sz w:val="22"/>
                  <w:szCs w:val="22"/>
                </w:rPr>
                <w:lastRenderedPageBreak/>
                <w:t>značkou</w:t>
              </w:r>
            </w:hyperlink>
            <w:r w:rsidRPr="002712FE">
              <w:rPr>
                <w:rFonts w:ascii="Arial" w:eastAsia="Calibri" w:hAnsi="Arial" w:cs="Arial"/>
                <w:sz w:val="22"/>
                <w:szCs w:val="22"/>
              </w:rPr>
              <w:t xml:space="preserve"> pro jízdu na </w:t>
            </w:r>
            <w:hyperlink r:id="rId14" w:tooltip="Jízdní kolo" w:history="1">
              <w:r w:rsidRPr="002712FE">
                <w:rPr>
                  <w:rFonts w:ascii="Arial" w:eastAsia="Calibri" w:hAnsi="Arial" w:cs="Arial"/>
                  <w:sz w:val="22"/>
                  <w:szCs w:val="22"/>
                </w:rPr>
                <w:t>jízdním kole</w:t>
              </w:r>
            </w:hyperlink>
            <w:r w:rsidRPr="002712FE">
              <w:rPr>
                <w:rFonts w:ascii="Arial" w:eastAsia="Calibri" w:hAnsi="Arial" w:cs="Arial"/>
                <w:sz w:val="22"/>
                <w:szCs w:val="22"/>
              </w:rPr>
              <w:t xml:space="preserve">. Je určena pouze pro </w:t>
            </w:r>
            <w:hyperlink r:id="rId15" w:tooltip="Cyklistika" w:history="1">
              <w:r w:rsidRPr="002712FE">
                <w:rPr>
                  <w:rFonts w:ascii="Arial" w:eastAsia="Calibri" w:hAnsi="Arial" w:cs="Arial"/>
                  <w:sz w:val="22"/>
                  <w:szCs w:val="22"/>
                </w:rPr>
                <w:t>cyklistickou dopravu</w:t>
              </w:r>
            </w:hyperlink>
            <w:r w:rsidRPr="002712FE">
              <w:rPr>
                <w:rFonts w:ascii="Arial" w:eastAsia="Calibri" w:hAnsi="Arial" w:cs="Arial"/>
                <w:sz w:val="22"/>
                <w:szCs w:val="22"/>
              </w:rPr>
              <w:t xml:space="preserve">. </w:t>
            </w:r>
          </w:p>
        </w:tc>
      </w:tr>
      <w:tr w:rsidR="00EA2748" w:rsidRPr="0007074B" w14:paraId="5584949B" w14:textId="77777777" w:rsidTr="00B460D5">
        <w:tc>
          <w:tcPr>
            <w:tcW w:w="2802" w:type="dxa"/>
          </w:tcPr>
          <w:p w14:paraId="0C98522C"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lastRenderedPageBreak/>
              <w:t>Jednotka:</w:t>
            </w:r>
          </w:p>
        </w:tc>
        <w:tc>
          <w:tcPr>
            <w:tcW w:w="6486" w:type="dxa"/>
          </w:tcPr>
          <w:p w14:paraId="4A951CF4" w14:textId="77777777" w:rsidR="00EA2748" w:rsidRPr="002712FE" w:rsidRDefault="00EA2748" w:rsidP="00C516EA">
            <w:pPr>
              <w:spacing w:line="276" w:lineRule="auto"/>
              <w:jc w:val="both"/>
              <w:rPr>
                <w:rFonts w:ascii="Arial" w:hAnsi="Arial" w:cs="Arial"/>
                <w:sz w:val="22"/>
                <w:szCs w:val="22"/>
              </w:rPr>
            </w:pPr>
            <w:r w:rsidRPr="002712FE">
              <w:rPr>
                <w:rFonts w:ascii="Arial" w:hAnsi="Arial" w:cs="Arial"/>
                <w:sz w:val="22"/>
                <w:szCs w:val="22"/>
              </w:rPr>
              <w:t>Km</w:t>
            </w:r>
          </w:p>
        </w:tc>
      </w:tr>
      <w:tr w:rsidR="00EA2748" w:rsidRPr="0007074B" w14:paraId="10416EF0" w14:textId="77777777" w:rsidTr="00B460D5">
        <w:tc>
          <w:tcPr>
            <w:tcW w:w="2802" w:type="dxa"/>
          </w:tcPr>
          <w:p w14:paraId="5A45E196"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Gestor: </w:t>
            </w:r>
          </w:p>
        </w:tc>
        <w:tc>
          <w:tcPr>
            <w:tcW w:w="6486" w:type="dxa"/>
          </w:tcPr>
          <w:p w14:paraId="45EC2B2E" w14:textId="77777777" w:rsidR="00EA2748" w:rsidRPr="002712FE" w:rsidRDefault="00EA2748" w:rsidP="00C516EA">
            <w:pPr>
              <w:spacing w:line="276" w:lineRule="auto"/>
              <w:jc w:val="both"/>
              <w:rPr>
                <w:rFonts w:ascii="Arial" w:hAnsi="Arial" w:cs="Arial"/>
                <w:sz w:val="22"/>
                <w:szCs w:val="22"/>
              </w:rPr>
            </w:pPr>
            <w:r w:rsidRPr="002712FE">
              <w:rPr>
                <w:rFonts w:ascii="Arial" w:hAnsi="Arial" w:cs="Arial"/>
                <w:sz w:val="22"/>
                <w:szCs w:val="22"/>
              </w:rPr>
              <w:t>Ministerstvo dopravy</w:t>
            </w:r>
          </w:p>
        </w:tc>
      </w:tr>
      <w:tr w:rsidR="00EA2748" w:rsidRPr="0007074B" w14:paraId="6CE9E665" w14:textId="77777777" w:rsidTr="00B460D5">
        <w:tc>
          <w:tcPr>
            <w:tcW w:w="2802" w:type="dxa"/>
          </w:tcPr>
          <w:p w14:paraId="39499DE4"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Význam indikátoru: </w:t>
            </w:r>
          </w:p>
        </w:tc>
        <w:tc>
          <w:tcPr>
            <w:tcW w:w="6486" w:type="dxa"/>
          </w:tcPr>
          <w:p w14:paraId="583B1037" w14:textId="77777777" w:rsidR="00EA2748" w:rsidRPr="002712FE" w:rsidRDefault="00EA2748" w:rsidP="00C516EA">
            <w:pPr>
              <w:spacing w:line="276" w:lineRule="auto"/>
              <w:jc w:val="both"/>
              <w:rPr>
                <w:rFonts w:ascii="Arial" w:hAnsi="Arial" w:cs="Arial"/>
                <w:sz w:val="22"/>
                <w:szCs w:val="22"/>
              </w:rPr>
            </w:pPr>
            <w:r>
              <w:rPr>
                <w:rFonts w:ascii="Arial" w:hAnsi="Arial" w:cs="Arial"/>
                <w:sz w:val="22"/>
                <w:szCs w:val="22"/>
              </w:rPr>
              <w:t xml:space="preserve">Počet kilometrů nově vybudovaných cyklostezek je indikátorem podpory </w:t>
            </w:r>
            <w:proofErr w:type="spellStart"/>
            <w:r>
              <w:rPr>
                <w:rFonts w:ascii="Arial" w:hAnsi="Arial" w:cs="Arial"/>
                <w:sz w:val="22"/>
                <w:szCs w:val="22"/>
              </w:rPr>
              <w:t>cyklomobility</w:t>
            </w:r>
            <w:proofErr w:type="spellEnd"/>
            <w:r>
              <w:rPr>
                <w:rFonts w:ascii="Arial" w:hAnsi="Arial" w:cs="Arial"/>
                <w:sz w:val="22"/>
                <w:szCs w:val="22"/>
              </w:rPr>
              <w:t xml:space="preserve"> jakožto bezemisní dopravy vhodné k přepravě zejména malé a střední vzdálenosti, která podporuje zdravý životní styl.</w:t>
            </w:r>
          </w:p>
        </w:tc>
      </w:tr>
      <w:tr w:rsidR="00EA2748" w:rsidRPr="0007074B" w14:paraId="5F49BEB8" w14:textId="77777777" w:rsidTr="00B460D5">
        <w:tc>
          <w:tcPr>
            <w:tcW w:w="2802" w:type="dxa"/>
          </w:tcPr>
          <w:p w14:paraId="6438976B"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Časová řada: </w:t>
            </w:r>
          </w:p>
        </w:tc>
        <w:tc>
          <w:tcPr>
            <w:tcW w:w="6486" w:type="dxa"/>
          </w:tcPr>
          <w:p w14:paraId="6A15BEE8" w14:textId="77777777" w:rsidR="00EA2748" w:rsidRPr="002712FE" w:rsidRDefault="00EA2748" w:rsidP="00C516EA">
            <w:pPr>
              <w:spacing w:line="276" w:lineRule="auto"/>
              <w:jc w:val="both"/>
              <w:rPr>
                <w:rFonts w:ascii="Arial" w:hAnsi="Arial" w:cs="Arial"/>
                <w:sz w:val="22"/>
                <w:szCs w:val="22"/>
              </w:rPr>
            </w:pPr>
            <w:r>
              <w:rPr>
                <w:rFonts w:ascii="Arial" w:hAnsi="Arial" w:cs="Arial"/>
                <w:sz w:val="22"/>
                <w:szCs w:val="22"/>
              </w:rPr>
              <w:t>-</w:t>
            </w:r>
          </w:p>
        </w:tc>
      </w:tr>
      <w:tr w:rsidR="00EA2748" w:rsidRPr="0007074B" w14:paraId="0735E031" w14:textId="77777777" w:rsidTr="00B460D5">
        <w:tc>
          <w:tcPr>
            <w:tcW w:w="2802" w:type="dxa"/>
          </w:tcPr>
          <w:p w14:paraId="2B267D06"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Frekvence výstupu: </w:t>
            </w:r>
          </w:p>
        </w:tc>
        <w:tc>
          <w:tcPr>
            <w:tcW w:w="6486" w:type="dxa"/>
          </w:tcPr>
          <w:p w14:paraId="7E972365" w14:textId="77777777" w:rsidR="00EA2748" w:rsidRPr="002712FE" w:rsidRDefault="00120807" w:rsidP="00C516EA">
            <w:pPr>
              <w:spacing w:line="276" w:lineRule="auto"/>
              <w:jc w:val="both"/>
              <w:rPr>
                <w:rFonts w:ascii="Arial" w:hAnsi="Arial" w:cs="Arial"/>
                <w:sz w:val="22"/>
                <w:szCs w:val="22"/>
              </w:rPr>
            </w:pPr>
            <w:r>
              <w:rPr>
                <w:rFonts w:ascii="Arial" w:hAnsi="Arial" w:cs="Arial"/>
                <w:sz w:val="22"/>
                <w:szCs w:val="22"/>
              </w:rPr>
              <w:t>Ročně</w:t>
            </w:r>
          </w:p>
        </w:tc>
      </w:tr>
      <w:tr w:rsidR="00EA2748" w:rsidRPr="0007074B" w14:paraId="63851FFE" w14:textId="77777777" w:rsidTr="00B460D5">
        <w:trPr>
          <w:trHeight w:val="70"/>
        </w:trPr>
        <w:tc>
          <w:tcPr>
            <w:tcW w:w="2802" w:type="dxa"/>
          </w:tcPr>
          <w:p w14:paraId="38E66D13"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Členění indikátoru: </w:t>
            </w:r>
          </w:p>
        </w:tc>
        <w:tc>
          <w:tcPr>
            <w:tcW w:w="6486" w:type="dxa"/>
          </w:tcPr>
          <w:p w14:paraId="7AF3515C" w14:textId="77777777" w:rsidR="00EA2748" w:rsidRPr="002712FE" w:rsidRDefault="00EA2748" w:rsidP="00C516EA">
            <w:pPr>
              <w:spacing w:line="276" w:lineRule="auto"/>
              <w:jc w:val="both"/>
              <w:rPr>
                <w:rFonts w:ascii="Arial" w:hAnsi="Arial" w:cs="Arial"/>
                <w:sz w:val="22"/>
                <w:szCs w:val="22"/>
              </w:rPr>
            </w:pPr>
            <w:r>
              <w:rPr>
                <w:rFonts w:ascii="Arial" w:hAnsi="Arial" w:cs="Arial"/>
                <w:sz w:val="22"/>
                <w:szCs w:val="22"/>
              </w:rPr>
              <w:t>-</w:t>
            </w:r>
          </w:p>
        </w:tc>
      </w:tr>
      <w:tr w:rsidR="00EA2748" w:rsidRPr="0007074B" w14:paraId="6A941961" w14:textId="77777777" w:rsidTr="00B460D5">
        <w:trPr>
          <w:trHeight w:val="70"/>
        </w:trPr>
        <w:tc>
          <w:tcPr>
            <w:tcW w:w="2802" w:type="dxa"/>
          </w:tcPr>
          <w:p w14:paraId="052950EF"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Mezinárodní srovnání:</w:t>
            </w:r>
          </w:p>
        </w:tc>
        <w:tc>
          <w:tcPr>
            <w:tcW w:w="6486" w:type="dxa"/>
          </w:tcPr>
          <w:p w14:paraId="1D128564" w14:textId="77777777" w:rsidR="00EA2748" w:rsidRPr="002712FE" w:rsidRDefault="00A65CF4" w:rsidP="00C516EA">
            <w:pPr>
              <w:spacing w:line="276" w:lineRule="auto"/>
              <w:jc w:val="both"/>
              <w:rPr>
                <w:rFonts w:ascii="Arial" w:hAnsi="Arial" w:cs="Arial"/>
                <w:sz w:val="22"/>
                <w:szCs w:val="22"/>
              </w:rPr>
            </w:pPr>
            <w:r>
              <w:rPr>
                <w:rFonts w:ascii="Arial" w:hAnsi="Arial" w:cs="Arial"/>
                <w:sz w:val="22"/>
                <w:szCs w:val="22"/>
              </w:rPr>
              <w:t>-</w:t>
            </w:r>
          </w:p>
        </w:tc>
      </w:tr>
    </w:tbl>
    <w:p w14:paraId="4E9E8617" w14:textId="77777777" w:rsidR="00120807" w:rsidRPr="00120807" w:rsidRDefault="00120807" w:rsidP="00C516EA">
      <w:pPr>
        <w:pStyle w:val="r2030podcle"/>
        <w:numPr>
          <w:ilvl w:val="1"/>
          <w:numId w:val="17"/>
        </w:numPr>
        <w:ind w:left="567" w:hanging="425"/>
      </w:pPr>
      <w:r w:rsidRPr="00120807">
        <w:t>Významně se zvyšuje počet bezemisních a nízkoemisních vozidel.</w:t>
      </w:r>
    </w:p>
    <w:tbl>
      <w:tblPr>
        <w:tblStyle w:val="Mkatabulky"/>
        <w:tblW w:w="0" w:type="auto"/>
        <w:tblLook w:val="04A0" w:firstRow="1" w:lastRow="0" w:firstColumn="1" w:lastColumn="0" w:noHBand="0" w:noVBand="1"/>
      </w:tblPr>
      <w:tblGrid>
        <w:gridCol w:w="2802"/>
        <w:gridCol w:w="6486"/>
      </w:tblGrid>
      <w:tr w:rsidR="00EA2748" w:rsidRPr="0007074B" w14:paraId="7E4FC9E8" w14:textId="77777777" w:rsidTr="00B460D5">
        <w:tc>
          <w:tcPr>
            <w:tcW w:w="2802" w:type="dxa"/>
          </w:tcPr>
          <w:p w14:paraId="328AF0C1"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Název a označení indikátoru: </w:t>
            </w:r>
          </w:p>
        </w:tc>
        <w:tc>
          <w:tcPr>
            <w:tcW w:w="6486" w:type="dxa"/>
          </w:tcPr>
          <w:p w14:paraId="1742F222" w14:textId="504D7811" w:rsidR="00EA2748" w:rsidRPr="006575CE" w:rsidRDefault="00120807" w:rsidP="00C51B65">
            <w:pPr>
              <w:spacing w:line="276" w:lineRule="auto"/>
              <w:rPr>
                <w:rFonts w:ascii="Arial" w:eastAsia="Arial" w:hAnsi="Arial" w:cs="Arial"/>
                <w:b/>
                <w:color w:val="000000"/>
                <w:sz w:val="22"/>
                <w:szCs w:val="22"/>
              </w:rPr>
            </w:pPr>
            <w:r>
              <w:rPr>
                <w:rFonts w:ascii="Arial" w:eastAsia="Calibri" w:hAnsi="Arial" w:cs="Arial"/>
                <w:b/>
                <w:noProof/>
                <w:sz w:val="22"/>
                <w:szCs w:val="22"/>
              </w:rPr>
              <w:t>19</w:t>
            </w:r>
            <w:r w:rsidR="00EA2748">
              <w:rPr>
                <w:rFonts w:ascii="Arial" w:eastAsia="Calibri" w:hAnsi="Arial" w:cs="Arial"/>
                <w:b/>
                <w:noProof/>
                <w:sz w:val="22"/>
                <w:szCs w:val="22"/>
              </w:rPr>
              <w:t>.</w:t>
            </w:r>
            <w:r w:rsidR="002460FC">
              <w:rPr>
                <w:rFonts w:ascii="Arial" w:eastAsia="Calibri" w:hAnsi="Arial" w:cs="Arial"/>
                <w:b/>
                <w:noProof/>
                <w:sz w:val="22"/>
                <w:szCs w:val="22"/>
              </w:rPr>
              <w:t>6</w:t>
            </w:r>
            <w:r w:rsidR="00EA2748">
              <w:rPr>
                <w:rFonts w:ascii="Arial" w:eastAsia="Calibri" w:hAnsi="Arial" w:cs="Arial"/>
                <w:b/>
                <w:noProof/>
                <w:sz w:val="22"/>
                <w:szCs w:val="22"/>
              </w:rPr>
              <w:t>.1 P</w:t>
            </w:r>
            <w:r w:rsidR="00EA2748" w:rsidRPr="006575CE">
              <w:rPr>
                <w:rFonts w:ascii="Arial" w:eastAsia="Calibri" w:hAnsi="Arial" w:cs="Arial"/>
                <w:b/>
                <w:noProof/>
                <w:sz w:val="22"/>
                <w:szCs w:val="22"/>
              </w:rPr>
              <w:t xml:space="preserve">očet elektrovozidel  </w:t>
            </w:r>
          </w:p>
        </w:tc>
      </w:tr>
      <w:tr w:rsidR="00EA2748" w:rsidRPr="0007074B" w14:paraId="556F1ED3" w14:textId="77777777" w:rsidTr="00B460D5">
        <w:tc>
          <w:tcPr>
            <w:tcW w:w="2802" w:type="dxa"/>
          </w:tcPr>
          <w:p w14:paraId="5601B507"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Stručná definice: </w:t>
            </w:r>
          </w:p>
        </w:tc>
        <w:tc>
          <w:tcPr>
            <w:tcW w:w="6486" w:type="dxa"/>
          </w:tcPr>
          <w:p w14:paraId="1A8AAF2D" w14:textId="77777777" w:rsidR="00EA2748" w:rsidRPr="007C0164" w:rsidRDefault="00EA2748" w:rsidP="00C516EA">
            <w:pPr>
              <w:spacing w:line="276" w:lineRule="auto"/>
              <w:jc w:val="both"/>
              <w:rPr>
                <w:rFonts w:ascii="Arial" w:hAnsi="Arial" w:cs="Arial"/>
                <w:sz w:val="22"/>
                <w:szCs w:val="22"/>
              </w:rPr>
            </w:pPr>
            <w:r w:rsidRPr="007C0164">
              <w:rPr>
                <w:rFonts w:ascii="Arial" w:hAnsi="Arial" w:cs="Arial"/>
                <w:sz w:val="22"/>
                <w:szCs w:val="22"/>
              </w:rPr>
              <w:t>Počet elektromobilů registrovaných v Centrálním registru vozidel.</w:t>
            </w:r>
          </w:p>
        </w:tc>
      </w:tr>
      <w:tr w:rsidR="00EA2748" w:rsidRPr="0007074B" w14:paraId="1376E216" w14:textId="77777777" w:rsidTr="00B460D5">
        <w:tc>
          <w:tcPr>
            <w:tcW w:w="2802" w:type="dxa"/>
          </w:tcPr>
          <w:p w14:paraId="22FE5773"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Jednotka:</w:t>
            </w:r>
          </w:p>
        </w:tc>
        <w:tc>
          <w:tcPr>
            <w:tcW w:w="6486" w:type="dxa"/>
          </w:tcPr>
          <w:p w14:paraId="126DA59B" w14:textId="77777777" w:rsidR="00EA2748" w:rsidRPr="007C0164" w:rsidRDefault="00EA2748" w:rsidP="00C516EA">
            <w:pPr>
              <w:spacing w:line="276" w:lineRule="auto"/>
              <w:jc w:val="both"/>
              <w:rPr>
                <w:rFonts w:ascii="Arial" w:hAnsi="Arial" w:cs="Arial"/>
                <w:sz w:val="22"/>
                <w:szCs w:val="22"/>
              </w:rPr>
            </w:pPr>
            <w:r w:rsidRPr="007C0164">
              <w:rPr>
                <w:rFonts w:ascii="Arial" w:hAnsi="Arial" w:cs="Arial"/>
                <w:sz w:val="22"/>
                <w:szCs w:val="22"/>
              </w:rPr>
              <w:t>Počet</w:t>
            </w:r>
          </w:p>
        </w:tc>
      </w:tr>
      <w:tr w:rsidR="00EA2748" w:rsidRPr="0007074B" w14:paraId="32556673" w14:textId="77777777" w:rsidTr="00B460D5">
        <w:tc>
          <w:tcPr>
            <w:tcW w:w="2802" w:type="dxa"/>
          </w:tcPr>
          <w:p w14:paraId="52CC1100"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Gestor: </w:t>
            </w:r>
          </w:p>
        </w:tc>
        <w:tc>
          <w:tcPr>
            <w:tcW w:w="6486" w:type="dxa"/>
          </w:tcPr>
          <w:p w14:paraId="79B510E0" w14:textId="77777777" w:rsidR="00EA2748" w:rsidRPr="007C0164" w:rsidRDefault="00EA2748" w:rsidP="00C516EA">
            <w:pPr>
              <w:spacing w:line="276" w:lineRule="auto"/>
              <w:jc w:val="both"/>
              <w:rPr>
                <w:rFonts w:ascii="Arial" w:hAnsi="Arial" w:cs="Arial"/>
                <w:sz w:val="22"/>
                <w:szCs w:val="22"/>
              </w:rPr>
            </w:pPr>
            <w:r w:rsidRPr="007C0164">
              <w:rPr>
                <w:rFonts w:ascii="Arial" w:hAnsi="Arial" w:cs="Arial"/>
                <w:sz w:val="22"/>
                <w:szCs w:val="22"/>
              </w:rPr>
              <w:t>Ministerstvo dopravy</w:t>
            </w:r>
          </w:p>
        </w:tc>
      </w:tr>
      <w:tr w:rsidR="00EA2748" w:rsidRPr="0007074B" w14:paraId="397020AC" w14:textId="77777777" w:rsidTr="00B460D5">
        <w:tc>
          <w:tcPr>
            <w:tcW w:w="2802" w:type="dxa"/>
          </w:tcPr>
          <w:p w14:paraId="11481409"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Význam indikátoru: </w:t>
            </w:r>
          </w:p>
        </w:tc>
        <w:tc>
          <w:tcPr>
            <w:tcW w:w="6486" w:type="dxa"/>
          </w:tcPr>
          <w:p w14:paraId="153550F9" w14:textId="77777777" w:rsidR="00EA2748" w:rsidRPr="007C0164" w:rsidRDefault="00EA2748" w:rsidP="00C516EA">
            <w:pPr>
              <w:spacing w:line="276" w:lineRule="auto"/>
              <w:jc w:val="both"/>
              <w:rPr>
                <w:rFonts w:ascii="Arial" w:hAnsi="Arial" w:cs="Arial"/>
                <w:sz w:val="22"/>
                <w:szCs w:val="22"/>
              </w:rPr>
            </w:pPr>
            <w:r w:rsidRPr="007C0164">
              <w:rPr>
                <w:rFonts w:ascii="Arial" w:hAnsi="Arial" w:cs="Arial"/>
                <w:sz w:val="22"/>
                <w:szCs w:val="22"/>
              </w:rPr>
              <w:t xml:space="preserve">Rozvoj </w:t>
            </w:r>
            <w:proofErr w:type="spellStart"/>
            <w:r w:rsidRPr="007C0164">
              <w:rPr>
                <w:rFonts w:ascii="Arial" w:hAnsi="Arial" w:cs="Arial"/>
                <w:sz w:val="22"/>
                <w:szCs w:val="22"/>
              </w:rPr>
              <w:t>elektromobility</w:t>
            </w:r>
            <w:proofErr w:type="spellEnd"/>
            <w:r w:rsidRPr="007C0164">
              <w:rPr>
                <w:rFonts w:ascii="Arial" w:hAnsi="Arial" w:cs="Arial"/>
                <w:sz w:val="22"/>
                <w:szCs w:val="22"/>
              </w:rPr>
              <w:t xml:space="preserve"> je nástrojem k dosažení zelené, nízkouhlíkové dopravy v ČR a faktorem snižování vlivu silniční dopravy na životní prostředí, zejména kvalitu ovzduší.</w:t>
            </w:r>
          </w:p>
        </w:tc>
      </w:tr>
      <w:tr w:rsidR="00EA2748" w:rsidRPr="0007074B" w14:paraId="579A99BD" w14:textId="77777777" w:rsidTr="00B460D5">
        <w:tc>
          <w:tcPr>
            <w:tcW w:w="2802" w:type="dxa"/>
          </w:tcPr>
          <w:p w14:paraId="1DA23383"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Časová řada: </w:t>
            </w:r>
          </w:p>
        </w:tc>
        <w:tc>
          <w:tcPr>
            <w:tcW w:w="6486" w:type="dxa"/>
          </w:tcPr>
          <w:p w14:paraId="729EF7F0" w14:textId="77777777" w:rsidR="00EA2748" w:rsidRPr="007C0164" w:rsidRDefault="00EA2748" w:rsidP="00C516EA">
            <w:pPr>
              <w:spacing w:line="276" w:lineRule="auto"/>
              <w:jc w:val="both"/>
              <w:rPr>
                <w:rFonts w:ascii="Arial" w:hAnsi="Arial" w:cs="Arial"/>
                <w:sz w:val="22"/>
                <w:szCs w:val="22"/>
              </w:rPr>
            </w:pPr>
            <w:r w:rsidRPr="007C0164">
              <w:rPr>
                <w:rFonts w:ascii="Arial" w:hAnsi="Arial" w:cs="Arial"/>
                <w:sz w:val="22"/>
                <w:szCs w:val="22"/>
              </w:rPr>
              <w:t>Minimálně 20 let</w:t>
            </w:r>
          </w:p>
        </w:tc>
      </w:tr>
      <w:tr w:rsidR="00EA2748" w:rsidRPr="0007074B" w14:paraId="3F7698A0" w14:textId="77777777" w:rsidTr="00B460D5">
        <w:tc>
          <w:tcPr>
            <w:tcW w:w="2802" w:type="dxa"/>
          </w:tcPr>
          <w:p w14:paraId="6108C2B2"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Frekvence výstupu: </w:t>
            </w:r>
          </w:p>
        </w:tc>
        <w:tc>
          <w:tcPr>
            <w:tcW w:w="6486" w:type="dxa"/>
          </w:tcPr>
          <w:p w14:paraId="28221B1B" w14:textId="77777777" w:rsidR="00EA2748" w:rsidRPr="007C0164" w:rsidRDefault="00120807" w:rsidP="00C516EA">
            <w:pPr>
              <w:spacing w:line="276" w:lineRule="auto"/>
              <w:jc w:val="both"/>
              <w:rPr>
                <w:rFonts w:ascii="Arial" w:hAnsi="Arial" w:cs="Arial"/>
                <w:sz w:val="22"/>
                <w:szCs w:val="22"/>
              </w:rPr>
            </w:pPr>
            <w:r>
              <w:rPr>
                <w:rFonts w:ascii="Arial" w:hAnsi="Arial" w:cs="Arial"/>
                <w:sz w:val="22"/>
                <w:szCs w:val="22"/>
              </w:rPr>
              <w:t>Ročně</w:t>
            </w:r>
          </w:p>
        </w:tc>
      </w:tr>
      <w:tr w:rsidR="00EA2748" w:rsidRPr="0007074B" w14:paraId="2BF54702" w14:textId="77777777" w:rsidTr="00B460D5">
        <w:trPr>
          <w:trHeight w:val="70"/>
        </w:trPr>
        <w:tc>
          <w:tcPr>
            <w:tcW w:w="2802" w:type="dxa"/>
          </w:tcPr>
          <w:p w14:paraId="43CA0658"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Členění indikátoru: </w:t>
            </w:r>
          </w:p>
        </w:tc>
        <w:tc>
          <w:tcPr>
            <w:tcW w:w="6486" w:type="dxa"/>
          </w:tcPr>
          <w:p w14:paraId="38623E1A" w14:textId="77777777" w:rsidR="00EA2748" w:rsidRPr="007C0164" w:rsidRDefault="00EA2748" w:rsidP="00C51B65">
            <w:pPr>
              <w:spacing w:line="276" w:lineRule="auto"/>
              <w:rPr>
                <w:rFonts w:ascii="Arial" w:hAnsi="Arial" w:cs="Arial"/>
                <w:sz w:val="22"/>
                <w:szCs w:val="22"/>
              </w:rPr>
            </w:pPr>
            <w:r>
              <w:rPr>
                <w:rFonts w:ascii="Arial" w:hAnsi="Arial" w:cs="Arial"/>
                <w:sz w:val="22"/>
                <w:szCs w:val="22"/>
              </w:rPr>
              <w:t>-</w:t>
            </w:r>
          </w:p>
        </w:tc>
      </w:tr>
      <w:tr w:rsidR="00EA2748" w:rsidRPr="0007074B" w14:paraId="231ED2B1" w14:textId="77777777" w:rsidTr="00B460D5">
        <w:trPr>
          <w:trHeight w:val="70"/>
        </w:trPr>
        <w:tc>
          <w:tcPr>
            <w:tcW w:w="2802" w:type="dxa"/>
          </w:tcPr>
          <w:p w14:paraId="7BB1F037"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Mezinárodní srovnání:</w:t>
            </w:r>
          </w:p>
        </w:tc>
        <w:tc>
          <w:tcPr>
            <w:tcW w:w="6486" w:type="dxa"/>
          </w:tcPr>
          <w:p w14:paraId="74595BAC" w14:textId="77777777" w:rsidR="00EA2748" w:rsidRPr="007C0164" w:rsidRDefault="00120807" w:rsidP="00C51B65">
            <w:pPr>
              <w:spacing w:line="276" w:lineRule="auto"/>
              <w:rPr>
                <w:rFonts w:ascii="Arial" w:hAnsi="Arial" w:cs="Arial"/>
                <w:sz w:val="22"/>
                <w:szCs w:val="22"/>
              </w:rPr>
            </w:pPr>
            <w:r>
              <w:rPr>
                <w:rFonts w:ascii="Arial" w:hAnsi="Arial" w:cs="Arial"/>
                <w:sz w:val="22"/>
                <w:szCs w:val="22"/>
              </w:rPr>
              <w:t>-</w:t>
            </w:r>
          </w:p>
        </w:tc>
      </w:tr>
    </w:tbl>
    <w:p w14:paraId="708597DB" w14:textId="77777777" w:rsidR="00EA2748" w:rsidRPr="0007074B" w:rsidRDefault="00EA2748" w:rsidP="00C51B65">
      <w:pPr>
        <w:spacing w:line="276" w:lineRule="auto"/>
        <w:ind w:left="709"/>
        <w:jc w:val="both"/>
        <w:rPr>
          <w:rFonts w:ascii="Arial" w:eastAsia="Calibri" w:hAnsi="Arial" w:cs="Arial"/>
          <w:i/>
          <w:sz w:val="22"/>
          <w:szCs w:val="22"/>
        </w:rPr>
      </w:pPr>
    </w:p>
    <w:tbl>
      <w:tblPr>
        <w:tblStyle w:val="Mkatabulky"/>
        <w:tblW w:w="0" w:type="auto"/>
        <w:tblLook w:val="04A0" w:firstRow="1" w:lastRow="0" w:firstColumn="1" w:lastColumn="0" w:noHBand="0" w:noVBand="1"/>
      </w:tblPr>
      <w:tblGrid>
        <w:gridCol w:w="2802"/>
        <w:gridCol w:w="6486"/>
      </w:tblGrid>
      <w:tr w:rsidR="00EA2748" w:rsidRPr="0007074B" w14:paraId="3CAAFC92" w14:textId="77777777" w:rsidTr="00B460D5">
        <w:tc>
          <w:tcPr>
            <w:tcW w:w="2802" w:type="dxa"/>
          </w:tcPr>
          <w:p w14:paraId="501F984E"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Název a označení indikátoru: </w:t>
            </w:r>
          </w:p>
        </w:tc>
        <w:tc>
          <w:tcPr>
            <w:tcW w:w="6486" w:type="dxa"/>
          </w:tcPr>
          <w:p w14:paraId="6722C9F7" w14:textId="47041432" w:rsidR="00EA2748" w:rsidRPr="006575CE" w:rsidRDefault="00120807" w:rsidP="00C51B65">
            <w:pPr>
              <w:spacing w:line="276" w:lineRule="auto"/>
              <w:rPr>
                <w:rFonts w:ascii="Arial" w:eastAsia="Arial" w:hAnsi="Arial" w:cs="Arial"/>
                <w:b/>
                <w:color w:val="000000"/>
                <w:sz w:val="22"/>
                <w:szCs w:val="22"/>
              </w:rPr>
            </w:pPr>
            <w:r>
              <w:rPr>
                <w:rFonts w:ascii="Arial" w:eastAsia="Calibri" w:hAnsi="Arial" w:cs="Arial"/>
                <w:b/>
                <w:sz w:val="22"/>
                <w:szCs w:val="22"/>
              </w:rPr>
              <w:t>19</w:t>
            </w:r>
            <w:r w:rsidR="00EA2748">
              <w:rPr>
                <w:rFonts w:ascii="Arial" w:eastAsia="Calibri" w:hAnsi="Arial" w:cs="Arial"/>
                <w:b/>
                <w:sz w:val="22"/>
                <w:szCs w:val="22"/>
              </w:rPr>
              <w:t>.</w:t>
            </w:r>
            <w:r w:rsidR="002460FC">
              <w:rPr>
                <w:rFonts w:ascii="Arial" w:eastAsia="Calibri" w:hAnsi="Arial" w:cs="Arial"/>
                <w:b/>
                <w:sz w:val="22"/>
                <w:szCs w:val="22"/>
              </w:rPr>
              <w:t>6</w:t>
            </w:r>
            <w:r w:rsidR="00EA2748" w:rsidRPr="006575CE">
              <w:rPr>
                <w:rFonts w:ascii="Arial" w:eastAsia="Calibri" w:hAnsi="Arial" w:cs="Arial"/>
                <w:b/>
                <w:sz w:val="22"/>
                <w:szCs w:val="22"/>
              </w:rPr>
              <w:t xml:space="preserve">.2 Počet </w:t>
            </w:r>
            <w:proofErr w:type="spellStart"/>
            <w:r w:rsidR="00EA2748" w:rsidRPr="006575CE">
              <w:rPr>
                <w:rFonts w:ascii="Arial" w:eastAsia="Calibri" w:hAnsi="Arial" w:cs="Arial"/>
                <w:b/>
                <w:sz w:val="22"/>
                <w:szCs w:val="22"/>
              </w:rPr>
              <w:t>rychlodobíjecích</w:t>
            </w:r>
            <w:proofErr w:type="spellEnd"/>
            <w:r w:rsidR="00EA2748" w:rsidRPr="006575CE">
              <w:rPr>
                <w:rFonts w:ascii="Arial" w:eastAsia="Calibri" w:hAnsi="Arial" w:cs="Arial"/>
                <w:b/>
                <w:sz w:val="22"/>
                <w:szCs w:val="22"/>
              </w:rPr>
              <w:t xml:space="preserve"> stanic na veřejné silniční síti. </w:t>
            </w:r>
          </w:p>
        </w:tc>
      </w:tr>
      <w:tr w:rsidR="00EA2748" w:rsidRPr="0007074B" w14:paraId="154C6ED1" w14:textId="77777777" w:rsidTr="00B460D5">
        <w:tc>
          <w:tcPr>
            <w:tcW w:w="2802" w:type="dxa"/>
          </w:tcPr>
          <w:p w14:paraId="06A83FD7"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Stručná definice: </w:t>
            </w:r>
          </w:p>
        </w:tc>
        <w:tc>
          <w:tcPr>
            <w:tcW w:w="6486" w:type="dxa"/>
          </w:tcPr>
          <w:p w14:paraId="7FA5C390" w14:textId="77777777" w:rsidR="00EA2748" w:rsidRPr="007C0164" w:rsidRDefault="00EA2748" w:rsidP="00C516EA">
            <w:pPr>
              <w:spacing w:line="276" w:lineRule="auto"/>
              <w:jc w:val="both"/>
              <w:rPr>
                <w:rFonts w:ascii="Arial" w:hAnsi="Arial" w:cs="Arial"/>
                <w:sz w:val="22"/>
                <w:szCs w:val="22"/>
              </w:rPr>
            </w:pPr>
            <w:r w:rsidRPr="007C0164">
              <w:rPr>
                <w:rFonts w:ascii="Arial" w:hAnsi="Arial" w:cs="Arial"/>
                <w:sz w:val="22"/>
                <w:szCs w:val="22"/>
              </w:rPr>
              <w:t>Počet nabíjecích stanic pro vozidla s elektrickým pohonem v katastrálním území jednotlivých ORP</w:t>
            </w:r>
          </w:p>
        </w:tc>
      </w:tr>
      <w:tr w:rsidR="00EA2748" w:rsidRPr="0007074B" w14:paraId="41DAA7FE" w14:textId="77777777" w:rsidTr="00B460D5">
        <w:tc>
          <w:tcPr>
            <w:tcW w:w="2802" w:type="dxa"/>
          </w:tcPr>
          <w:p w14:paraId="3043F303"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Jednotka:</w:t>
            </w:r>
          </w:p>
        </w:tc>
        <w:tc>
          <w:tcPr>
            <w:tcW w:w="6486" w:type="dxa"/>
          </w:tcPr>
          <w:p w14:paraId="39CE7E93" w14:textId="77777777" w:rsidR="00EA2748" w:rsidRPr="007C0164" w:rsidRDefault="00EA2748" w:rsidP="00C516EA">
            <w:pPr>
              <w:spacing w:line="276" w:lineRule="auto"/>
              <w:jc w:val="both"/>
              <w:rPr>
                <w:rFonts w:ascii="Arial" w:hAnsi="Arial" w:cs="Arial"/>
                <w:sz w:val="22"/>
                <w:szCs w:val="22"/>
              </w:rPr>
            </w:pPr>
            <w:r w:rsidRPr="007C0164">
              <w:rPr>
                <w:rFonts w:ascii="Arial" w:hAnsi="Arial" w:cs="Arial"/>
                <w:sz w:val="22"/>
                <w:szCs w:val="22"/>
              </w:rPr>
              <w:t>Počet</w:t>
            </w:r>
          </w:p>
        </w:tc>
      </w:tr>
      <w:tr w:rsidR="00EA2748" w:rsidRPr="0007074B" w14:paraId="533011EA" w14:textId="77777777" w:rsidTr="00B460D5">
        <w:tc>
          <w:tcPr>
            <w:tcW w:w="2802" w:type="dxa"/>
          </w:tcPr>
          <w:p w14:paraId="7C6B85E6"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Gestor: </w:t>
            </w:r>
          </w:p>
        </w:tc>
        <w:tc>
          <w:tcPr>
            <w:tcW w:w="6486" w:type="dxa"/>
          </w:tcPr>
          <w:p w14:paraId="43FCC576" w14:textId="77777777" w:rsidR="00EA2748" w:rsidRPr="007C0164" w:rsidRDefault="00EA2748" w:rsidP="00C516EA">
            <w:pPr>
              <w:spacing w:line="276" w:lineRule="auto"/>
              <w:jc w:val="both"/>
              <w:rPr>
                <w:rFonts w:ascii="Arial" w:hAnsi="Arial" w:cs="Arial"/>
                <w:sz w:val="22"/>
                <w:szCs w:val="22"/>
              </w:rPr>
            </w:pPr>
            <w:r w:rsidRPr="007C0164">
              <w:rPr>
                <w:rFonts w:ascii="Arial" w:hAnsi="Arial" w:cs="Arial"/>
                <w:sz w:val="22"/>
                <w:szCs w:val="22"/>
              </w:rPr>
              <w:t>Ministerstvo dopravy</w:t>
            </w:r>
          </w:p>
        </w:tc>
      </w:tr>
      <w:tr w:rsidR="00EA2748" w:rsidRPr="0007074B" w14:paraId="5F618F1F" w14:textId="77777777" w:rsidTr="00B460D5">
        <w:tc>
          <w:tcPr>
            <w:tcW w:w="2802" w:type="dxa"/>
          </w:tcPr>
          <w:p w14:paraId="762C13DF"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Význam indikátoru: </w:t>
            </w:r>
          </w:p>
        </w:tc>
        <w:tc>
          <w:tcPr>
            <w:tcW w:w="6486" w:type="dxa"/>
          </w:tcPr>
          <w:p w14:paraId="1403585C" w14:textId="77777777" w:rsidR="00EA2748" w:rsidRPr="007C0164" w:rsidRDefault="00EA2748" w:rsidP="00C516EA">
            <w:pPr>
              <w:spacing w:line="276" w:lineRule="auto"/>
              <w:jc w:val="both"/>
              <w:rPr>
                <w:rFonts w:ascii="Arial" w:hAnsi="Arial" w:cs="Arial"/>
                <w:sz w:val="22"/>
                <w:szCs w:val="22"/>
              </w:rPr>
            </w:pPr>
            <w:r w:rsidRPr="007C0164">
              <w:rPr>
                <w:rFonts w:ascii="Arial" w:hAnsi="Arial" w:cs="Arial"/>
                <w:sz w:val="22"/>
                <w:szCs w:val="22"/>
              </w:rPr>
              <w:t xml:space="preserve">Infrastruktura pro alternativní paliva a pohony je jedním ze základních předpokladů a zároveň i limitujících faktorů pro jejich rozšíření. Růst počtu nabíjecích stanic může zajistit v kombinaci s poklesem ceny elektrického pohonu a zlepšování jeho technických parametrů (výkonu, dosahu na jedno nabití) rozvoj </w:t>
            </w:r>
            <w:proofErr w:type="spellStart"/>
            <w:r w:rsidRPr="007C0164">
              <w:rPr>
                <w:rFonts w:ascii="Arial" w:hAnsi="Arial" w:cs="Arial"/>
                <w:sz w:val="22"/>
                <w:szCs w:val="22"/>
              </w:rPr>
              <w:t>elektromobility</w:t>
            </w:r>
            <w:proofErr w:type="spellEnd"/>
            <w:r w:rsidRPr="007C0164">
              <w:rPr>
                <w:rFonts w:ascii="Arial" w:hAnsi="Arial" w:cs="Arial"/>
                <w:sz w:val="22"/>
                <w:szCs w:val="22"/>
              </w:rPr>
              <w:t xml:space="preserve"> a tím i snižování vlivu dopravy na životní prostředí.</w:t>
            </w:r>
          </w:p>
        </w:tc>
      </w:tr>
      <w:tr w:rsidR="00EA2748" w:rsidRPr="0007074B" w14:paraId="7A4FDB0F" w14:textId="77777777" w:rsidTr="00B460D5">
        <w:tc>
          <w:tcPr>
            <w:tcW w:w="2802" w:type="dxa"/>
          </w:tcPr>
          <w:p w14:paraId="3CBC7FF7"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Časová řada: </w:t>
            </w:r>
          </w:p>
        </w:tc>
        <w:tc>
          <w:tcPr>
            <w:tcW w:w="6486" w:type="dxa"/>
          </w:tcPr>
          <w:p w14:paraId="2685E932" w14:textId="77777777" w:rsidR="00EA2748" w:rsidRPr="007C0164" w:rsidRDefault="00120807" w:rsidP="00C516EA">
            <w:pPr>
              <w:spacing w:line="276" w:lineRule="auto"/>
              <w:jc w:val="both"/>
              <w:rPr>
                <w:rFonts w:ascii="Arial" w:hAnsi="Arial" w:cs="Arial"/>
                <w:sz w:val="22"/>
                <w:szCs w:val="22"/>
              </w:rPr>
            </w:pPr>
            <w:r>
              <w:rPr>
                <w:rFonts w:ascii="Arial" w:hAnsi="Arial" w:cs="Arial"/>
                <w:sz w:val="22"/>
                <w:szCs w:val="22"/>
              </w:rPr>
              <w:t>O</w:t>
            </w:r>
            <w:r w:rsidR="00EA2748" w:rsidRPr="007C0164">
              <w:rPr>
                <w:rFonts w:ascii="Arial" w:hAnsi="Arial" w:cs="Arial"/>
                <w:sz w:val="22"/>
                <w:szCs w:val="22"/>
              </w:rPr>
              <w:t>d současnosti (resp. od roku 2015) dále, v minulosti bylo využití elektrického pohonu zcela marginální</w:t>
            </w:r>
          </w:p>
        </w:tc>
      </w:tr>
      <w:tr w:rsidR="00EA2748" w:rsidRPr="0007074B" w14:paraId="7531E8A2" w14:textId="77777777" w:rsidTr="00B460D5">
        <w:tc>
          <w:tcPr>
            <w:tcW w:w="2802" w:type="dxa"/>
          </w:tcPr>
          <w:p w14:paraId="6493BB9E"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Frekvence výstupu: </w:t>
            </w:r>
          </w:p>
        </w:tc>
        <w:tc>
          <w:tcPr>
            <w:tcW w:w="6486" w:type="dxa"/>
          </w:tcPr>
          <w:p w14:paraId="12918F44" w14:textId="77777777" w:rsidR="00EA2748" w:rsidRPr="007C0164" w:rsidRDefault="00EA2748" w:rsidP="00C51B65">
            <w:pPr>
              <w:spacing w:line="276" w:lineRule="auto"/>
              <w:rPr>
                <w:rFonts w:ascii="Arial" w:hAnsi="Arial" w:cs="Arial"/>
                <w:sz w:val="22"/>
                <w:szCs w:val="22"/>
              </w:rPr>
            </w:pPr>
            <w:r w:rsidRPr="007C0164">
              <w:rPr>
                <w:rFonts w:ascii="Arial" w:hAnsi="Arial" w:cs="Arial"/>
                <w:sz w:val="22"/>
                <w:szCs w:val="22"/>
              </w:rPr>
              <w:t>Ročně</w:t>
            </w:r>
          </w:p>
        </w:tc>
      </w:tr>
      <w:tr w:rsidR="00EA2748" w:rsidRPr="0007074B" w14:paraId="13A43E9E" w14:textId="77777777" w:rsidTr="00B460D5">
        <w:trPr>
          <w:trHeight w:val="70"/>
        </w:trPr>
        <w:tc>
          <w:tcPr>
            <w:tcW w:w="2802" w:type="dxa"/>
          </w:tcPr>
          <w:p w14:paraId="16B69341"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lastRenderedPageBreak/>
              <w:t xml:space="preserve">Členění indikátoru: </w:t>
            </w:r>
          </w:p>
        </w:tc>
        <w:tc>
          <w:tcPr>
            <w:tcW w:w="6486" w:type="dxa"/>
          </w:tcPr>
          <w:p w14:paraId="753BD696" w14:textId="77777777" w:rsidR="00EA2748" w:rsidRPr="007C0164" w:rsidRDefault="00EA2748" w:rsidP="00C51B65">
            <w:pPr>
              <w:spacing w:line="276" w:lineRule="auto"/>
              <w:rPr>
                <w:rFonts w:ascii="Arial" w:hAnsi="Arial" w:cs="Arial"/>
                <w:sz w:val="22"/>
                <w:szCs w:val="22"/>
              </w:rPr>
            </w:pPr>
            <w:r>
              <w:rPr>
                <w:rFonts w:ascii="Arial" w:hAnsi="Arial" w:cs="Arial"/>
                <w:sz w:val="22"/>
                <w:szCs w:val="22"/>
              </w:rPr>
              <w:t>-</w:t>
            </w:r>
          </w:p>
        </w:tc>
      </w:tr>
      <w:tr w:rsidR="00EA2748" w:rsidRPr="0007074B" w14:paraId="787CFAE0" w14:textId="77777777" w:rsidTr="00B460D5">
        <w:trPr>
          <w:trHeight w:val="70"/>
        </w:trPr>
        <w:tc>
          <w:tcPr>
            <w:tcW w:w="2802" w:type="dxa"/>
          </w:tcPr>
          <w:p w14:paraId="1F02EC45"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Mezinárodní srovnání:</w:t>
            </w:r>
          </w:p>
        </w:tc>
        <w:tc>
          <w:tcPr>
            <w:tcW w:w="6486" w:type="dxa"/>
          </w:tcPr>
          <w:p w14:paraId="4E2EE7BC" w14:textId="77777777" w:rsidR="00EA2748" w:rsidRPr="007C0164" w:rsidRDefault="00120807" w:rsidP="00C51B65">
            <w:pPr>
              <w:spacing w:line="276" w:lineRule="auto"/>
              <w:rPr>
                <w:rFonts w:ascii="Arial" w:hAnsi="Arial" w:cs="Arial"/>
                <w:sz w:val="22"/>
                <w:szCs w:val="22"/>
              </w:rPr>
            </w:pPr>
            <w:r>
              <w:rPr>
                <w:rFonts w:ascii="Arial" w:hAnsi="Arial" w:cs="Arial"/>
                <w:sz w:val="22"/>
                <w:szCs w:val="22"/>
              </w:rPr>
              <w:t>-</w:t>
            </w:r>
          </w:p>
        </w:tc>
      </w:tr>
    </w:tbl>
    <w:p w14:paraId="6DB14C92" w14:textId="77777777" w:rsidR="00EA2748" w:rsidRPr="0007074B" w:rsidRDefault="00EA2748" w:rsidP="00C51B65">
      <w:pPr>
        <w:spacing w:line="276" w:lineRule="auto"/>
        <w:ind w:left="709"/>
        <w:jc w:val="both"/>
        <w:rPr>
          <w:rFonts w:ascii="Arial" w:eastAsia="Calibri" w:hAnsi="Arial" w:cs="Arial"/>
          <w:i/>
          <w:sz w:val="22"/>
          <w:szCs w:val="22"/>
        </w:rPr>
      </w:pPr>
    </w:p>
    <w:tbl>
      <w:tblPr>
        <w:tblStyle w:val="Mkatabulky"/>
        <w:tblW w:w="0" w:type="auto"/>
        <w:tblLook w:val="04A0" w:firstRow="1" w:lastRow="0" w:firstColumn="1" w:lastColumn="0" w:noHBand="0" w:noVBand="1"/>
      </w:tblPr>
      <w:tblGrid>
        <w:gridCol w:w="2802"/>
        <w:gridCol w:w="6486"/>
      </w:tblGrid>
      <w:tr w:rsidR="00144E6A" w:rsidRPr="0007074B" w14:paraId="6D85DD43" w14:textId="77777777" w:rsidTr="007A7991">
        <w:tc>
          <w:tcPr>
            <w:tcW w:w="2802" w:type="dxa"/>
          </w:tcPr>
          <w:p w14:paraId="5DF6DEF1" w14:textId="77777777" w:rsidR="00144E6A" w:rsidRPr="0007074B" w:rsidRDefault="00144E6A" w:rsidP="007A7991">
            <w:pPr>
              <w:spacing w:line="276" w:lineRule="auto"/>
              <w:rPr>
                <w:rFonts w:ascii="Arial" w:hAnsi="Arial" w:cs="Arial"/>
                <w:sz w:val="22"/>
                <w:szCs w:val="22"/>
              </w:rPr>
            </w:pPr>
            <w:r w:rsidRPr="0007074B">
              <w:rPr>
                <w:rFonts w:ascii="Arial" w:hAnsi="Arial" w:cs="Arial"/>
                <w:sz w:val="22"/>
                <w:szCs w:val="22"/>
              </w:rPr>
              <w:t xml:space="preserve">Název a označení indikátoru: </w:t>
            </w:r>
          </w:p>
        </w:tc>
        <w:tc>
          <w:tcPr>
            <w:tcW w:w="6486" w:type="dxa"/>
          </w:tcPr>
          <w:p w14:paraId="62D3AC4C" w14:textId="02878AD9" w:rsidR="00144E6A" w:rsidRPr="006575CE" w:rsidRDefault="00144E6A" w:rsidP="00921D7A">
            <w:pPr>
              <w:spacing w:line="276" w:lineRule="auto"/>
              <w:rPr>
                <w:rFonts w:ascii="Arial" w:eastAsia="Arial" w:hAnsi="Arial" w:cs="Arial"/>
                <w:b/>
                <w:color w:val="000000"/>
                <w:sz w:val="22"/>
                <w:szCs w:val="22"/>
              </w:rPr>
            </w:pPr>
            <w:r>
              <w:rPr>
                <w:rFonts w:ascii="Arial" w:eastAsia="Calibri" w:hAnsi="Arial" w:cs="Arial"/>
                <w:b/>
                <w:noProof/>
                <w:sz w:val="22"/>
                <w:szCs w:val="22"/>
              </w:rPr>
              <w:t>19.</w:t>
            </w:r>
            <w:r w:rsidR="002460FC">
              <w:rPr>
                <w:rFonts w:ascii="Arial" w:eastAsia="Calibri" w:hAnsi="Arial" w:cs="Arial"/>
                <w:b/>
                <w:noProof/>
                <w:sz w:val="22"/>
                <w:szCs w:val="22"/>
              </w:rPr>
              <w:t>6</w:t>
            </w:r>
            <w:r>
              <w:rPr>
                <w:rFonts w:ascii="Arial" w:eastAsia="Calibri" w:hAnsi="Arial" w:cs="Arial"/>
                <w:b/>
                <w:noProof/>
                <w:sz w:val="22"/>
                <w:szCs w:val="22"/>
              </w:rPr>
              <w:t xml:space="preserve">.3 </w:t>
            </w:r>
            <w:r w:rsidR="00921D7A" w:rsidRPr="00921D7A">
              <w:rPr>
                <w:rFonts w:ascii="Arial" w:eastAsia="Calibri" w:hAnsi="Arial" w:cs="Arial"/>
                <w:b/>
                <w:noProof/>
                <w:sz w:val="22"/>
                <w:szCs w:val="22"/>
              </w:rPr>
              <w:t>Počet vozidel na zemní plyn (CNG/LNG)</w:t>
            </w:r>
          </w:p>
        </w:tc>
      </w:tr>
      <w:tr w:rsidR="00144E6A" w:rsidRPr="0007074B" w14:paraId="58F273C4" w14:textId="77777777" w:rsidTr="007A7991">
        <w:tc>
          <w:tcPr>
            <w:tcW w:w="2802" w:type="dxa"/>
          </w:tcPr>
          <w:p w14:paraId="438644A2" w14:textId="77777777" w:rsidR="00144E6A" w:rsidRPr="0007074B" w:rsidRDefault="00144E6A" w:rsidP="007A7991">
            <w:pPr>
              <w:spacing w:line="276" w:lineRule="auto"/>
              <w:rPr>
                <w:rFonts w:ascii="Arial" w:hAnsi="Arial" w:cs="Arial"/>
                <w:sz w:val="22"/>
                <w:szCs w:val="22"/>
              </w:rPr>
            </w:pPr>
            <w:r w:rsidRPr="0007074B">
              <w:rPr>
                <w:rFonts w:ascii="Arial" w:hAnsi="Arial" w:cs="Arial"/>
                <w:sz w:val="22"/>
                <w:szCs w:val="22"/>
              </w:rPr>
              <w:t xml:space="preserve">Stručná definice: </w:t>
            </w:r>
          </w:p>
        </w:tc>
        <w:tc>
          <w:tcPr>
            <w:tcW w:w="6486" w:type="dxa"/>
          </w:tcPr>
          <w:p w14:paraId="1103C6E8" w14:textId="77777777" w:rsidR="00144E6A" w:rsidRPr="007C0164" w:rsidRDefault="00144E6A" w:rsidP="00C516EA">
            <w:pPr>
              <w:spacing w:line="276" w:lineRule="auto"/>
              <w:jc w:val="both"/>
              <w:rPr>
                <w:rFonts w:ascii="Arial" w:hAnsi="Arial" w:cs="Arial"/>
                <w:sz w:val="22"/>
                <w:szCs w:val="22"/>
              </w:rPr>
            </w:pPr>
            <w:r w:rsidRPr="007C0164">
              <w:rPr>
                <w:rFonts w:ascii="Arial" w:hAnsi="Arial" w:cs="Arial"/>
                <w:sz w:val="22"/>
                <w:szCs w:val="22"/>
              </w:rPr>
              <w:t xml:space="preserve">Počet </w:t>
            </w:r>
            <w:r w:rsidR="00921D7A" w:rsidRPr="00921D7A">
              <w:rPr>
                <w:rFonts w:ascii="Arial" w:hAnsi="Arial" w:cs="Arial"/>
                <w:sz w:val="22"/>
                <w:szCs w:val="22"/>
              </w:rPr>
              <w:t>na CNG/LNG</w:t>
            </w:r>
            <w:r w:rsidRPr="007C0164">
              <w:rPr>
                <w:rFonts w:ascii="Arial" w:hAnsi="Arial" w:cs="Arial"/>
                <w:sz w:val="22"/>
                <w:szCs w:val="22"/>
              </w:rPr>
              <w:t xml:space="preserve"> registrovaných v Centrálním registru vozidel.</w:t>
            </w:r>
          </w:p>
        </w:tc>
      </w:tr>
      <w:tr w:rsidR="00144E6A" w:rsidRPr="0007074B" w14:paraId="520D5E4E" w14:textId="77777777" w:rsidTr="007A7991">
        <w:tc>
          <w:tcPr>
            <w:tcW w:w="2802" w:type="dxa"/>
          </w:tcPr>
          <w:p w14:paraId="68501CF6" w14:textId="77777777" w:rsidR="00144E6A" w:rsidRPr="0007074B" w:rsidRDefault="00144E6A" w:rsidP="007A7991">
            <w:pPr>
              <w:spacing w:line="276" w:lineRule="auto"/>
              <w:rPr>
                <w:rFonts w:ascii="Arial" w:hAnsi="Arial" w:cs="Arial"/>
                <w:sz w:val="22"/>
                <w:szCs w:val="22"/>
              </w:rPr>
            </w:pPr>
            <w:r w:rsidRPr="0007074B">
              <w:rPr>
                <w:rFonts w:ascii="Arial" w:hAnsi="Arial" w:cs="Arial"/>
                <w:sz w:val="22"/>
                <w:szCs w:val="22"/>
              </w:rPr>
              <w:t>Jednotka:</w:t>
            </w:r>
          </w:p>
        </w:tc>
        <w:tc>
          <w:tcPr>
            <w:tcW w:w="6486" w:type="dxa"/>
          </w:tcPr>
          <w:p w14:paraId="647405BF" w14:textId="77777777" w:rsidR="00144E6A" w:rsidRPr="007C0164" w:rsidRDefault="00144E6A" w:rsidP="00C516EA">
            <w:pPr>
              <w:spacing w:line="276" w:lineRule="auto"/>
              <w:jc w:val="both"/>
              <w:rPr>
                <w:rFonts w:ascii="Arial" w:hAnsi="Arial" w:cs="Arial"/>
                <w:sz w:val="22"/>
                <w:szCs w:val="22"/>
              </w:rPr>
            </w:pPr>
            <w:r w:rsidRPr="007C0164">
              <w:rPr>
                <w:rFonts w:ascii="Arial" w:hAnsi="Arial" w:cs="Arial"/>
                <w:sz w:val="22"/>
                <w:szCs w:val="22"/>
              </w:rPr>
              <w:t>Počet</w:t>
            </w:r>
          </w:p>
        </w:tc>
      </w:tr>
      <w:tr w:rsidR="00144E6A" w:rsidRPr="0007074B" w14:paraId="2C1EF513" w14:textId="77777777" w:rsidTr="007A7991">
        <w:tc>
          <w:tcPr>
            <w:tcW w:w="2802" w:type="dxa"/>
          </w:tcPr>
          <w:p w14:paraId="65E7C215" w14:textId="77777777" w:rsidR="00144E6A" w:rsidRPr="0007074B" w:rsidRDefault="00144E6A" w:rsidP="007A7991">
            <w:pPr>
              <w:spacing w:line="276" w:lineRule="auto"/>
              <w:rPr>
                <w:rFonts w:ascii="Arial" w:hAnsi="Arial" w:cs="Arial"/>
                <w:sz w:val="22"/>
                <w:szCs w:val="22"/>
              </w:rPr>
            </w:pPr>
            <w:r w:rsidRPr="0007074B">
              <w:rPr>
                <w:rFonts w:ascii="Arial" w:hAnsi="Arial" w:cs="Arial"/>
                <w:sz w:val="22"/>
                <w:szCs w:val="22"/>
              </w:rPr>
              <w:t xml:space="preserve">Gestor: </w:t>
            </w:r>
          </w:p>
        </w:tc>
        <w:tc>
          <w:tcPr>
            <w:tcW w:w="6486" w:type="dxa"/>
          </w:tcPr>
          <w:p w14:paraId="070D811D" w14:textId="77777777" w:rsidR="00144E6A" w:rsidRPr="007C0164" w:rsidRDefault="00144E6A" w:rsidP="00C516EA">
            <w:pPr>
              <w:spacing w:line="276" w:lineRule="auto"/>
              <w:jc w:val="both"/>
              <w:rPr>
                <w:rFonts w:ascii="Arial" w:hAnsi="Arial" w:cs="Arial"/>
                <w:sz w:val="22"/>
                <w:szCs w:val="22"/>
              </w:rPr>
            </w:pPr>
            <w:r w:rsidRPr="007C0164">
              <w:rPr>
                <w:rFonts w:ascii="Arial" w:hAnsi="Arial" w:cs="Arial"/>
                <w:sz w:val="22"/>
                <w:szCs w:val="22"/>
              </w:rPr>
              <w:t>Ministerstvo dopravy</w:t>
            </w:r>
          </w:p>
        </w:tc>
      </w:tr>
      <w:tr w:rsidR="00144E6A" w:rsidRPr="0007074B" w14:paraId="1D49914E" w14:textId="77777777" w:rsidTr="007A7991">
        <w:tc>
          <w:tcPr>
            <w:tcW w:w="2802" w:type="dxa"/>
          </w:tcPr>
          <w:p w14:paraId="3AACB4F1" w14:textId="77777777" w:rsidR="00144E6A" w:rsidRPr="0007074B" w:rsidRDefault="00144E6A" w:rsidP="007A7991">
            <w:pPr>
              <w:spacing w:line="276" w:lineRule="auto"/>
              <w:rPr>
                <w:rFonts w:ascii="Arial" w:hAnsi="Arial" w:cs="Arial"/>
                <w:sz w:val="22"/>
                <w:szCs w:val="22"/>
              </w:rPr>
            </w:pPr>
            <w:r w:rsidRPr="0007074B">
              <w:rPr>
                <w:rFonts w:ascii="Arial" w:hAnsi="Arial" w:cs="Arial"/>
                <w:sz w:val="22"/>
                <w:szCs w:val="22"/>
              </w:rPr>
              <w:t xml:space="preserve">Význam indikátoru: </w:t>
            </w:r>
          </w:p>
        </w:tc>
        <w:tc>
          <w:tcPr>
            <w:tcW w:w="6486" w:type="dxa"/>
          </w:tcPr>
          <w:p w14:paraId="0EA64FA1" w14:textId="77777777" w:rsidR="00144E6A" w:rsidRPr="007C0164" w:rsidRDefault="00921D7A" w:rsidP="00C516EA">
            <w:pPr>
              <w:spacing w:line="276" w:lineRule="auto"/>
              <w:jc w:val="both"/>
              <w:rPr>
                <w:rFonts w:ascii="Arial" w:hAnsi="Arial" w:cs="Arial"/>
                <w:sz w:val="22"/>
                <w:szCs w:val="22"/>
              </w:rPr>
            </w:pPr>
            <w:r w:rsidRPr="00921D7A">
              <w:rPr>
                <w:rFonts w:ascii="Arial" w:hAnsi="Arial" w:cs="Arial"/>
                <w:sz w:val="22"/>
                <w:szCs w:val="22"/>
              </w:rPr>
              <w:t>Rozvoj vozidel na CNG/LNG přispívá k dosažení nižších emisí zejména znečišťujících látek a částečně i skleníkových plynů a je faktorem snižování vlivu silniční dopravy na životní prostředí, zejména kvalitu ovzduší.</w:t>
            </w:r>
          </w:p>
        </w:tc>
      </w:tr>
      <w:tr w:rsidR="00144E6A" w:rsidRPr="0007074B" w14:paraId="72C61267" w14:textId="77777777" w:rsidTr="007A7991">
        <w:tc>
          <w:tcPr>
            <w:tcW w:w="2802" w:type="dxa"/>
          </w:tcPr>
          <w:p w14:paraId="2A58318F" w14:textId="77777777" w:rsidR="00144E6A" w:rsidRPr="0007074B" w:rsidRDefault="00144E6A" w:rsidP="007A7991">
            <w:pPr>
              <w:spacing w:line="276" w:lineRule="auto"/>
              <w:rPr>
                <w:rFonts w:ascii="Arial" w:hAnsi="Arial" w:cs="Arial"/>
                <w:sz w:val="22"/>
                <w:szCs w:val="22"/>
              </w:rPr>
            </w:pPr>
            <w:r w:rsidRPr="0007074B">
              <w:rPr>
                <w:rFonts w:ascii="Arial" w:hAnsi="Arial" w:cs="Arial"/>
                <w:sz w:val="22"/>
                <w:szCs w:val="22"/>
              </w:rPr>
              <w:t xml:space="preserve">Časová řada: </w:t>
            </w:r>
          </w:p>
        </w:tc>
        <w:tc>
          <w:tcPr>
            <w:tcW w:w="6486" w:type="dxa"/>
          </w:tcPr>
          <w:p w14:paraId="1471F4B9" w14:textId="77777777" w:rsidR="00144E6A" w:rsidRPr="007C0164" w:rsidRDefault="00921D7A" w:rsidP="00C516EA">
            <w:pPr>
              <w:spacing w:line="276" w:lineRule="auto"/>
              <w:jc w:val="both"/>
              <w:rPr>
                <w:rFonts w:ascii="Arial" w:hAnsi="Arial" w:cs="Arial"/>
                <w:sz w:val="22"/>
                <w:szCs w:val="22"/>
              </w:rPr>
            </w:pPr>
            <w:r>
              <w:rPr>
                <w:rFonts w:ascii="Arial" w:hAnsi="Arial" w:cs="Arial"/>
                <w:sz w:val="22"/>
                <w:szCs w:val="22"/>
              </w:rPr>
              <w:t>3 roky</w:t>
            </w:r>
          </w:p>
        </w:tc>
      </w:tr>
      <w:tr w:rsidR="00144E6A" w:rsidRPr="0007074B" w14:paraId="112F5B8E" w14:textId="77777777" w:rsidTr="007A7991">
        <w:tc>
          <w:tcPr>
            <w:tcW w:w="2802" w:type="dxa"/>
          </w:tcPr>
          <w:p w14:paraId="33BCF846" w14:textId="77777777" w:rsidR="00144E6A" w:rsidRPr="0007074B" w:rsidRDefault="00144E6A" w:rsidP="007A7991">
            <w:pPr>
              <w:spacing w:line="276" w:lineRule="auto"/>
              <w:rPr>
                <w:rFonts w:ascii="Arial" w:hAnsi="Arial" w:cs="Arial"/>
                <w:sz w:val="22"/>
                <w:szCs w:val="22"/>
              </w:rPr>
            </w:pPr>
            <w:r w:rsidRPr="0007074B">
              <w:rPr>
                <w:rFonts w:ascii="Arial" w:hAnsi="Arial" w:cs="Arial"/>
                <w:sz w:val="22"/>
                <w:szCs w:val="22"/>
              </w:rPr>
              <w:t xml:space="preserve">Frekvence výstupu: </w:t>
            </w:r>
          </w:p>
        </w:tc>
        <w:tc>
          <w:tcPr>
            <w:tcW w:w="6486" w:type="dxa"/>
          </w:tcPr>
          <w:p w14:paraId="738D5CD5" w14:textId="77777777" w:rsidR="00144E6A" w:rsidRPr="007C0164" w:rsidRDefault="00921D7A" w:rsidP="00C516EA">
            <w:pPr>
              <w:spacing w:line="276" w:lineRule="auto"/>
              <w:jc w:val="both"/>
              <w:rPr>
                <w:rFonts w:ascii="Arial" w:hAnsi="Arial" w:cs="Arial"/>
                <w:sz w:val="22"/>
                <w:szCs w:val="22"/>
              </w:rPr>
            </w:pPr>
            <w:r>
              <w:rPr>
                <w:rFonts w:ascii="Arial" w:hAnsi="Arial" w:cs="Arial"/>
                <w:sz w:val="22"/>
                <w:szCs w:val="22"/>
              </w:rPr>
              <w:t>ročně</w:t>
            </w:r>
          </w:p>
        </w:tc>
      </w:tr>
      <w:tr w:rsidR="00144E6A" w:rsidRPr="0007074B" w14:paraId="0321F443" w14:textId="77777777" w:rsidTr="007A7991">
        <w:trPr>
          <w:trHeight w:val="70"/>
        </w:trPr>
        <w:tc>
          <w:tcPr>
            <w:tcW w:w="2802" w:type="dxa"/>
          </w:tcPr>
          <w:p w14:paraId="60D819F2" w14:textId="77777777" w:rsidR="00144E6A" w:rsidRPr="0007074B" w:rsidRDefault="00144E6A" w:rsidP="007A7991">
            <w:pPr>
              <w:spacing w:line="276" w:lineRule="auto"/>
              <w:rPr>
                <w:rFonts w:ascii="Arial" w:hAnsi="Arial" w:cs="Arial"/>
                <w:sz w:val="22"/>
                <w:szCs w:val="22"/>
              </w:rPr>
            </w:pPr>
            <w:r w:rsidRPr="0007074B">
              <w:rPr>
                <w:rFonts w:ascii="Arial" w:hAnsi="Arial" w:cs="Arial"/>
                <w:sz w:val="22"/>
                <w:szCs w:val="22"/>
              </w:rPr>
              <w:t xml:space="preserve">Členění indikátoru: </w:t>
            </w:r>
          </w:p>
        </w:tc>
        <w:tc>
          <w:tcPr>
            <w:tcW w:w="6486" w:type="dxa"/>
          </w:tcPr>
          <w:p w14:paraId="5D683E11" w14:textId="77777777" w:rsidR="00144E6A" w:rsidRPr="007C0164" w:rsidRDefault="00144E6A" w:rsidP="00C516EA">
            <w:pPr>
              <w:spacing w:line="276" w:lineRule="auto"/>
              <w:jc w:val="both"/>
              <w:rPr>
                <w:rFonts w:ascii="Arial" w:hAnsi="Arial" w:cs="Arial"/>
                <w:sz w:val="22"/>
                <w:szCs w:val="22"/>
              </w:rPr>
            </w:pPr>
            <w:r>
              <w:rPr>
                <w:rFonts w:ascii="Arial" w:hAnsi="Arial" w:cs="Arial"/>
                <w:sz w:val="22"/>
                <w:szCs w:val="22"/>
              </w:rPr>
              <w:t>-</w:t>
            </w:r>
          </w:p>
        </w:tc>
      </w:tr>
      <w:tr w:rsidR="00144E6A" w:rsidRPr="0007074B" w14:paraId="085084FD" w14:textId="77777777" w:rsidTr="007A7991">
        <w:trPr>
          <w:trHeight w:val="70"/>
        </w:trPr>
        <w:tc>
          <w:tcPr>
            <w:tcW w:w="2802" w:type="dxa"/>
          </w:tcPr>
          <w:p w14:paraId="48A458E6" w14:textId="77777777" w:rsidR="00144E6A" w:rsidRPr="0007074B" w:rsidRDefault="00144E6A" w:rsidP="007A7991">
            <w:pPr>
              <w:spacing w:line="276" w:lineRule="auto"/>
              <w:rPr>
                <w:rFonts w:ascii="Arial" w:hAnsi="Arial" w:cs="Arial"/>
                <w:sz w:val="22"/>
                <w:szCs w:val="22"/>
              </w:rPr>
            </w:pPr>
            <w:r w:rsidRPr="0007074B">
              <w:rPr>
                <w:rFonts w:ascii="Arial" w:hAnsi="Arial" w:cs="Arial"/>
                <w:sz w:val="22"/>
                <w:szCs w:val="22"/>
              </w:rPr>
              <w:t>Mezinárodní srovnání:</w:t>
            </w:r>
          </w:p>
        </w:tc>
        <w:tc>
          <w:tcPr>
            <w:tcW w:w="6486" w:type="dxa"/>
          </w:tcPr>
          <w:p w14:paraId="63F34FFD" w14:textId="77777777" w:rsidR="00144E6A" w:rsidRPr="007C0164" w:rsidRDefault="00144E6A" w:rsidP="007A7991">
            <w:pPr>
              <w:spacing w:line="276" w:lineRule="auto"/>
              <w:rPr>
                <w:rFonts w:ascii="Arial" w:hAnsi="Arial" w:cs="Arial"/>
                <w:sz w:val="22"/>
                <w:szCs w:val="22"/>
              </w:rPr>
            </w:pPr>
            <w:r>
              <w:rPr>
                <w:rFonts w:ascii="Arial" w:hAnsi="Arial" w:cs="Arial"/>
                <w:sz w:val="22"/>
                <w:szCs w:val="22"/>
              </w:rPr>
              <w:t>-</w:t>
            </w:r>
          </w:p>
        </w:tc>
      </w:tr>
    </w:tbl>
    <w:p w14:paraId="140A9CDA" w14:textId="77777777" w:rsidR="00144E6A" w:rsidRDefault="00144E6A" w:rsidP="00C51B65">
      <w:pPr>
        <w:spacing w:line="276" w:lineRule="auto"/>
        <w:ind w:left="709"/>
        <w:jc w:val="both"/>
        <w:rPr>
          <w:rFonts w:ascii="Arial" w:eastAsia="Calibri" w:hAnsi="Arial" w:cs="Arial"/>
          <w:i/>
          <w:sz w:val="22"/>
          <w:szCs w:val="22"/>
        </w:rPr>
      </w:pPr>
    </w:p>
    <w:tbl>
      <w:tblPr>
        <w:tblStyle w:val="Mkatabulky"/>
        <w:tblW w:w="0" w:type="auto"/>
        <w:tblLook w:val="04A0" w:firstRow="1" w:lastRow="0" w:firstColumn="1" w:lastColumn="0" w:noHBand="0" w:noVBand="1"/>
      </w:tblPr>
      <w:tblGrid>
        <w:gridCol w:w="2802"/>
        <w:gridCol w:w="6486"/>
      </w:tblGrid>
      <w:tr w:rsidR="00921D7A" w:rsidRPr="0007074B" w14:paraId="6D2C59B4" w14:textId="77777777" w:rsidTr="007A7991">
        <w:tc>
          <w:tcPr>
            <w:tcW w:w="2802" w:type="dxa"/>
          </w:tcPr>
          <w:p w14:paraId="763020D9" w14:textId="77777777" w:rsidR="00921D7A" w:rsidRPr="0007074B" w:rsidRDefault="00921D7A" w:rsidP="007A7991">
            <w:pPr>
              <w:spacing w:line="276" w:lineRule="auto"/>
              <w:rPr>
                <w:rFonts w:ascii="Arial" w:hAnsi="Arial" w:cs="Arial"/>
                <w:sz w:val="22"/>
                <w:szCs w:val="22"/>
              </w:rPr>
            </w:pPr>
            <w:r w:rsidRPr="0007074B">
              <w:rPr>
                <w:rFonts w:ascii="Arial" w:hAnsi="Arial" w:cs="Arial"/>
                <w:sz w:val="22"/>
                <w:szCs w:val="22"/>
              </w:rPr>
              <w:t xml:space="preserve">Název a označení indikátoru: </w:t>
            </w:r>
          </w:p>
        </w:tc>
        <w:tc>
          <w:tcPr>
            <w:tcW w:w="6486" w:type="dxa"/>
          </w:tcPr>
          <w:p w14:paraId="2F6913E1" w14:textId="24E661A7" w:rsidR="00921D7A" w:rsidRPr="006575CE" w:rsidRDefault="00921D7A" w:rsidP="007A7991">
            <w:pPr>
              <w:spacing w:line="276" w:lineRule="auto"/>
              <w:rPr>
                <w:rFonts w:ascii="Arial" w:eastAsia="Arial" w:hAnsi="Arial" w:cs="Arial"/>
                <w:b/>
                <w:color w:val="000000"/>
                <w:sz w:val="22"/>
                <w:szCs w:val="22"/>
              </w:rPr>
            </w:pPr>
            <w:r>
              <w:rPr>
                <w:rFonts w:ascii="Arial" w:eastAsia="Calibri" w:hAnsi="Arial" w:cs="Arial"/>
                <w:b/>
                <w:noProof/>
                <w:sz w:val="22"/>
                <w:szCs w:val="22"/>
              </w:rPr>
              <w:t>19.</w:t>
            </w:r>
            <w:r w:rsidR="002460FC">
              <w:rPr>
                <w:rFonts w:ascii="Arial" w:eastAsia="Calibri" w:hAnsi="Arial" w:cs="Arial"/>
                <w:b/>
                <w:noProof/>
                <w:sz w:val="22"/>
                <w:szCs w:val="22"/>
              </w:rPr>
              <w:t>6</w:t>
            </w:r>
            <w:r>
              <w:rPr>
                <w:rFonts w:ascii="Arial" w:eastAsia="Calibri" w:hAnsi="Arial" w:cs="Arial"/>
                <w:b/>
                <w:noProof/>
                <w:sz w:val="22"/>
                <w:szCs w:val="22"/>
              </w:rPr>
              <w:t xml:space="preserve">.4 </w:t>
            </w:r>
            <w:r w:rsidRPr="00921D7A">
              <w:rPr>
                <w:rFonts w:ascii="Arial" w:eastAsia="Calibri" w:hAnsi="Arial" w:cs="Arial"/>
                <w:b/>
                <w:noProof/>
                <w:sz w:val="22"/>
                <w:szCs w:val="22"/>
              </w:rPr>
              <w:t>Počet napájecích stanic CNG/LNG na veřejné silniční síti</w:t>
            </w:r>
          </w:p>
        </w:tc>
      </w:tr>
      <w:tr w:rsidR="00921D7A" w:rsidRPr="0007074B" w14:paraId="396FE2B1" w14:textId="77777777" w:rsidTr="007A7991">
        <w:tc>
          <w:tcPr>
            <w:tcW w:w="2802" w:type="dxa"/>
          </w:tcPr>
          <w:p w14:paraId="597A4CB8" w14:textId="77777777" w:rsidR="00921D7A" w:rsidRPr="0007074B" w:rsidRDefault="00921D7A" w:rsidP="007A7991">
            <w:pPr>
              <w:spacing w:line="276" w:lineRule="auto"/>
              <w:rPr>
                <w:rFonts w:ascii="Arial" w:hAnsi="Arial" w:cs="Arial"/>
                <w:sz w:val="22"/>
                <w:szCs w:val="22"/>
              </w:rPr>
            </w:pPr>
            <w:r w:rsidRPr="0007074B">
              <w:rPr>
                <w:rFonts w:ascii="Arial" w:hAnsi="Arial" w:cs="Arial"/>
                <w:sz w:val="22"/>
                <w:szCs w:val="22"/>
              </w:rPr>
              <w:t xml:space="preserve">Stručná definice: </w:t>
            </w:r>
          </w:p>
        </w:tc>
        <w:tc>
          <w:tcPr>
            <w:tcW w:w="6486" w:type="dxa"/>
          </w:tcPr>
          <w:p w14:paraId="43DE1246" w14:textId="77777777" w:rsidR="00921D7A" w:rsidRPr="007C0164" w:rsidRDefault="00921D7A" w:rsidP="00C516EA">
            <w:pPr>
              <w:spacing w:line="276" w:lineRule="auto"/>
              <w:jc w:val="both"/>
              <w:rPr>
                <w:rFonts w:ascii="Arial" w:hAnsi="Arial" w:cs="Arial"/>
                <w:sz w:val="22"/>
                <w:szCs w:val="22"/>
              </w:rPr>
            </w:pPr>
            <w:r w:rsidRPr="00921D7A">
              <w:rPr>
                <w:rFonts w:ascii="Arial" w:hAnsi="Arial" w:cs="Arial"/>
                <w:sz w:val="22"/>
                <w:szCs w:val="22"/>
              </w:rPr>
              <w:t>Počet napájecích stanic CNG/LNG</w:t>
            </w:r>
          </w:p>
        </w:tc>
      </w:tr>
      <w:tr w:rsidR="00921D7A" w:rsidRPr="0007074B" w14:paraId="03E37DCE" w14:textId="77777777" w:rsidTr="007A7991">
        <w:tc>
          <w:tcPr>
            <w:tcW w:w="2802" w:type="dxa"/>
          </w:tcPr>
          <w:p w14:paraId="14588349" w14:textId="77777777" w:rsidR="00921D7A" w:rsidRPr="0007074B" w:rsidRDefault="00921D7A" w:rsidP="007A7991">
            <w:pPr>
              <w:spacing w:line="276" w:lineRule="auto"/>
              <w:rPr>
                <w:rFonts w:ascii="Arial" w:hAnsi="Arial" w:cs="Arial"/>
                <w:sz w:val="22"/>
                <w:szCs w:val="22"/>
              </w:rPr>
            </w:pPr>
            <w:r w:rsidRPr="0007074B">
              <w:rPr>
                <w:rFonts w:ascii="Arial" w:hAnsi="Arial" w:cs="Arial"/>
                <w:sz w:val="22"/>
                <w:szCs w:val="22"/>
              </w:rPr>
              <w:t>Jednotka:</w:t>
            </w:r>
          </w:p>
        </w:tc>
        <w:tc>
          <w:tcPr>
            <w:tcW w:w="6486" w:type="dxa"/>
          </w:tcPr>
          <w:p w14:paraId="22B138F9" w14:textId="77777777" w:rsidR="00921D7A" w:rsidRPr="007C0164" w:rsidRDefault="00921D7A" w:rsidP="00C516EA">
            <w:pPr>
              <w:spacing w:line="276" w:lineRule="auto"/>
              <w:jc w:val="both"/>
              <w:rPr>
                <w:rFonts w:ascii="Arial" w:hAnsi="Arial" w:cs="Arial"/>
                <w:sz w:val="22"/>
                <w:szCs w:val="22"/>
              </w:rPr>
            </w:pPr>
            <w:r w:rsidRPr="007C0164">
              <w:rPr>
                <w:rFonts w:ascii="Arial" w:hAnsi="Arial" w:cs="Arial"/>
                <w:sz w:val="22"/>
                <w:szCs w:val="22"/>
              </w:rPr>
              <w:t>Počet</w:t>
            </w:r>
          </w:p>
        </w:tc>
      </w:tr>
      <w:tr w:rsidR="00921D7A" w:rsidRPr="0007074B" w14:paraId="562B5AEB" w14:textId="77777777" w:rsidTr="007A7991">
        <w:tc>
          <w:tcPr>
            <w:tcW w:w="2802" w:type="dxa"/>
          </w:tcPr>
          <w:p w14:paraId="495DF70A" w14:textId="77777777" w:rsidR="00921D7A" w:rsidRPr="0007074B" w:rsidRDefault="00921D7A" w:rsidP="007A7991">
            <w:pPr>
              <w:spacing w:line="276" w:lineRule="auto"/>
              <w:rPr>
                <w:rFonts w:ascii="Arial" w:hAnsi="Arial" w:cs="Arial"/>
                <w:sz w:val="22"/>
                <w:szCs w:val="22"/>
              </w:rPr>
            </w:pPr>
            <w:r w:rsidRPr="0007074B">
              <w:rPr>
                <w:rFonts w:ascii="Arial" w:hAnsi="Arial" w:cs="Arial"/>
                <w:sz w:val="22"/>
                <w:szCs w:val="22"/>
              </w:rPr>
              <w:t xml:space="preserve">Gestor: </w:t>
            </w:r>
          </w:p>
        </w:tc>
        <w:tc>
          <w:tcPr>
            <w:tcW w:w="6486" w:type="dxa"/>
          </w:tcPr>
          <w:p w14:paraId="34DB251B" w14:textId="77777777" w:rsidR="00921D7A" w:rsidRPr="007C0164" w:rsidRDefault="00921D7A" w:rsidP="00C516EA">
            <w:pPr>
              <w:spacing w:line="276" w:lineRule="auto"/>
              <w:jc w:val="both"/>
              <w:rPr>
                <w:rFonts w:ascii="Arial" w:hAnsi="Arial" w:cs="Arial"/>
                <w:sz w:val="22"/>
                <w:szCs w:val="22"/>
              </w:rPr>
            </w:pPr>
            <w:r w:rsidRPr="007C0164">
              <w:rPr>
                <w:rFonts w:ascii="Arial" w:hAnsi="Arial" w:cs="Arial"/>
                <w:sz w:val="22"/>
                <w:szCs w:val="22"/>
              </w:rPr>
              <w:t>Ministerstvo dopravy</w:t>
            </w:r>
          </w:p>
        </w:tc>
      </w:tr>
      <w:tr w:rsidR="00921D7A" w:rsidRPr="0007074B" w14:paraId="4F877866" w14:textId="77777777" w:rsidTr="007A7991">
        <w:tc>
          <w:tcPr>
            <w:tcW w:w="2802" w:type="dxa"/>
          </w:tcPr>
          <w:p w14:paraId="584BC89B" w14:textId="77777777" w:rsidR="00921D7A" w:rsidRPr="0007074B" w:rsidRDefault="00921D7A" w:rsidP="007A7991">
            <w:pPr>
              <w:spacing w:line="276" w:lineRule="auto"/>
              <w:rPr>
                <w:rFonts w:ascii="Arial" w:hAnsi="Arial" w:cs="Arial"/>
                <w:sz w:val="22"/>
                <w:szCs w:val="22"/>
              </w:rPr>
            </w:pPr>
            <w:r w:rsidRPr="0007074B">
              <w:rPr>
                <w:rFonts w:ascii="Arial" w:hAnsi="Arial" w:cs="Arial"/>
                <w:sz w:val="22"/>
                <w:szCs w:val="22"/>
              </w:rPr>
              <w:t xml:space="preserve">Význam indikátoru: </w:t>
            </w:r>
          </w:p>
        </w:tc>
        <w:tc>
          <w:tcPr>
            <w:tcW w:w="6486" w:type="dxa"/>
          </w:tcPr>
          <w:p w14:paraId="6E5BB6FA" w14:textId="77777777" w:rsidR="00921D7A" w:rsidRPr="007C0164" w:rsidRDefault="00921D7A" w:rsidP="00C516EA">
            <w:pPr>
              <w:spacing w:line="276" w:lineRule="auto"/>
              <w:jc w:val="both"/>
              <w:rPr>
                <w:rFonts w:ascii="Arial" w:hAnsi="Arial" w:cs="Arial"/>
                <w:sz w:val="22"/>
                <w:szCs w:val="22"/>
              </w:rPr>
            </w:pPr>
            <w:r w:rsidRPr="00921D7A">
              <w:rPr>
                <w:rFonts w:ascii="Arial" w:hAnsi="Arial" w:cs="Arial"/>
                <w:sz w:val="22"/>
                <w:szCs w:val="22"/>
              </w:rPr>
              <w:t>Infrastruktura napájecích stanic CNG/LNG je jedním z předpokladů pro jejich rozšíření. Růst počtu stanic může zajistit rozvoj této alternativní energie a tím i snižování vlivu dopravy na životní prostředí.</w:t>
            </w:r>
          </w:p>
        </w:tc>
      </w:tr>
      <w:tr w:rsidR="00921D7A" w:rsidRPr="0007074B" w14:paraId="6E989126" w14:textId="77777777" w:rsidTr="007A7991">
        <w:tc>
          <w:tcPr>
            <w:tcW w:w="2802" w:type="dxa"/>
          </w:tcPr>
          <w:p w14:paraId="1B22CA55" w14:textId="77777777" w:rsidR="00921D7A" w:rsidRPr="0007074B" w:rsidRDefault="00921D7A" w:rsidP="007A7991">
            <w:pPr>
              <w:spacing w:line="276" w:lineRule="auto"/>
              <w:rPr>
                <w:rFonts w:ascii="Arial" w:hAnsi="Arial" w:cs="Arial"/>
                <w:sz w:val="22"/>
                <w:szCs w:val="22"/>
              </w:rPr>
            </w:pPr>
            <w:r w:rsidRPr="0007074B">
              <w:rPr>
                <w:rFonts w:ascii="Arial" w:hAnsi="Arial" w:cs="Arial"/>
                <w:sz w:val="22"/>
                <w:szCs w:val="22"/>
              </w:rPr>
              <w:t xml:space="preserve">Časová řada: </w:t>
            </w:r>
          </w:p>
        </w:tc>
        <w:tc>
          <w:tcPr>
            <w:tcW w:w="6486" w:type="dxa"/>
          </w:tcPr>
          <w:p w14:paraId="20B8DA39" w14:textId="1E444000" w:rsidR="00921D7A" w:rsidRPr="007C0164" w:rsidRDefault="00795F94" w:rsidP="00C516EA">
            <w:pPr>
              <w:spacing w:line="276" w:lineRule="auto"/>
              <w:jc w:val="both"/>
              <w:rPr>
                <w:rFonts w:ascii="Arial" w:hAnsi="Arial" w:cs="Arial"/>
                <w:sz w:val="22"/>
                <w:szCs w:val="22"/>
              </w:rPr>
            </w:pPr>
            <w:r>
              <w:rPr>
                <w:rFonts w:ascii="Arial" w:hAnsi="Arial" w:cs="Arial"/>
                <w:sz w:val="22"/>
                <w:szCs w:val="22"/>
              </w:rPr>
              <w:t>O</w:t>
            </w:r>
            <w:r w:rsidR="00921D7A">
              <w:rPr>
                <w:rFonts w:ascii="Arial" w:hAnsi="Arial" w:cs="Arial"/>
                <w:sz w:val="22"/>
                <w:szCs w:val="22"/>
              </w:rPr>
              <w:t>d roku 2015</w:t>
            </w:r>
          </w:p>
        </w:tc>
      </w:tr>
      <w:tr w:rsidR="00921D7A" w:rsidRPr="0007074B" w14:paraId="6CB8BD8D" w14:textId="77777777" w:rsidTr="00C516EA">
        <w:trPr>
          <w:trHeight w:val="78"/>
        </w:trPr>
        <w:tc>
          <w:tcPr>
            <w:tcW w:w="2802" w:type="dxa"/>
          </w:tcPr>
          <w:p w14:paraId="6E0553D7" w14:textId="77777777" w:rsidR="00921D7A" w:rsidRPr="0007074B" w:rsidRDefault="00921D7A" w:rsidP="007A7991">
            <w:pPr>
              <w:spacing w:line="276" w:lineRule="auto"/>
              <w:rPr>
                <w:rFonts w:ascii="Arial" w:hAnsi="Arial" w:cs="Arial"/>
                <w:sz w:val="22"/>
                <w:szCs w:val="22"/>
              </w:rPr>
            </w:pPr>
            <w:r w:rsidRPr="0007074B">
              <w:rPr>
                <w:rFonts w:ascii="Arial" w:hAnsi="Arial" w:cs="Arial"/>
                <w:sz w:val="22"/>
                <w:szCs w:val="22"/>
              </w:rPr>
              <w:t xml:space="preserve">Frekvence výstupu: </w:t>
            </w:r>
          </w:p>
        </w:tc>
        <w:tc>
          <w:tcPr>
            <w:tcW w:w="6486" w:type="dxa"/>
          </w:tcPr>
          <w:p w14:paraId="5D6E54D1" w14:textId="392CD518" w:rsidR="00921D7A" w:rsidRPr="007C0164" w:rsidRDefault="00795F94" w:rsidP="00C516EA">
            <w:pPr>
              <w:spacing w:line="276" w:lineRule="auto"/>
              <w:jc w:val="both"/>
              <w:rPr>
                <w:rFonts w:ascii="Arial" w:hAnsi="Arial" w:cs="Arial"/>
                <w:sz w:val="22"/>
                <w:szCs w:val="22"/>
              </w:rPr>
            </w:pPr>
            <w:r>
              <w:rPr>
                <w:rFonts w:ascii="Arial" w:hAnsi="Arial" w:cs="Arial"/>
                <w:sz w:val="22"/>
                <w:szCs w:val="22"/>
              </w:rPr>
              <w:t>R</w:t>
            </w:r>
            <w:r w:rsidR="00921D7A">
              <w:rPr>
                <w:rFonts w:ascii="Arial" w:hAnsi="Arial" w:cs="Arial"/>
                <w:sz w:val="22"/>
                <w:szCs w:val="22"/>
              </w:rPr>
              <w:t>očně</w:t>
            </w:r>
          </w:p>
        </w:tc>
      </w:tr>
      <w:tr w:rsidR="00921D7A" w:rsidRPr="0007074B" w14:paraId="2C852F7B" w14:textId="77777777" w:rsidTr="007A7991">
        <w:trPr>
          <w:trHeight w:val="70"/>
        </w:trPr>
        <w:tc>
          <w:tcPr>
            <w:tcW w:w="2802" w:type="dxa"/>
          </w:tcPr>
          <w:p w14:paraId="064CAC15" w14:textId="77777777" w:rsidR="00921D7A" w:rsidRPr="0007074B" w:rsidRDefault="00921D7A" w:rsidP="007A7991">
            <w:pPr>
              <w:spacing w:line="276" w:lineRule="auto"/>
              <w:rPr>
                <w:rFonts w:ascii="Arial" w:hAnsi="Arial" w:cs="Arial"/>
                <w:sz w:val="22"/>
                <w:szCs w:val="22"/>
              </w:rPr>
            </w:pPr>
            <w:r w:rsidRPr="0007074B">
              <w:rPr>
                <w:rFonts w:ascii="Arial" w:hAnsi="Arial" w:cs="Arial"/>
                <w:sz w:val="22"/>
                <w:szCs w:val="22"/>
              </w:rPr>
              <w:t xml:space="preserve">Členění indikátoru: </w:t>
            </w:r>
          </w:p>
        </w:tc>
        <w:tc>
          <w:tcPr>
            <w:tcW w:w="6486" w:type="dxa"/>
          </w:tcPr>
          <w:p w14:paraId="46725DCC" w14:textId="77777777" w:rsidR="00921D7A" w:rsidRPr="007C0164" w:rsidRDefault="00921D7A" w:rsidP="00C516EA">
            <w:pPr>
              <w:spacing w:line="276" w:lineRule="auto"/>
              <w:jc w:val="both"/>
              <w:rPr>
                <w:rFonts w:ascii="Arial" w:hAnsi="Arial" w:cs="Arial"/>
                <w:sz w:val="22"/>
                <w:szCs w:val="22"/>
              </w:rPr>
            </w:pPr>
            <w:r>
              <w:rPr>
                <w:rFonts w:ascii="Arial" w:hAnsi="Arial" w:cs="Arial"/>
                <w:sz w:val="22"/>
                <w:szCs w:val="22"/>
              </w:rPr>
              <w:t>-</w:t>
            </w:r>
          </w:p>
        </w:tc>
      </w:tr>
    </w:tbl>
    <w:p w14:paraId="0D64E43A" w14:textId="77777777" w:rsidR="00921D7A" w:rsidRDefault="00921D7A" w:rsidP="00C51B65">
      <w:pPr>
        <w:spacing w:line="276" w:lineRule="auto"/>
        <w:ind w:left="709"/>
        <w:jc w:val="both"/>
        <w:rPr>
          <w:rFonts w:ascii="Arial" w:eastAsia="Calibri" w:hAnsi="Arial" w:cs="Arial"/>
          <w:i/>
          <w:sz w:val="22"/>
          <w:szCs w:val="22"/>
        </w:rPr>
      </w:pPr>
    </w:p>
    <w:p w14:paraId="245B5F0C" w14:textId="6B1CBEC9" w:rsidR="00B86883" w:rsidRDefault="00B86883" w:rsidP="00C516EA">
      <w:pPr>
        <w:pStyle w:val="r2030podcle"/>
        <w:numPr>
          <w:ilvl w:val="1"/>
          <w:numId w:val="17"/>
        </w:numPr>
        <w:spacing w:before="0"/>
        <w:ind w:left="567" w:hanging="425"/>
      </w:pPr>
      <w:r w:rsidRPr="00B86883">
        <w:t xml:space="preserve">Klesá množství </w:t>
      </w:r>
      <w:r w:rsidR="008427D4">
        <w:t>skládkovaného</w:t>
      </w:r>
      <w:r w:rsidRPr="00B86883">
        <w:t xml:space="preserve"> komunálního odpadu.</w:t>
      </w:r>
    </w:p>
    <w:tbl>
      <w:tblPr>
        <w:tblStyle w:val="Mkatabulky"/>
        <w:tblW w:w="0" w:type="auto"/>
        <w:shd w:val="clear" w:color="auto" w:fill="D9D9D9" w:themeFill="background1" w:themeFillShade="D9"/>
        <w:tblLook w:val="04A0" w:firstRow="1" w:lastRow="0" w:firstColumn="1" w:lastColumn="0" w:noHBand="0" w:noVBand="1"/>
      </w:tblPr>
      <w:tblGrid>
        <w:gridCol w:w="2802"/>
        <w:gridCol w:w="6486"/>
      </w:tblGrid>
      <w:tr w:rsidR="00B86883" w:rsidRPr="0007074B" w14:paraId="1DDA9D0C" w14:textId="77777777" w:rsidTr="006C46D4">
        <w:tc>
          <w:tcPr>
            <w:tcW w:w="2802" w:type="dxa"/>
            <w:shd w:val="clear" w:color="auto" w:fill="D9D9D9" w:themeFill="background1" w:themeFillShade="D9"/>
          </w:tcPr>
          <w:p w14:paraId="4D5B7B79" w14:textId="77777777" w:rsidR="00B86883" w:rsidRPr="0007074B" w:rsidRDefault="00B86883" w:rsidP="00B86883">
            <w:pPr>
              <w:spacing w:line="276" w:lineRule="auto"/>
              <w:rPr>
                <w:rFonts w:ascii="Arial" w:hAnsi="Arial" w:cs="Arial"/>
                <w:sz w:val="22"/>
                <w:szCs w:val="22"/>
              </w:rPr>
            </w:pPr>
            <w:r w:rsidRPr="0007074B">
              <w:rPr>
                <w:rFonts w:ascii="Arial" w:hAnsi="Arial" w:cs="Arial"/>
                <w:sz w:val="22"/>
                <w:szCs w:val="22"/>
              </w:rPr>
              <w:t xml:space="preserve">Název a označení indikátoru: </w:t>
            </w:r>
          </w:p>
        </w:tc>
        <w:tc>
          <w:tcPr>
            <w:tcW w:w="6486" w:type="dxa"/>
            <w:shd w:val="clear" w:color="auto" w:fill="D9D9D9" w:themeFill="background1" w:themeFillShade="D9"/>
          </w:tcPr>
          <w:p w14:paraId="499CC266" w14:textId="29A96CF4" w:rsidR="00B86883" w:rsidRPr="00DA3A75" w:rsidRDefault="00B86883" w:rsidP="00B86883">
            <w:pPr>
              <w:spacing w:line="276" w:lineRule="auto"/>
              <w:rPr>
                <w:rFonts w:ascii="Arial" w:eastAsia="Arial" w:hAnsi="Arial" w:cs="Arial"/>
                <w:b/>
                <w:color w:val="000000"/>
                <w:sz w:val="22"/>
                <w:szCs w:val="22"/>
              </w:rPr>
            </w:pPr>
            <w:r w:rsidRPr="00B86883">
              <w:rPr>
                <w:rFonts w:ascii="Arial" w:eastAsia="Calibri" w:hAnsi="Arial" w:cs="Arial"/>
                <w:b/>
                <w:sz w:val="22"/>
                <w:szCs w:val="22"/>
              </w:rPr>
              <w:t>19.7.1 Absolutní množství produkovaného komunálního odpadu</w:t>
            </w:r>
          </w:p>
        </w:tc>
      </w:tr>
      <w:tr w:rsidR="00B86883" w:rsidRPr="0007074B" w14:paraId="495CD47A" w14:textId="77777777" w:rsidTr="006C46D4">
        <w:tc>
          <w:tcPr>
            <w:tcW w:w="2802" w:type="dxa"/>
            <w:shd w:val="clear" w:color="auto" w:fill="D9D9D9" w:themeFill="background1" w:themeFillShade="D9"/>
          </w:tcPr>
          <w:p w14:paraId="66C78E9A" w14:textId="77777777" w:rsidR="00B86883" w:rsidRPr="0007074B" w:rsidRDefault="00B86883" w:rsidP="00B86883">
            <w:pPr>
              <w:spacing w:line="276" w:lineRule="auto"/>
              <w:rPr>
                <w:rFonts w:ascii="Arial" w:hAnsi="Arial" w:cs="Arial"/>
                <w:sz w:val="22"/>
                <w:szCs w:val="22"/>
              </w:rPr>
            </w:pPr>
            <w:r w:rsidRPr="0007074B">
              <w:rPr>
                <w:rFonts w:ascii="Arial" w:hAnsi="Arial" w:cs="Arial"/>
                <w:sz w:val="22"/>
                <w:szCs w:val="22"/>
              </w:rPr>
              <w:t xml:space="preserve">Stručná definice: </w:t>
            </w:r>
          </w:p>
        </w:tc>
        <w:tc>
          <w:tcPr>
            <w:tcW w:w="6486" w:type="dxa"/>
            <w:shd w:val="clear" w:color="auto" w:fill="D9D9D9" w:themeFill="background1" w:themeFillShade="D9"/>
          </w:tcPr>
          <w:p w14:paraId="10B6A176" w14:textId="1013C2DC" w:rsidR="00B86883" w:rsidRPr="004D7773" w:rsidRDefault="00B86883" w:rsidP="00B86883">
            <w:pPr>
              <w:spacing w:line="276" w:lineRule="auto"/>
              <w:rPr>
                <w:rFonts w:ascii="Arial" w:hAnsi="Arial" w:cs="Arial"/>
                <w:sz w:val="22"/>
                <w:szCs w:val="22"/>
              </w:rPr>
            </w:pPr>
          </w:p>
        </w:tc>
      </w:tr>
      <w:tr w:rsidR="00B86883" w:rsidRPr="0007074B" w14:paraId="2AC8EAEB" w14:textId="77777777" w:rsidTr="006C46D4">
        <w:tc>
          <w:tcPr>
            <w:tcW w:w="2802" w:type="dxa"/>
            <w:shd w:val="clear" w:color="auto" w:fill="D9D9D9" w:themeFill="background1" w:themeFillShade="D9"/>
          </w:tcPr>
          <w:p w14:paraId="09503766" w14:textId="77777777" w:rsidR="00B86883" w:rsidRPr="0007074B" w:rsidRDefault="00B86883" w:rsidP="00B86883">
            <w:pPr>
              <w:spacing w:line="276" w:lineRule="auto"/>
              <w:rPr>
                <w:rFonts w:ascii="Arial" w:hAnsi="Arial" w:cs="Arial"/>
                <w:sz w:val="22"/>
                <w:szCs w:val="22"/>
              </w:rPr>
            </w:pPr>
            <w:r w:rsidRPr="0007074B">
              <w:rPr>
                <w:rFonts w:ascii="Arial" w:hAnsi="Arial" w:cs="Arial"/>
                <w:sz w:val="22"/>
                <w:szCs w:val="22"/>
              </w:rPr>
              <w:t>Jednotka:</w:t>
            </w:r>
          </w:p>
        </w:tc>
        <w:tc>
          <w:tcPr>
            <w:tcW w:w="6486" w:type="dxa"/>
            <w:shd w:val="clear" w:color="auto" w:fill="D9D9D9" w:themeFill="background1" w:themeFillShade="D9"/>
          </w:tcPr>
          <w:p w14:paraId="6569E6D2" w14:textId="6127332F" w:rsidR="00B86883" w:rsidRPr="0007074B" w:rsidRDefault="00B86883" w:rsidP="00B86883">
            <w:pPr>
              <w:spacing w:line="276" w:lineRule="auto"/>
              <w:rPr>
                <w:rFonts w:ascii="Arial" w:hAnsi="Arial" w:cs="Arial"/>
                <w:sz w:val="22"/>
                <w:szCs w:val="22"/>
              </w:rPr>
            </w:pPr>
          </w:p>
        </w:tc>
      </w:tr>
      <w:tr w:rsidR="00B86883" w:rsidRPr="0007074B" w14:paraId="3D538185" w14:textId="77777777" w:rsidTr="006C46D4">
        <w:tc>
          <w:tcPr>
            <w:tcW w:w="2802" w:type="dxa"/>
            <w:shd w:val="clear" w:color="auto" w:fill="D9D9D9" w:themeFill="background1" w:themeFillShade="D9"/>
          </w:tcPr>
          <w:p w14:paraId="78E91109" w14:textId="77777777" w:rsidR="00B86883" w:rsidRPr="0007074B" w:rsidRDefault="00B86883" w:rsidP="00B86883">
            <w:pPr>
              <w:spacing w:line="276" w:lineRule="auto"/>
              <w:rPr>
                <w:rFonts w:ascii="Arial" w:hAnsi="Arial" w:cs="Arial"/>
                <w:sz w:val="22"/>
                <w:szCs w:val="22"/>
              </w:rPr>
            </w:pPr>
            <w:r w:rsidRPr="0007074B">
              <w:rPr>
                <w:rFonts w:ascii="Arial" w:hAnsi="Arial" w:cs="Arial"/>
                <w:sz w:val="22"/>
                <w:szCs w:val="22"/>
              </w:rPr>
              <w:t xml:space="preserve">Gestor: </w:t>
            </w:r>
          </w:p>
        </w:tc>
        <w:tc>
          <w:tcPr>
            <w:tcW w:w="6486" w:type="dxa"/>
            <w:shd w:val="clear" w:color="auto" w:fill="D9D9D9" w:themeFill="background1" w:themeFillShade="D9"/>
          </w:tcPr>
          <w:p w14:paraId="203F740B" w14:textId="37E373EE" w:rsidR="00B86883" w:rsidRPr="00375C6C" w:rsidRDefault="00B86883" w:rsidP="00B86883">
            <w:pPr>
              <w:spacing w:line="276" w:lineRule="auto"/>
              <w:rPr>
                <w:rFonts w:ascii="Arial" w:hAnsi="Arial" w:cs="Arial"/>
                <w:sz w:val="22"/>
                <w:szCs w:val="22"/>
              </w:rPr>
            </w:pPr>
          </w:p>
        </w:tc>
      </w:tr>
      <w:tr w:rsidR="00B86883" w:rsidRPr="0007074B" w14:paraId="5B143E9A" w14:textId="77777777" w:rsidTr="006C46D4">
        <w:tc>
          <w:tcPr>
            <w:tcW w:w="2802" w:type="dxa"/>
            <w:shd w:val="clear" w:color="auto" w:fill="D9D9D9" w:themeFill="background1" w:themeFillShade="D9"/>
          </w:tcPr>
          <w:p w14:paraId="479C95A5" w14:textId="77777777" w:rsidR="00B86883" w:rsidRPr="0007074B" w:rsidRDefault="00B86883" w:rsidP="00B86883">
            <w:pPr>
              <w:spacing w:line="276" w:lineRule="auto"/>
              <w:rPr>
                <w:rFonts w:ascii="Arial" w:hAnsi="Arial" w:cs="Arial"/>
                <w:sz w:val="22"/>
                <w:szCs w:val="22"/>
              </w:rPr>
            </w:pPr>
            <w:r w:rsidRPr="0007074B">
              <w:rPr>
                <w:rFonts w:ascii="Arial" w:hAnsi="Arial" w:cs="Arial"/>
                <w:sz w:val="22"/>
                <w:szCs w:val="22"/>
              </w:rPr>
              <w:t xml:space="preserve">Význam indikátoru: </w:t>
            </w:r>
          </w:p>
        </w:tc>
        <w:tc>
          <w:tcPr>
            <w:tcW w:w="6486" w:type="dxa"/>
            <w:shd w:val="clear" w:color="auto" w:fill="D9D9D9" w:themeFill="background1" w:themeFillShade="D9"/>
          </w:tcPr>
          <w:p w14:paraId="1850492F" w14:textId="2BE353D8" w:rsidR="00B86883" w:rsidRPr="00724039" w:rsidRDefault="00B86883" w:rsidP="00B86883">
            <w:pPr>
              <w:pStyle w:val="Odstavecseseznamem"/>
              <w:spacing w:line="276" w:lineRule="auto"/>
              <w:ind w:left="720"/>
              <w:rPr>
                <w:rFonts w:ascii="Arial" w:hAnsi="Arial" w:cs="Arial"/>
                <w:sz w:val="22"/>
                <w:szCs w:val="22"/>
              </w:rPr>
            </w:pPr>
          </w:p>
        </w:tc>
      </w:tr>
      <w:tr w:rsidR="00B86883" w:rsidRPr="0007074B" w14:paraId="61E307F8" w14:textId="77777777" w:rsidTr="006C46D4">
        <w:tc>
          <w:tcPr>
            <w:tcW w:w="2802" w:type="dxa"/>
            <w:shd w:val="clear" w:color="auto" w:fill="D9D9D9" w:themeFill="background1" w:themeFillShade="D9"/>
          </w:tcPr>
          <w:p w14:paraId="32B2926E" w14:textId="77777777" w:rsidR="00B86883" w:rsidRPr="0007074B" w:rsidRDefault="00B86883" w:rsidP="00B86883">
            <w:pPr>
              <w:spacing w:line="276" w:lineRule="auto"/>
              <w:rPr>
                <w:rFonts w:ascii="Arial" w:hAnsi="Arial" w:cs="Arial"/>
                <w:sz w:val="22"/>
                <w:szCs w:val="22"/>
              </w:rPr>
            </w:pPr>
            <w:r w:rsidRPr="0007074B">
              <w:rPr>
                <w:rFonts w:ascii="Arial" w:hAnsi="Arial" w:cs="Arial"/>
                <w:sz w:val="22"/>
                <w:szCs w:val="22"/>
              </w:rPr>
              <w:t xml:space="preserve">Časová řada: </w:t>
            </w:r>
          </w:p>
        </w:tc>
        <w:tc>
          <w:tcPr>
            <w:tcW w:w="6486" w:type="dxa"/>
            <w:shd w:val="clear" w:color="auto" w:fill="D9D9D9" w:themeFill="background1" w:themeFillShade="D9"/>
          </w:tcPr>
          <w:p w14:paraId="07A862CD" w14:textId="4B144BE7" w:rsidR="00B86883" w:rsidRPr="0007074B" w:rsidRDefault="00B86883" w:rsidP="00B86883">
            <w:pPr>
              <w:spacing w:line="276" w:lineRule="auto"/>
              <w:rPr>
                <w:rFonts w:ascii="Arial" w:hAnsi="Arial" w:cs="Arial"/>
                <w:sz w:val="22"/>
                <w:szCs w:val="22"/>
              </w:rPr>
            </w:pPr>
          </w:p>
        </w:tc>
      </w:tr>
      <w:tr w:rsidR="00B86883" w:rsidRPr="0007074B" w14:paraId="4097A6D2" w14:textId="77777777" w:rsidTr="006C46D4">
        <w:tc>
          <w:tcPr>
            <w:tcW w:w="2802" w:type="dxa"/>
            <w:shd w:val="clear" w:color="auto" w:fill="D9D9D9" w:themeFill="background1" w:themeFillShade="D9"/>
          </w:tcPr>
          <w:p w14:paraId="5DB5A975" w14:textId="77777777" w:rsidR="00B86883" w:rsidRPr="0007074B" w:rsidRDefault="00B86883" w:rsidP="00B86883">
            <w:pPr>
              <w:spacing w:line="276" w:lineRule="auto"/>
              <w:rPr>
                <w:rFonts w:ascii="Arial" w:hAnsi="Arial" w:cs="Arial"/>
                <w:sz w:val="22"/>
                <w:szCs w:val="22"/>
              </w:rPr>
            </w:pPr>
            <w:r w:rsidRPr="0007074B">
              <w:rPr>
                <w:rFonts w:ascii="Arial" w:hAnsi="Arial" w:cs="Arial"/>
                <w:sz w:val="22"/>
                <w:szCs w:val="22"/>
              </w:rPr>
              <w:t xml:space="preserve">Frekvence výstupu: </w:t>
            </w:r>
          </w:p>
        </w:tc>
        <w:tc>
          <w:tcPr>
            <w:tcW w:w="6486" w:type="dxa"/>
            <w:shd w:val="clear" w:color="auto" w:fill="D9D9D9" w:themeFill="background1" w:themeFillShade="D9"/>
          </w:tcPr>
          <w:p w14:paraId="1D32CAB8" w14:textId="64B0ACDD" w:rsidR="00B86883" w:rsidRPr="0007074B" w:rsidRDefault="00B86883" w:rsidP="00B86883">
            <w:pPr>
              <w:spacing w:line="276" w:lineRule="auto"/>
              <w:rPr>
                <w:rFonts w:ascii="Arial" w:hAnsi="Arial" w:cs="Arial"/>
                <w:sz w:val="22"/>
                <w:szCs w:val="22"/>
              </w:rPr>
            </w:pPr>
          </w:p>
        </w:tc>
      </w:tr>
      <w:tr w:rsidR="00B86883" w:rsidRPr="0007074B" w14:paraId="66435125" w14:textId="77777777" w:rsidTr="006C46D4">
        <w:trPr>
          <w:trHeight w:val="70"/>
        </w:trPr>
        <w:tc>
          <w:tcPr>
            <w:tcW w:w="2802" w:type="dxa"/>
            <w:shd w:val="clear" w:color="auto" w:fill="D9D9D9" w:themeFill="background1" w:themeFillShade="D9"/>
          </w:tcPr>
          <w:p w14:paraId="14E7A60D" w14:textId="77777777" w:rsidR="00B86883" w:rsidRPr="0007074B" w:rsidRDefault="00B86883" w:rsidP="00B86883">
            <w:pPr>
              <w:spacing w:line="276" w:lineRule="auto"/>
              <w:rPr>
                <w:rFonts w:ascii="Arial" w:hAnsi="Arial" w:cs="Arial"/>
                <w:sz w:val="22"/>
                <w:szCs w:val="22"/>
              </w:rPr>
            </w:pPr>
            <w:r w:rsidRPr="0007074B">
              <w:rPr>
                <w:rFonts w:ascii="Arial" w:hAnsi="Arial" w:cs="Arial"/>
                <w:sz w:val="22"/>
                <w:szCs w:val="22"/>
              </w:rPr>
              <w:t xml:space="preserve">Členění indikátoru: </w:t>
            </w:r>
          </w:p>
        </w:tc>
        <w:tc>
          <w:tcPr>
            <w:tcW w:w="6486" w:type="dxa"/>
            <w:shd w:val="clear" w:color="auto" w:fill="D9D9D9" w:themeFill="background1" w:themeFillShade="D9"/>
          </w:tcPr>
          <w:p w14:paraId="15D9F972" w14:textId="68E49338" w:rsidR="00B86883" w:rsidRPr="0007074B" w:rsidRDefault="00B86883" w:rsidP="00B86883">
            <w:pPr>
              <w:spacing w:line="276" w:lineRule="auto"/>
              <w:rPr>
                <w:rFonts w:ascii="Arial" w:hAnsi="Arial" w:cs="Arial"/>
                <w:sz w:val="22"/>
                <w:szCs w:val="22"/>
              </w:rPr>
            </w:pPr>
          </w:p>
        </w:tc>
      </w:tr>
      <w:tr w:rsidR="00B86883" w:rsidRPr="0007074B" w14:paraId="6060152A" w14:textId="77777777" w:rsidTr="006C46D4">
        <w:trPr>
          <w:trHeight w:val="70"/>
        </w:trPr>
        <w:tc>
          <w:tcPr>
            <w:tcW w:w="2802" w:type="dxa"/>
            <w:shd w:val="clear" w:color="auto" w:fill="D9D9D9" w:themeFill="background1" w:themeFillShade="D9"/>
          </w:tcPr>
          <w:p w14:paraId="3F8CE443" w14:textId="77777777" w:rsidR="00B86883" w:rsidRPr="0007074B" w:rsidRDefault="00B86883" w:rsidP="00B86883">
            <w:pPr>
              <w:spacing w:line="276" w:lineRule="auto"/>
              <w:rPr>
                <w:rFonts w:ascii="Arial" w:hAnsi="Arial" w:cs="Arial"/>
                <w:sz w:val="22"/>
                <w:szCs w:val="22"/>
              </w:rPr>
            </w:pPr>
            <w:r w:rsidRPr="0007074B">
              <w:rPr>
                <w:rFonts w:ascii="Arial" w:hAnsi="Arial" w:cs="Arial"/>
                <w:sz w:val="22"/>
                <w:szCs w:val="22"/>
              </w:rPr>
              <w:t>Mezinárodní srovnání:</w:t>
            </w:r>
          </w:p>
        </w:tc>
        <w:tc>
          <w:tcPr>
            <w:tcW w:w="6486" w:type="dxa"/>
            <w:shd w:val="clear" w:color="auto" w:fill="D9D9D9" w:themeFill="background1" w:themeFillShade="D9"/>
          </w:tcPr>
          <w:p w14:paraId="1B1DC6CB" w14:textId="23F0ABA1" w:rsidR="00B86883" w:rsidRPr="0007074B" w:rsidRDefault="00B86883" w:rsidP="00B86883">
            <w:pPr>
              <w:spacing w:line="276" w:lineRule="auto"/>
              <w:rPr>
                <w:rFonts w:ascii="Arial" w:hAnsi="Arial" w:cs="Arial"/>
                <w:sz w:val="22"/>
                <w:szCs w:val="22"/>
              </w:rPr>
            </w:pPr>
          </w:p>
        </w:tc>
      </w:tr>
      <w:tr w:rsidR="00B86883" w:rsidRPr="0007074B" w14:paraId="31F63B35" w14:textId="77777777" w:rsidTr="006C46D4">
        <w:trPr>
          <w:trHeight w:val="70"/>
        </w:trPr>
        <w:tc>
          <w:tcPr>
            <w:tcW w:w="2802" w:type="dxa"/>
            <w:shd w:val="clear" w:color="auto" w:fill="D9D9D9" w:themeFill="background1" w:themeFillShade="D9"/>
          </w:tcPr>
          <w:p w14:paraId="6118C7AB" w14:textId="77777777" w:rsidR="00B86883" w:rsidRPr="0007074B" w:rsidRDefault="00B86883" w:rsidP="00B86883">
            <w:pPr>
              <w:spacing w:line="276" w:lineRule="auto"/>
              <w:rPr>
                <w:rFonts w:ascii="Arial" w:hAnsi="Arial" w:cs="Arial"/>
                <w:i/>
                <w:sz w:val="22"/>
                <w:szCs w:val="22"/>
              </w:rPr>
            </w:pPr>
            <w:r w:rsidRPr="0007074B">
              <w:rPr>
                <w:rFonts w:ascii="Arial" w:hAnsi="Arial" w:cs="Arial"/>
                <w:i/>
                <w:sz w:val="22"/>
                <w:szCs w:val="22"/>
              </w:rPr>
              <w:t>Poznámka</w:t>
            </w:r>
          </w:p>
        </w:tc>
        <w:tc>
          <w:tcPr>
            <w:tcW w:w="6486" w:type="dxa"/>
            <w:shd w:val="clear" w:color="auto" w:fill="D9D9D9" w:themeFill="background1" w:themeFillShade="D9"/>
          </w:tcPr>
          <w:p w14:paraId="0EB0DC0B" w14:textId="599774E9" w:rsidR="00B86883" w:rsidRPr="0007074B" w:rsidRDefault="00B86883" w:rsidP="00B86883">
            <w:pPr>
              <w:spacing w:line="276" w:lineRule="auto"/>
              <w:rPr>
                <w:rFonts w:ascii="Arial" w:hAnsi="Arial" w:cs="Arial"/>
                <w:i/>
                <w:sz w:val="22"/>
                <w:szCs w:val="22"/>
              </w:rPr>
            </w:pPr>
            <w:r>
              <w:rPr>
                <w:rFonts w:ascii="Arial" w:hAnsi="Arial" w:cs="Arial"/>
                <w:i/>
                <w:sz w:val="22"/>
                <w:szCs w:val="22"/>
              </w:rPr>
              <w:t>O</w:t>
            </w:r>
            <w:r w:rsidRPr="00B86883">
              <w:rPr>
                <w:rFonts w:ascii="Arial" w:hAnsi="Arial" w:cs="Arial"/>
                <w:i/>
                <w:sz w:val="22"/>
                <w:szCs w:val="22"/>
              </w:rPr>
              <w:t>bsah indikátoru bude doplněn po nalezení kompromisu mezi ČSÚ a MŽP</w:t>
            </w:r>
          </w:p>
        </w:tc>
      </w:tr>
    </w:tbl>
    <w:p w14:paraId="5F47148C" w14:textId="77777777" w:rsidR="00B86883" w:rsidRDefault="00B86883" w:rsidP="006C46D4">
      <w:pPr>
        <w:pStyle w:val="r2030podcle"/>
        <w:numPr>
          <w:ilvl w:val="0"/>
          <w:numId w:val="0"/>
        </w:numPr>
        <w:spacing w:after="0"/>
      </w:pPr>
    </w:p>
    <w:tbl>
      <w:tblPr>
        <w:tblStyle w:val="Mkatabulky"/>
        <w:tblW w:w="0" w:type="auto"/>
        <w:shd w:val="clear" w:color="auto" w:fill="D9D9D9" w:themeFill="background1" w:themeFillShade="D9"/>
        <w:tblLook w:val="04A0" w:firstRow="1" w:lastRow="0" w:firstColumn="1" w:lastColumn="0" w:noHBand="0" w:noVBand="1"/>
      </w:tblPr>
      <w:tblGrid>
        <w:gridCol w:w="2802"/>
        <w:gridCol w:w="6486"/>
      </w:tblGrid>
      <w:tr w:rsidR="006C46D4" w:rsidRPr="0007074B" w14:paraId="694B6D22" w14:textId="77777777" w:rsidTr="00003B31">
        <w:tc>
          <w:tcPr>
            <w:tcW w:w="2802" w:type="dxa"/>
            <w:shd w:val="clear" w:color="auto" w:fill="D9D9D9" w:themeFill="background1" w:themeFillShade="D9"/>
          </w:tcPr>
          <w:p w14:paraId="0AD925B9" w14:textId="77777777" w:rsidR="006C46D4" w:rsidRPr="0007074B" w:rsidRDefault="006C46D4" w:rsidP="00003B31">
            <w:pPr>
              <w:spacing w:line="276" w:lineRule="auto"/>
              <w:rPr>
                <w:rFonts w:ascii="Arial" w:hAnsi="Arial" w:cs="Arial"/>
                <w:sz w:val="22"/>
                <w:szCs w:val="22"/>
              </w:rPr>
            </w:pPr>
            <w:r w:rsidRPr="0007074B">
              <w:rPr>
                <w:rFonts w:ascii="Arial" w:hAnsi="Arial" w:cs="Arial"/>
                <w:sz w:val="22"/>
                <w:szCs w:val="22"/>
              </w:rPr>
              <w:t xml:space="preserve">Název a označení indikátoru: </w:t>
            </w:r>
          </w:p>
        </w:tc>
        <w:tc>
          <w:tcPr>
            <w:tcW w:w="6486" w:type="dxa"/>
            <w:shd w:val="clear" w:color="auto" w:fill="D9D9D9" w:themeFill="background1" w:themeFillShade="D9"/>
          </w:tcPr>
          <w:p w14:paraId="4788E1CE" w14:textId="33079988" w:rsidR="006C46D4" w:rsidRPr="00DA3A75" w:rsidRDefault="00D01E36" w:rsidP="00003B31">
            <w:pPr>
              <w:spacing w:line="276" w:lineRule="auto"/>
              <w:rPr>
                <w:rFonts w:ascii="Arial" w:eastAsia="Arial" w:hAnsi="Arial" w:cs="Arial"/>
                <w:b/>
                <w:color w:val="000000"/>
                <w:sz w:val="22"/>
                <w:szCs w:val="22"/>
              </w:rPr>
            </w:pPr>
            <w:r>
              <w:rPr>
                <w:rFonts w:ascii="Arial" w:eastAsia="Calibri" w:hAnsi="Arial" w:cs="Arial"/>
                <w:b/>
                <w:sz w:val="22"/>
                <w:szCs w:val="22"/>
              </w:rPr>
              <w:t>19.7</w:t>
            </w:r>
            <w:r w:rsidR="006C46D4" w:rsidRPr="006C46D4">
              <w:rPr>
                <w:rFonts w:ascii="Arial" w:eastAsia="Calibri" w:hAnsi="Arial" w:cs="Arial"/>
                <w:b/>
                <w:sz w:val="22"/>
                <w:szCs w:val="22"/>
              </w:rPr>
              <w:t>.2 Absolutní množství skládkovaného komunálního odpadu</w:t>
            </w:r>
          </w:p>
        </w:tc>
      </w:tr>
      <w:tr w:rsidR="006C46D4" w:rsidRPr="0007074B" w14:paraId="7A30F8DC" w14:textId="77777777" w:rsidTr="00003B31">
        <w:tc>
          <w:tcPr>
            <w:tcW w:w="2802" w:type="dxa"/>
            <w:shd w:val="clear" w:color="auto" w:fill="D9D9D9" w:themeFill="background1" w:themeFillShade="D9"/>
          </w:tcPr>
          <w:p w14:paraId="0DA68E44" w14:textId="77777777" w:rsidR="006C46D4" w:rsidRPr="0007074B" w:rsidRDefault="006C46D4" w:rsidP="00003B31">
            <w:pPr>
              <w:spacing w:line="276" w:lineRule="auto"/>
              <w:rPr>
                <w:rFonts w:ascii="Arial" w:hAnsi="Arial" w:cs="Arial"/>
                <w:sz w:val="22"/>
                <w:szCs w:val="22"/>
              </w:rPr>
            </w:pPr>
            <w:r w:rsidRPr="0007074B">
              <w:rPr>
                <w:rFonts w:ascii="Arial" w:hAnsi="Arial" w:cs="Arial"/>
                <w:sz w:val="22"/>
                <w:szCs w:val="22"/>
              </w:rPr>
              <w:t xml:space="preserve">Stručná definice: </w:t>
            </w:r>
          </w:p>
        </w:tc>
        <w:tc>
          <w:tcPr>
            <w:tcW w:w="6486" w:type="dxa"/>
            <w:shd w:val="clear" w:color="auto" w:fill="D9D9D9" w:themeFill="background1" w:themeFillShade="D9"/>
          </w:tcPr>
          <w:p w14:paraId="49AC832C" w14:textId="77777777" w:rsidR="006C46D4" w:rsidRPr="004D7773" w:rsidRDefault="006C46D4" w:rsidP="00003B31">
            <w:pPr>
              <w:spacing w:line="276" w:lineRule="auto"/>
              <w:rPr>
                <w:rFonts w:ascii="Arial" w:hAnsi="Arial" w:cs="Arial"/>
                <w:sz w:val="22"/>
                <w:szCs w:val="22"/>
              </w:rPr>
            </w:pPr>
          </w:p>
        </w:tc>
      </w:tr>
      <w:tr w:rsidR="006C46D4" w:rsidRPr="0007074B" w14:paraId="73746466" w14:textId="77777777" w:rsidTr="00003B31">
        <w:tc>
          <w:tcPr>
            <w:tcW w:w="2802" w:type="dxa"/>
            <w:shd w:val="clear" w:color="auto" w:fill="D9D9D9" w:themeFill="background1" w:themeFillShade="D9"/>
          </w:tcPr>
          <w:p w14:paraId="43C813DF" w14:textId="77777777" w:rsidR="006C46D4" w:rsidRPr="0007074B" w:rsidRDefault="006C46D4" w:rsidP="00003B31">
            <w:pPr>
              <w:spacing w:line="276" w:lineRule="auto"/>
              <w:rPr>
                <w:rFonts w:ascii="Arial" w:hAnsi="Arial" w:cs="Arial"/>
                <w:sz w:val="22"/>
                <w:szCs w:val="22"/>
              </w:rPr>
            </w:pPr>
            <w:r w:rsidRPr="0007074B">
              <w:rPr>
                <w:rFonts w:ascii="Arial" w:hAnsi="Arial" w:cs="Arial"/>
                <w:sz w:val="22"/>
                <w:szCs w:val="22"/>
              </w:rPr>
              <w:t>Jednotka:</w:t>
            </w:r>
          </w:p>
        </w:tc>
        <w:tc>
          <w:tcPr>
            <w:tcW w:w="6486" w:type="dxa"/>
            <w:shd w:val="clear" w:color="auto" w:fill="D9D9D9" w:themeFill="background1" w:themeFillShade="D9"/>
          </w:tcPr>
          <w:p w14:paraId="6DAF26E7" w14:textId="77777777" w:rsidR="006C46D4" w:rsidRPr="0007074B" w:rsidRDefault="006C46D4" w:rsidP="00003B31">
            <w:pPr>
              <w:spacing w:line="276" w:lineRule="auto"/>
              <w:rPr>
                <w:rFonts w:ascii="Arial" w:hAnsi="Arial" w:cs="Arial"/>
                <w:sz w:val="22"/>
                <w:szCs w:val="22"/>
              </w:rPr>
            </w:pPr>
          </w:p>
        </w:tc>
      </w:tr>
      <w:tr w:rsidR="006C46D4" w:rsidRPr="0007074B" w14:paraId="49C72B31" w14:textId="77777777" w:rsidTr="00003B31">
        <w:tc>
          <w:tcPr>
            <w:tcW w:w="2802" w:type="dxa"/>
            <w:shd w:val="clear" w:color="auto" w:fill="D9D9D9" w:themeFill="background1" w:themeFillShade="D9"/>
          </w:tcPr>
          <w:p w14:paraId="533CA041" w14:textId="77777777" w:rsidR="006C46D4" w:rsidRPr="0007074B" w:rsidRDefault="006C46D4" w:rsidP="00003B31">
            <w:pPr>
              <w:spacing w:line="276" w:lineRule="auto"/>
              <w:rPr>
                <w:rFonts w:ascii="Arial" w:hAnsi="Arial" w:cs="Arial"/>
                <w:sz w:val="22"/>
                <w:szCs w:val="22"/>
              </w:rPr>
            </w:pPr>
            <w:r w:rsidRPr="0007074B">
              <w:rPr>
                <w:rFonts w:ascii="Arial" w:hAnsi="Arial" w:cs="Arial"/>
                <w:sz w:val="22"/>
                <w:szCs w:val="22"/>
              </w:rPr>
              <w:t xml:space="preserve">Gestor: </w:t>
            </w:r>
          </w:p>
        </w:tc>
        <w:tc>
          <w:tcPr>
            <w:tcW w:w="6486" w:type="dxa"/>
            <w:shd w:val="clear" w:color="auto" w:fill="D9D9D9" w:themeFill="background1" w:themeFillShade="D9"/>
          </w:tcPr>
          <w:p w14:paraId="57DCB98D" w14:textId="77777777" w:rsidR="006C46D4" w:rsidRPr="00375C6C" w:rsidRDefault="006C46D4" w:rsidP="00003B31">
            <w:pPr>
              <w:spacing w:line="276" w:lineRule="auto"/>
              <w:rPr>
                <w:rFonts w:ascii="Arial" w:hAnsi="Arial" w:cs="Arial"/>
                <w:sz w:val="22"/>
                <w:szCs w:val="22"/>
              </w:rPr>
            </w:pPr>
          </w:p>
        </w:tc>
      </w:tr>
      <w:tr w:rsidR="006C46D4" w:rsidRPr="0007074B" w14:paraId="6B6D4EBB" w14:textId="77777777" w:rsidTr="00003B31">
        <w:tc>
          <w:tcPr>
            <w:tcW w:w="2802" w:type="dxa"/>
            <w:shd w:val="clear" w:color="auto" w:fill="D9D9D9" w:themeFill="background1" w:themeFillShade="D9"/>
          </w:tcPr>
          <w:p w14:paraId="78D0CFE3" w14:textId="77777777" w:rsidR="006C46D4" w:rsidRPr="0007074B" w:rsidRDefault="006C46D4" w:rsidP="00003B31">
            <w:pPr>
              <w:spacing w:line="276" w:lineRule="auto"/>
              <w:rPr>
                <w:rFonts w:ascii="Arial" w:hAnsi="Arial" w:cs="Arial"/>
                <w:sz w:val="22"/>
                <w:szCs w:val="22"/>
              </w:rPr>
            </w:pPr>
            <w:r w:rsidRPr="0007074B">
              <w:rPr>
                <w:rFonts w:ascii="Arial" w:hAnsi="Arial" w:cs="Arial"/>
                <w:sz w:val="22"/>
                <w:szCs w:val="22"/>
              </w:rPr>
              <w:t xml:space="preserve">Význam indikátoru: </w:t>
            </w:r>
          </w:p>
        </w:tc>
        <w:tc>
          <w:tcPr>
            <w:tcW w:w="6486" w:type="dxa"/>
            <w:shd w:val="clear" w:color="auto" w:fill="D9D9D9" w:themeFill="background1" w:themeFillShade="D9"/>
          </w:tcPr>
          <w:p w14:paraId="7DC4368A" w14:textId="77777777" w:rsidR="006C46D4" w:rsidRPr="00724039" w:rsidRDefault="006C46D4" w:rsidP="00003B31">
            <w:pPr>
              <w:pStyle w:val="Odstavecseseznamem"/>
              <w:spacing w:line="276" w:lineRule="auto"/>
              <w:ind w:left="720"/>
              <w:rPr>
                <w:rFonts w:ascii="Arial" w:hAnsi="Arial" w:cs="Arial"/>
                <w:sz w:val="22"/>
                <w:szCs w:val="22"/>
              </w:rPr>
            </w:pPr>
          </w:p>
        </w:tc>
      </w:tr>
      <w:tr w:rsidR="006C46D4" w:rsidRPr="0007074B" w14:paraId="1DA83988" w14:textId="77777777" w:rsidTr="00003B31">
        <w:tc>
          <w:tcPr>
            <w:tcW w:w="2802" w:type="dxa"/>
            <w:shd w:val="clear" w:color="auto" w:fill="D9D9D9" w:themeFill="background1" w:themeFillShade="D9"/>
          </w:tcPr>
          <w:p w14:paraId="5B724CD9" w14:textId="77777777" w:rsidR="006C46D4" w:rsidRPr="0007074B" w:rsidRDefault="006C46D4" w:rsidP="00003B31">
            <w:pPr>
              <w:spacing w:line="276" w:lineRule="auto"/>
              <w:rPr>
                <w:rFonts w:ascii="Arial" w:hAnsi="Arial" w:cs="Arial"/>
                <w:sz w:val="22"/>
                <w:szCs w:val="22"/>
              </w:rPr>
            </w:pPr>
            <w:r w:rsidRPr="0007074B">
              <w:rPr>
                <w:rFonts w:ascii="Arial" w:hAnsi="Arial" w:cs="Arial"/>
                <w:sz w:val="22"/>
                <w:szCs w:val="22"/>
              </w:rPr>
              <w:t xml:space="preserve">Časová řada: </w:t>
            </w:r>
          </w:p>
        </w:tc>
        <w:tc>
          <w:tcPr>
            <w:tcW w:w="6486" w:type="dxa"/>
            <w:shd w:val="clear" w:color="auto" w:fill="D9D9D9" w:themeFill="background1" w:themeFillShade="D9"/>
          </w:tcPr>
          <w:p w14:paraId="4AFB16D8" w14:textId="77777777" w:rsidR="006C46D4" w:rsidRPr="0007074B" w:rsidRDefault="006C46D4" w:rsidP="00003B31">
            <w:pPr>
              <w:spacing w:line="276" w:lineRule="auto"/>
              <w:rPr>
                <w:rFonts w:ascii="Arial" w:hAnsi="Arial" w:cs="Arial"/>
                <w:sz w:val="22"/>
                <w:szCs w:val="22"/>
              </w:rPr>
            </w:pPr>
          </w:p>
        </w:tc>
      </w:tr>
      <w:tr w:rsidR="006C46D4" w:rsidRPr="0007074B" w14:paraId="59D27BDC" w14:textId="77777777" w:rsidTr="00003B31">
        <w:tc>
          <w:tcPr>
            <w:tcW w:w="2802" w:type="dxa"/>
            <w:shd w:val="clear" w:color="auto" w:fill="D9D9D9" w:themeFill="background1" w:themeFillShade="D9"/>
          </w:tcPr>
          <w:p w14:paraId="59B3E0CF" w14:textId="77777777" w:rsidR="006C46D4" w:rsidRPr="0007074B" w:rsidRDefault="006C46D4" w:rsidP="00003B31">
            <w:pPr>
              <w:spacing w:line="276" w:lineRule="auto"/>
              <w:rPr>
                <w:rFonts w:ascii="Arial" w:hAnsi="Arial" w:cs="Arial"/>
                <w:sz w:val="22"/>
                <w:szCs w:val="22"/>
              </w:rPr>
            </w:pPr>
            <w:r w:rsidRPr="0007074B">
              <w:rPr>
                <w:rFonts w:ascii="Arial" w:hAnsi="Arial" w:cs="Arial"/>
                <w:sz w:val="22"/>
                <w:szCs w:val="22"/>
              </w:rPr>
              <w:t xml:space="preserve">Frekvence výstupu: </w:t>
            </w:r>
          </w:p>
        </w:tc>
        <w:tc>
          <w:tcPr>
            <w:tcW w:w="6486" w:type="dxa"/>
            <w:shd w:val="clear" w:color="auto" w:fill="D9D9D9" w:themeFill="background1" w:themeFillShade="D9"/>
          </w:tcPr>
          <w:p w14:paraId="64C44D33" w14:textId="77777777" w:rsidR="006C46D4" w:rsidRPr="0007074B" w:rsidRDefault="006C46D4" w:rsidP="00003B31">
            <w:pPr>
              <w:spacing w:line="276" w:lineRule="auto"/>
              <w:rPr>
                <w:rFonts w:ascii="Arial" w:hAnsi="Arial" w:cs="Arial"/>
                <w:sz w:val="22"/>
                <w:szCs w:val="22"/>
              </w:rPr>
            </w:pPr>
          </w:p>
        </w:tc>
      </w:tr>
      <w:tr w:rsidR="006C46D4" w:rsidRPr="0007074B" w14:paraId="14E7CCAE" w14:textId="77777777" w:rsidTr="00003B31">
        <w:trPr>
          <w:trHeight w:val="70"/>
        </w:trPr>
        <w:tc>
          <w:tcPr>
            <w:tcW w:w="2802" w:type="dxa"/>
            <w:shd w:val="clear" w:color="auto" w:fill="D9D9D9" w:themeFill="background1" w:themeFillShade="D9"/>
          </w:tcPr>
          <w:p w14:paraId="7AE69B0F" w14:textId="77777777" w:rsidR="006C46D4" w:rsidRPr="0007074B" w:rsidRDefault="006C46D4" w:rsidP="00003B31">
            <w:pPr>
              <w:spacing w:line="276" w:lineRule="auto"/>
              <w:rPr>
                <w:rFonts w:ascii="Arial" w:hAnsi="Arial" w:cs="Arial"/>
                <w:sz w:val="22"/>
                <w:szCs w:val="22"/>
              </w:rPr>
            </w:pPr>
            <w:r w:rsidRPr="0007074B">
              <w:rPr>
                <w:rFonts w:ascii="Arial" w:hAnsi="Arial" w:cs="Arial"/>
                <w:sz w:val="22"/>
                <w:szCs w:val="22"/>
              </w:rPr>
              <w:t xml:space="preserve">Členění indikátoru: </w:t>
            </w:r>
          </w:p>
        </w:tc>
        <w:tc>
          <w:tcPr>
            <w:tcW w:w="6486" w:type="dxa"/>
            <w:shd w:val="clear" w:color="auto" w:fill="D9D9D9" w:themeFill="background1" w:themeFillShade="D9"/>
          </w:tcPr>
          <w:p w14:paraId="7BD77D1D" w14:textId="77777777" w:rsidR="006C46D4" w:rsidRPr="0007074B" w:rsidRDefault="006C46D4" w:rsidP="00003B31">
            <w:pPr>
              <w:spacing w:line="276" w:lineRule="auto"/>
              <w:rPr>
                <w:rFonts w:ascii="Arial" w:hAnsi="Arial" w:cs="Arial"/>
                <w:sz w:val="22"/>
                <w:szCs w:val="22"/>
              </w:rPr>
            </w:pPr>
          </w:p>
        </w:tc>
      </w:tr>
      <w:tr w:rsidR="006C46D4" w:rsidRPr="0007074B" w14:paraId="28A2D3CA" w14:textId="77777777" w:rsidTr="00003B31">
        <w:trPr>
          <w:trHeight w:val="70"/>
        </w:trPr>
        <w:tc>
          <w:tcPr>
            <w:tcW w:w="2802" w:type="dxa"/>
            <w:shd w:val="clear" w:color="auto" w:fill="D9D9D9" w:themeFill="background1" w:themeFillShade="D9"/>
          </w:tcPr>
          <w:p w14:paraId="1BA3EE87" w14:textId="77777777" w:rsidR="006C46D4" w:rsidRPr="0007074B" w:rsidRDefault="006C46D4" w:rsidP="00003B31">
            <w:pPr>
              <w:spacing w:line="276" w:lineRule="auto"/>
              <w:rPr>
                <w:rFonts w:ascii="Arial" w:hAnsi="Arial" w:cs="Arial"/>
                <w:sz w:val="22"/>
                <w:szCs w:val="22"/>
              </w:rPr>
            </w:pPr>
            <w:r w:rsidRPr="0007074B">
              <w:rPr>
                <w:rFonts w:ascii="Arial" w:hAnsi="Arial" w:cs="Arial"/>
                <w:sz w:val="22"/>
                <w:szCs w:val="22"/>
              </w:rPr>
              <w:t>Mezinárodní srovnání:</w:t>
            </w:r>
          </w:p>
        </w:tc>
        <w:tc>
          <w:tcPr>
            <w:tcW w:w="6486" w:type="dxa"/>
            <w:shd w:val="clear" w:color="auto" w:fill="D9D9D9" w:themeFill="background1" w:themeFillShade="D9"/>
          </w:tcPr>
          <w:p w14:paraId="7B02772C" w14:textId="77777777" w:rsidR="006C46D4" w:rsidRPr="0007074B" w:rsidRDefault="006C46D4" w:rsidP="00003B31">
            <w:pPr>
              <w:spacing w:line="276" w:lineRule="auto"/>
              <w:rPr>
                <w:rFonts w:ascii="Arial" w:hAnsi="Arial" w:cs="Arial"/>
                <w:sz w:val="22"/>
                <w:szCs w:val="22"/>
              </w:rPr>
            </w:pPr>
          </w:p>
        </w:tc>
      </w:tr>
      <w:tr w:rsidR="006C46D4" w:rsidRPr="0007074B" w14:paraId="2F91C70D" w14:textId="77777777" w:rsidTr="00003B31">
        <w:trPr>
          <w:trHeight w:val="70"/>
        </w:trPr>
        <w:tc>
          <w:tcPr>
            <w:tcW w:w="2802" w:type="dxa"/>
            <w:shd w:val="clear" w:color="auto" w:fill="D9D9D9" w:themeFill="background1" w:themeFillShade="D9"/>
          </w:tcPr>
          <w:p w14:paraId="09A3A927" w14:textId="77777777" w:rsidR="006C46D4" w:rsidRPr="0007074B" w:rsidRDefault="006C46D4" w:rsidP="00003B31">
            <w:pPr>
              <w:spacing w:line="276" w:lineRule="auto"/>
              <w:rPr>
                <w:rFonts w:ascii="Arial" w:hAnsi="Arial" w:cs="Arial"/>
                <w:i/>
                <w:sz w:val="22"/>
                <w:szCs w:val="22"/>
              </w:rPr>
            </w:pPr>
            <w:r w:rsidRPr="0007074B">
              <w:rPr>
                <w:rFonts w:ascii="Arial" w:hAnsi="Arial" w:cs="Arial"/>
                <w:i/>
                <w:sz w:val="22"/>
                <w:szCs w:val="22"/>
              </w:rPr>
              <w:t>Poznámka</w:t>
            </w:r>
          </w:p>
        </w:tc>
        <w:tc>
          <w:tcPr>
            <w:tcW w:w="6486" w:type="dxa"/>
            <w:shd w:val="clear" w:color="auto" w:fill="D9D9D9" w:themeFill="background1" w:themeFillShade="D9"/>
          </w:tcPr>
          <w:p w14:paraId="669CFC8E" w14:textId="77777777" w:rsidR="006C46D4" w:rsidRPr="0007074B" w:rsidRDefault="006C46D4" w:rsidP="00003B31">
            <w:pPr>
              <w:spacing w:line="276" w:lineRule="auto"/>
              <w:rPr>
                <w:rFonts w:ascii="Arial" w:hAnsi="Arial" w:cs="Arial"/>
                <w:i/>
                <w:sz w:val="22"/>
                <w:szCs w:val="22"/>
              </w:rPr>
            </w:pPr>
            <w:r>
              <w:rPr>
                <w:rFonts w:ascii="Arial" w:hAnsi="Arial" w:cs="Arial"/>
                <w:i/>
                <w:sz w:val="22"/>
                <w:szCs w:val="22"/>
              </w:rPr>
              <w:t>O</w:t>
            </w:r>
            <w:r w:rsidRPr="00B86883">
              <w:rPr>
                <w:rFonts w:ascii="Arial" w:hAnsi="Arial" w:cs="Arial"/>
                <w:i/>
                <w:sz w:val="22"/>
                <w:szCs w:val="22"/>
              </w:rPr>
              <w:t>bsah indikátoru bude doplněn po nalezení kompromisu mezi ČSÚ a MŽP</w:t>
            </w:r>
          </w:p>
        </w:tc>
      </w:tr>
    </w:tbl>
    <w:p w14:paraId="45D37E24" w14:textId="77777777" w:rsidR="00EA2748" w:rsidRDefault="00120807" w:rsidP="00C516EA">
      <w:pPr>
        <w:pStyle w:val="r2030cle"/>
        <w:numPr>
          <w:ilvl w:val="0"/>
          <w:numId w:val="17"/>
        </w:numPr>
        <w:ind w:left="567" w:hanging="425"/>
        <w:jc w:val="both"/>
      </w:pPr>
      <w:r w:rsidRPr="00120807">
        <w:t>Územní veřejná správa cíleně využ</w:t>
      </w:r>
      <w:r>
        <w:t>ívá nástroje pro udržitelný roz</w:t>
      </w:r>
      <w:r w:rsidRPr="00120807">
        <w:t>voj municipalit.</w:t>
      </w:r>
    </w:p>
    <w:p w14:paraId="5D9B03B8" w14:textId="77777777" w:rsidR="00120807" w:rsidRDefault="00120807" w:rsidP="00C516EA">
      <w:pPr>
        <w:pStyle w:val="r2030podcle"/>
        <w:numPr>
          <w:ilvl w:val="1"/>
          <w:numId w:val="17"/>
        </w:numPr>
        <w:ind w:left="567" w:hanging="425"/>
        <w:jc w:val="both"/>
      </w:pPr>
      <w:r w:rsidRPr="00C175EF">
        <w:t>Ústřední státní správa metodicky podporuje a rozvíjí nástroje udržitelného rozvoje municipalit.</w:t>
      </w:r>
    </w:p>
    <w:tbl>
      <w:tblPr>
        <w:tblStyle w:val="Mkatabulky"/>
        <w:tblW w:w="0" w:type="auto"/>
        <w:tblLook w:val="04A0" w:firstRow="1" w:lastRow="0" w:firstColumn="1" w:lastColumn="0" w:noHBand="0" w:noVBand="1"/>
      </w:tblPr>
      <w:tblGrid>
        <w:gridCol w:w="2802"/>
        <w:gridCol w:w="6486"/>
      </w:tblGrid>
      <w:tr w:rsidR="00EA2748" w:rsidRPr="0007074B" w14:paraId="22F7E8F3" w14:textId="77777777" w:rsidTr="00B460D5">
        <w:tc>
          <w:tcPr>
            <w:tcW w:w="2802" w:type="dxa"/>
          </w:tcPr>
          <w:p w14:paraId="1EEA7F1D"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Název a označení indikátoru: </w:t>
            </w:r>
          </w:p>
        </w:tc>
        <w:tc>
          <w:tcPr>
            <w:tcW w:w="6486" w:type="dxa"/>
          </w:tcPr>
          <w:p w14:paraId="251B4A23" w14:textId="77777777" w:rsidR="00EA2748" w:rsidRPr="00DA3A75" w:rsidRDefault="00120807" w:rsidP="00C51B65">
            <w:pPr>
              <w:spacing w:line="276" w:lineRule="auto"/>
              <w:rPr>
                <w:rFonts w:ascii="Arial" w:eastAsia="Arial" w:hAnsi="Arial" w:cs="Arial"/>
                <w:b/>
                <w:color w:val="000000"/>
                <w:sz w:val="22"/>
                <w:szCs w:val="22"/>
              </w:rPr>
            </w:pPr>
            <w:r>
              <w:rPr>
                <w:rFonts w:ascii="Arial" w:eastAsia="Calibri" w:hAnsi="Arial" w:cs="Arial"/>
                <w:b/>
                <w:sz w:val="22"/>
                <w:szCs w:val="22"/>
              </w:rPr>
              <w:t>20</w:t>
            </w:r>
            <w:r w:rsidR="00EA2748">
              <w:rPr>
                <w:rFonts w:ascii="Arial" w:eastAsia="Calibri" w:hAnsi="Arial" w:cs="Arial"/>
                <w:b/>
                <w:sz w:val="22"/>
                <w:szCs w:val="22"/>
              </w:rPr>
              <w:t xml:space="preserve">.1.1 Existující metodická podpora </w:t>
            </w:r>
            <w:r w:rsidR="00EA2748" w:rsidRPr="00DA3A75">
              <w:rPr>
                <w:rFonts w:ascii="Arial" w:eastAsia="Calibri" w:hAnsi="Arial" w:cs="Arial"/>
                <w:b/>
                <w:sz w:val="22"/>
                <w:szCs w:val="22"/>
              </w:rPr>
              <w:t>nástroj</w:t>
            </w:r>
            <w:r w:rsidR="00EA2748">
              <w:rPr>
                <w:rFonts w:ascii="Arial" w:eastAsia="Calibri" w:hAnsi="Arial" w:cs="Arial"/>
                <w:b/>
                <w:sz w:val="22"/>
                <w:szCs w:val="22"/>
              </w:rPr>
              <w:t>ům</w:t>
            </w:r>
            <w:r w:rsidR="00EA2748" w:rsidRPr="00DA3A75">
              <w:rPr>
                <w:rFonts w:ascii="Arial" w:eastAsia="Calibri" w:hAnsi="Arial" w:cs="Arial"/>
                <w:b/>
                <w:sz w:val="22"/>
                <w:szCs w:val="22"/>
              </w:rPr>
              <w:t xml:space="preserve"> pro udržitelný rozvoj municipalit</w:t>
            </w:r>
          </w:p>
        </w:tc>
      </w:tr>
      <w:tr w:rsidR="00EA2748" w:rsidRPr="0007074B" w14:paraId="64C070B9" w14:textId="77777777" w:rsidTr="00B460D5">
        <w:tc>
          <w:tcPr>
            <w:tcW w:w="2802" w:type="dxa"/>
          </w:tcPr>
          <w:p w14:paraId="1BB069A7"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Stručná definice: </w:t>
            </w:r>
          </w:p>
        </w:tc>
        <w:tc>
          <w:tcPr>
            <w:tcW w:w="6486" w:type="dxa"/>
          </w:tcPr>
          <w:p w14:paraId="59D1E80F" w14:textId="77777777" w:rsidR="00EA2748" w:rsidRPr="004D7773" w:rsidRDefault="00120807" w:rsidP="00C516EA">
            <w:pPr>
              <w:spacing w:line="276" w:lineRule="auto"/>
              <w:jc w:val="both"/>
              <w:rPr>
                <w:rFonts w:ascii="Arial" w:hAnsi="Arial" w:cs="Arial"/>
                <w:sz w:val="22"/>
                <w:szCs w:val="22"/>
              </w:rPr>
            </w:pPr>
            <w:r>
              <w:rPr>
                <w:rFonts w:ascii="Arial" w:eastAsia="Calibri" w:hAnsi="Arial" w:cs="Arial"/>
                <w:sz w:val="22"/>
                <w:szCs w:val="22"/>
              </w:rPr>
              <w:t>M</w:t>
            </w:r>
            <w:r w:rsidR="00EA2748" w:rsidRPr="004D7773">
              <w:rPr>
                <w:rFonts w:ascii="Arial" w:eastAsia="Calibri" w:hAnsi="Arial" w:cs="Arial"/>
                <w:sz w:val="22"/>
                <w:szCs w:val="22"/>
              </w:rPr>
              <w:t>etodická podpora nástrojům pro udržitelný rozvoj municipalit n</w:t>
            </w:r>
            <w:r w:rsidR="00EA2748" w:rsidRPr="004D7773">
              <w:rPr>
                <w:rFonts w:ascii="Arial" w:hAnsi="Arial" w:cs="Arial"/>
                <w:sz w:val="22"/>
                <w:szCs w:val="22"/>
              </w:rPr>
              <w:t>a úrovni ústřední státní správy</w:t>
            </w:r>
          </w:p>
        </w:tc>
      </w:tr>
      <w:tr w:rsidR="00EA2748" w:rsidRPr="0007074B" w14:paraId="69577BD0" w14:textId="77777777" w:rsidTr="00B460D5">
        <w:tc>
          <w:tcPr>
            <w:tcW w:w="2802" w:type="dxa"/>
          </w:tcPr>
          <w:p w14:paraId="45B14AEA"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Jednotka:</w:t>
            </w:r>
          </w:p>
        </w:tc>
        <w:tc>
          <w:tcPr>
            <w:tcW w:w="6486" w:type="dxa"/>
          </w:tcPr>
          <w:p w14:paraId="3D93C774" w14:textId="77777777" w:rsidR="00EA2748" w:rsidRPr="0007074B" w:rsidRDefault="00120807" w:rsidP="00C516EA">
            <w:pPr>
              <w:spacing w:line="276" w:lineRule="auto"/>
              <w:jc w:val="both"/>
              <w:rPr>
                <w:rFonts w:ascii="Arial" w:hAnsi="Arial" w:cs="Arial"/>
                <w:sz w:val="22"/>
                <w:szCs w:val="22"/>
              </w:rPr>
            </w:pPr>
            <w:r>
              <w:rPr>
                <w:rFonts w:ascii="Arial" w:hAnsi="Arial" w:cs="Arial"/>
                <w:sz w:val="22"/>
                <w:szCs w:val="22"/>
              </w:rPr>
              <w:t>P</w:t>
            </w:r>
            <w:r w:rsidR="00EA2748">
              <w:rPr>
                <w:rFonts w:ascii="Arial" w:hAnsi="Arial" w:cs="Arial"/>
                <w:sz w:val="22"/>
                <w:szCs w:val="22"/>
              </w:rPr>
              <w:t>očet (nástrojů)</w:t>
            </w:r>
          </w:p>
        </w:tc>
      </w:tr>
      <w:tr w:rsidR="00EA2748" w:rsidRPr="0007074B" w14:paraId="5FCD484A" w14:textId="77777777" w:rsidTr="00B460D5">
        <w:tc>
          <w:tcPr>
            <w:tcW w:w="2802" w:type="dxa"/>
          </w:tcPr>
          <w:p w14:paraId="5C35D020"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Gestor: </w:t>
            </w:r>
          </w:p>
        </w:tc>
        <w:tc>
          <w:tcPr>
            <w:tcW w:w="6486" w:type="dxa"/>
          </w:tcPr>
          <w:p w14:paraId="177E353E" w14:textId="77777777" w:rsidR="00EA2748" w:rsidRPr="00375C6C" w:rsidRDefault="00120807" w:rsidP="00C516EA">
            <w:pPr>
              <w:spacing w:line="276" w:lineRule="auto"/>
              <w:jc w:val="both"/>
              <w:rPr>
                <w:rFonts w:ascii="Arial" w:hAnsi="Arial" w:cs="Arial"/>
                <w:sz w:val="22"/>
                <w:szCs w:val="22"/>
              </w:rPr>
            </w:pPr>
            <w:r>
              <w:rPr>
                <w:rFonts w:ascii="Arial" w:hAnsi="Arial" w:cs="Arial"/>
                <w:sz w:val="22"/>
                <w:szCs w:val="22"/>
              </w:rPr>
              <w:t>Úřad vlády</w:t>
            </w:r>
            <w:r w:rsidR="00EA2748" w:rsidRPr="00375C6C">
              <w:rPr>
                <w:rFonts w:ascii="Arial" w:hAnsi="Arial" w:cs="Arial"/>
                <w:sz w:val="22"/>
                <w:szCs w:val="22"/>
              </w:rPr>
              <w:t xml:space="preserve"> (ve spolupráci s MV, MMR a MŽP)</w:t>
            </w:r>
          </w:p>
        </w:tc>
      </w:tr>
      <w:tr w:rsidR="00EA2748" w:rsidRPr="0007074B" w14:paraId="4B4205A1" w14:textId="77777777" w:rsidTr="00B460D5">
        <w:tc>
          <w:tcPr>
            <w:tcW w:w="2802" w:type="dxa"/>
          </w:tcPr>
          <w:p w14:paraId="615B24A2"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Význam indikátoru: </w:t>
            </w:r>
          </w:p>
        </w:tc>
        <w:tc>
          <w:tcPr>
            <w:tcW w:w="6486" w:type="dxa"/>
          </w:tcPr>
          <w:p w14:paraId="00994E52" w14:textId="77777777" w:rsidR="00EA2748" w:rsidRDefault="00EA2748" w:rsidP="00C516EA">
            <w:pPr>
              <w:spacing w:line="276" w:lineRule="auto"/>
              <w:jc w:val="both"/>
              <w:rPr>
                <w:rFonts w:ascii="Arial" w:hAnsi="Arial" w:cs="Arial"/>
                <w:sz w:val="22"/>
                <w:szCs w:val="22"/>
              </w:rPr>
            </w:pPr>
            <w:r>
              <w:rPr>
                <w:rFonts w:ascii="Arial" w:hAnsi="Arial" w:cs="Arial"/>
                <w:sz w:val="22"/>
                <w:szCs w:val="22"/>
              </w:rPr>
              <w:t>Nástroje a programy pro udržitelný rozvoj municipalit jsou primárně určeny a zaměřeny pro samosprávné úřady. Nicméně státní správa by měla usilovat o cílenou podporu vybraných nástrojů a standardizaci procesů v území. Proto budou u vybraných nástrojů a programů sledována následující kritéria a krok</w:t>
            </w:r>
            <w:r w:rsidR="00724039">
              <w:rPr>
                <w:rFonts w:ascii="Arial" w:hAnsi="Arial" w:cs="Arial"/>
                <w:sz w:val="22"/>
                <w:szCs w:val="22"/>
              </w:rPr>
              <w:t>y (opatření) na jejich podporu:</w:t>
            </w:r>
          </w:p>
          <w:p w14:paraId="145E4FBF" w14:textId="77777777" w:rsidR="00EA2748" w:rsidRDefault="00EA2748" w:rsidP="00C516EA">
            <w:pPr>
              <w:pStyle w:val="Odstavecseseznamem"/>
              <w:numPr>
                <w:ilvl w:val="0"/>
                <w:numId w:val="5"/>
              </w:numPr>
              <w:spacing w:line="276" w:lineRule="auto"/>
              <w:jc w:val="both"/>
              <w:rPr>
                <w:rFonts w:ascii="Arial" w:hAnsi="Arial" w:cs="Arial"/>
                <w:sz w:val="22"/>
                <w:szCs w:val="22"/>
              </w:rPr>
            </w:pPr>
            <w:r>
              <w:rPr>
                <w:rFonts w:ascii="Arial" w:hAnsi="Arial" w:cs="Arial"/>
                <w:sz w:val="22"/>
                <w:szCs w:val="22"/>
              </w:rPr>
              <w:t>metodika (národní či mezinárodní)</w:t>
            </w:r>
          </w:p>
          <w:p w14:paraId="01260F75" w14:textId="77777777" w:rsidR="00EA2748" w:rsidRDefault="00EA2748" w:rsidP="00C516EA">
            <w:pPr>
              <w:pStyle w:val="Odstavecseseznamem"/>
              <w:numPr>
                <w:ilvl w:val="0"/>
                <w:numId w:val="5"/>
              </w:numPr>
              <w:spacing w:line="276" w:lineRule="auto"/>
              <w:jc w:val="both"/>
              <w:rPr>
                <w:rFonts w:ascii="Arial" w:hAnsi="Arial" w:cs="Arial"/>
                <w:sz w:val="22"/>
                <w:szCs w:val="22"/>
              </w:rPr>
            </w:pPr>
            <w:r>
              <w:rPr>
                <w:rFonts w:ascii="Arial" w:hAnsi="Arial" w:cs="Arial"/>
                <w:sz w:val="22"/>
                <w:szCs w:val="22"/>
              </w:rPr>
              <w:t>nosnost</w:t>
            </w:r>
          </w:p>
          <w:p w14:paraId="2C2BBBE8" w14:textId="77777777" w:rsidR="00EA2748" w:rsidRDefault="00EA2748" w:rsidP="00C516EA">
            <w:pPr>
              <w:pStyle w:val="Odstavecseseznamem"/>
              <w:numPr>
                <w:ilvl w:val="0"/>
                <w:numId w:val="5"/>
              </w:numPr>
              <w:spacing w:line="276" w:lineRule="auto"/>
              <w:jc w:val="both"/>
              <w:rPr>
                <w:rFonts w:ascii="Arial" w:hAnsi="Arial" w:cs="Arial"/>
                <w:sz w:val="22"/>
                <w:szCs w:val="22"/>
              </w:rPr>
            </w:pPr>
            <w:r>
              <w:rPr>
                <w:rFonts w:ascii="Arial" w:hAnsi="Arial" w:cs="Arial"/>
                <w:sz w:val="22"/>
                <w:szCs w:val="22"/>
              </w:rPr>
              <w:t>existence vzdělání uživatelů daného nástroje</w:t>
            </w:r>
          </w:p>
          <w:p w14:paraId="24D47E8D" w14:textId="77777777" w:rsidR="00EA2748" w:rsidRDefault="00EA2748" w:rsidP="00C516EA">
            <w:pPr>
              <w:pStyle w:val="Odstavecseseznamem"/>
              <w:numPr>
                <w:ilvl w:val="0"/>
                <w:numId w:val="5"/>
              </w:numPr>
              <w:spacing w:line="276" w:lineRule="auto"/>
              <w:jc w:val="both"/>
              <w:rPr>
                <w:rFonts w:ascii="Arial" w:hAnsi="Arial" w:cs="Arial"/>
                <w:sz w:val="22"/>
                <w:szCs w:val="22"/>
              </w:rPr>
            </w:pPr>
            <w:r>
              <w:rPr>
                <w:rFonts w:ascii="Arial" w:hAnsi="Arial" w:cs="Arial"/>
                <w:sz w:val="22"/>
                <w:szCs w:val="22"/>
              </w:rPr>
              <w:t>evaluace/vyhodnocování daného nástroje</w:t>
            </w:r>
          </w:p>
          <w:p w14:paraId="0707A498" w14:textId="77777777" w:rsidR="00EA2748" w:rsidRPr="00724039" w:rsidRDefault="00EA2748" w:rsidP="00C516EA">
            <w:pPr>
              <w:pStyle w:val="Odstavecseseznamem"/>
              <w:numPr>
                <w:ilvl w:val="0"/>
                <w:numId w:val="5"/>
              </w:numPr>
              <w:spacing w:line="276" w:lineRule="auto"/>
              <w:jc w:val="both"/>
              <w:rPr>
                <w:rFonts w:ascii="Arial" w:hAnsi="Arial" w:cs="Arial"/>
                <w:sz w:val="22"/>
                <w:szCs w:val="22"/>
              </w:rPr>
            </w:pPr>
            <w:r>
              <w:rPr>
                <w:rFonts w:ascii="Arial" w:hAnsi="Arial" w:cs="Arial"/>
                <w:sz w:val="22"/>
                <w:szCs w:val="22"/>
              </w:rPr>
              <w:t>počet realizátorů</w:t>
            </w:r>
          </w:p>
        </w:tc>
      </w:tr>
      <w:tr w:rsidR="00EA2748" w:rsidRPr="0007074B" w14:paraId="4F96AC8B" w14:textId="77777777" w:rsidTr="00B460D5">
        <w:tc>
          <w:tcPr>
            <w:tcW w:w="2802" w:type="dxa"/>
          </w:tcPr>
          <w:p w14:paraId="3EDEC3FC"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Časová řada: </w:t>
            </w:r>
          </w:p>
        </w:tc>
        <w:tc>
          <w:tcPr>
            <w:tcW w:w="6486" w:type="dxa"/>
          </w:tcPr>
          <w:p w14:paraId="031173DE" w14:textId="77777777" w:rsidR="00EA2748" w:rsidRPr="0007074B" w:rsidRDefault="00120807" w:rsidP="00C516EA">
            <w:pPr>
              <w:spacing w:line="276" w:lineRule="auto"/>
              <w:jc w:val="both"/>
              <w:rPr>
                <w:rFonts w:ascii="Arial" w:hAnsi="Arial" w:cs="Arial"/>
                <w:sz w:val="22"/>
                <w:szCs w:val="22"/>
              </w:rPr>
            </w:pPr>
            <w:r>
              <w:rPr>
                <w:rFonts w:ascii="Arial" w:hAnsi="Arial" w:cs="Arial"/>
                <w:sz w:val="22"/>
                <w:szCs w:val="22"/>
              </w:rPr>
              <w:t>O</w:t>
            </w:r>
            <w:r w:rsidR="00EA2748">
              <w:rPr>
                <w:rFonts w:ascii="Arial" w:hAnsi="Arial" w:cs="Arial"/>
                <w:sz w:val="22"/>
                <w:szCs w:val="22"/>
              </w:rPr>
              <w:t xml:space="preserve">d </w:t>
            </w:r>
            <w:r>
              <w:rPr>
                <w:rFonts w:ascii="Arial" w:hAnsi="Arial" w:cs="Arial"/>
                <w:sz w:val="22"/>
                <w:szCs w:val="22"/>
              </w:rPr>
              <w:t xml:space="preserve">roku </w:t>
            </w:r>
            <w:r w:rsidR="00EA2748">
              <w:rPr>
                <w:rFonts w:ascii="Arial" w:hAnsi="Arial" w:cs="Arial"/>
                <w:sz w:val="22"/>
                <w:szCs w:val="22"/>
              </w:rPr>
              <w:t>2017</w:t>
            </w:r>
          </w:p>
        </w:tc>
      </w:tr>
      <w:tr w:rsidR="00EA2748" w:rsidRPr="0007074B" w14:paraId="0254BD3D" w14:textId="77777777" w:rsidTr="00B460D5">
        <w:tc>
          <w:tcPr>
            <w:tcW w:w="2802" w:type="dxa"/>
          </w:tcPr>
          <w:p w14:paraId="6266205F"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Frekvence výstupu: </w:t>
            </w:r>
          </w:p>
        </w:tc>
        <w:tc>
          <w:tcPr>
            <w:tcW w:w="6486" w:type="dxa"/>
          </w:tcPr>
          <w:p w14:paraId="02F4BF1F" w14:textId="77777777" w:rsidR="00EA2748" w:rsidRPr="0007074B" w:rsidRDefault="00120807" w:rsidP="00C516EA">
            <w:pPr>
              <w:spacing w:line="276" w:lineRule="auto"/>
              <w:jc w:val="both"/>
              <w:rPr>
                <w:rFonts w:ascii="Arial" w:hAnsi="Arial" w:cs="Arial"/>
                <w:sz w:val="22"/>
                <w:szCs w:val="22"/>
              </w:rPr>
            </w:pPr>
            <w:r>
              <w:rPr>
                <w:rFonts w:ascii="Arial" w:hAnsi="Arial" w:cs="Arial"/>
                <w:sz w:val="22"/>
                <w:szCs w:val="22"/>
              </w:rPr>
              <w:t>J</w:t>
            </w:r>
            <w:r w:rsidR="00EA2748">
              <w:rPr>
                <w:rFonts w:ascii="Arial" w:hAnsi="Arial" w:cs="Arial"/>
                <w:sz w:val="22"/>
                <w:szCs w:val="22"/>
              </w:rPr>
              <w:t>ednou za 2 roky</w:t>
            </w:r>
          </w:p>
        </w:tc>
      </w:tr>
      <w:tr w:rsidR="00EA2748" w:rsidRPr="0007074B" w14:paraId="72B01CA7" w14:textId="77777777" w:rsidTr="00B460D5">
        <w:trPr>
          <w:trHeight w:val="70"/>
        </w:trPr>
        <w:tc>
          <w:tcPr>
            <w:tcW w:w="2802" w:type="dxa"/>
          </w:tcPr>
          <w:p w14:paraId="07EC90C0"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Členění indikátoru: </w:t>
            </w:r>
          </w:p>
        </w:tc>
        <w:tc>
          <w:tcPr>
            <w:tcW w:w="6486" w:type="dxa"/>
          </w:tcPr>
          <w:p w14:paraId="1979DA15" w14:textId="77777777" w:rsidR="00EA2748" w:rsidRPr="0007074B" w:rsidRDefault="00EA2748" w:rsidP="00C516EA">
            <w:pPr>
              <w:spacing w:line="276" w:lineRule="auto"/>
              <w:jc w:val="both"/>
              <w:rPr>
                <w:rFonts w:ascii="Arial" w:hAnsi="Arial" w:cs="Arial"/>
                <w:sz w:val="22"/>
                <w:szCs w:val="22"/>
              </w:rPr>
            </w:pPr>
            <w:r>
              <w:rPr>
                <w:rFonts w:ascii="Arial" w:hAnsi="Arial" w:cs="Arial"/>
                <w:sz w:val="22"/>
                <w:szCs w:val="22"/>
              </w:rPr>
              <w:t>-</w:t>
            </w:r>
          </w:p>
        </w:tc>
      </w:tr>
      <w:tr w:rsidR="00EA2748" w:rsidRPr="0007074B" w14:paraId="2C24F667" w14:textId="77777777" w:rsidTr="00B460D5">
        <w:trPr>
          <w:trHeight w:val="70"/>
        </w:trPr>
        <w:tc>
          <w:tcPr>
            <w:tcW w:w="2802" w:type="dxa"/>
          </w:tcPr>
          <w:p w14:paraId="6948362F"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Mezinárodní srovnání:</w:t>
            </w:r>
          </w:p>
        </w:tc>
        <w:tc>
          <w:tcPr>
            <w:tcW w:w="6486" w:type="dxa"/>
          </w:tcPr>
          <w:p w14:paraId="12539918" w14:textId="77777777" w:rsidR="00EA2748" w:rsidRPr="0007074B" w:rsidRDefault="00120807" w:rsidP="00C516EA">
            <w:pPr>
              <w:spacing w:line="276" w:lineRule="auto"/>
              <w:jc w:val="both"/>
              <w:rPr>
                <w:rFonts w:ascii="Arial" w:hAnsi="Arial" w:cs="Arial"/>
                <w:sz w:val="22"/>
                <w:szCs w:val="22"/>
              </w:rPr>
            </w:pPr>
            <w:r>
              <w:rPr>
                <w:rFonts w:ascii="Arial" w:hAnsi="Arial" w:cs="Arial"/>
                <w:sz w:val="22"/>
                <w:szCs w:val="22"/>
              </w:rPr>
              <w:t>-</w:t>
            </w:r>
          </w:p>
        </w:tc>
      </w:tr>
      <w:tr w:rsidR="00EA2748" w:rsidRPr="0007074B" w14:paraId="1C675AF6" w14:textId="77777777" w:rsidTr="00B460D5">
        <w:trPr>
          <w:trHeight w:val="70"/>
        </w:trPr>
        <w:tc>
          <w:tcPr>
            <w:tcW w:w="2802" w:type="dxa"/>
          </w:tcPr>
          <w:p w14:paraId="210D883D" w14:textId="77777777" w:rsidR="00EA2748" w:rsidRPr="0007074B" w:rsidRDefault="00EA2748" w:rsidP="00C51B65">
            <w:pPr>
              <w:spacing w:line="276" w:lineRule="auto"/>
              <w:rPr>
                <w:rFonts w:ascii="Arial" w:hAnsi="Arial" w:cs="Arial"/>
                <w:i/>
                <w:sz w:val="22"/>
                <w:szCs w:val="22"/>
              </w:rPr>
            </w:pPr>
            <w:r w:rsidRPr="0007074B">
              <w:rPr>
                <w:rFonts w:ascii="Arial" w:hAnsi="Arial" w:cs="Arial"/>
                <w:i/>
                <w:sz w:val="22"/>
                <w:szCs w:val="22"/>
              </w:rPr>
              <w:t>Poznámka</w:t>
            </w:r>
          </w:p>
        </w:tc>
        <w:tc>
          <w:tcPr>
            <w:tcW w:w="6486" w:type="dxa"/>
          </w:tcPr>
          <w:p w14:paraId="1F305631" w14:textId="77777777" w:rsidR="00EA2748" w:rsidRPr="0007074B" w:rsidRDefault="00EA2748" w:rsidP="00C516EA">
            <w:pPr>
              <w:spacing w:line="276" w:lineRule="auto"/>
              <w:jc w:val="both"/>
              <w:rPr>
                <w:rFonts w:ascii="Arial" w:hAnsi="Arial" w:cs="Arial"/>
                <w:i/>
                <w:sz w:val="22"/>
                <w:szCs w:val="22"/>
              </w:rPr>
            </w:pPr>
            <w:r>
              <w:rPr>
                <w:rFonts w:ascii="Arial" w:hAnsi="Arial" w:cs="Arial"/>
                <w:i/>
                <w:sz w:val="22"/>
                <w:szCs w:val="22"/>
              </w:rPr>
              <w:t>Spektrum sledovaných nástrojů bude projednáno Výborem pro udržitelné municipality v I. Q. 2017.</w:t>
            </w:r>
          </w:p>
        </w:tc>
      </w:tr>
    </w:tbl>
    <w:p w14:paraId="44195BF2" w14:textId="77777777" w:rsidR="00120807" w:rsidRPr="00120807" w:rsidRDefault="00120807" w:rsidP="00C516EA">
      <w:pPr>
        <w:pStyle w:val="r2030podcle"/>
        <w:numPr>
          <w:ilvl w:val="1"/>
          <w:numId w:val="17"/>
        </w:numPr>
        <w:ind w:left="567" w:hanging="425"/>
      </w:pPr>
      <w:r w:rsidRPr="00120807">
        <w:t>Územní veřejná správa má dostatečné institucionální kapacity.</w:t>
      </w:r>
    </w:p>
    <w:tbl>
      <w:tblPr>
        <w:tblStyle w:val="Mkatabulky"/>
        <w:tblW w:w="0" w:type="auto"/>
        <w:tblLook w:val="04A0" w:firstRow="1" w:lastRow="0" w:firstColumn="1" w:lastColumn="0" w:noHBand="0" w:noVBand="1"/>
      </w:tblPr>
      <w:tblGrid>
        <w:gridCol w:w="2802"/>
        <w:gridCol w:w="6486"/>
      </w:tblGrid>
      <w:tr w:rsidR="00EA2748" w:rsidRPr="0007074B" w14:paraId="6FC93DBE" w14:textId="77777777" w:rsidTr="00B460D5">
        <w:tc>
          <w:tcPr>
            <w:tcW w:w="2802" w:type="dxa"/>
          </w:tcPr>
          <w:p w14:paraId="1BE91ED2"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lastRenderedPageBreak/>
              <w:t xml:space="preserve">Název a označení indikátoru: </w:t>
            </w:r>
          </w:p>
        </w:tc>
        <w:tc>
          <w:tcPr>
            <w:tcW w:w="6486" w:type="dxa"/>
          </w:tcPr>
          <w:p w14:paraId="595011D7" w14:textId="77777777" w:rsidR="00EA2748" w:rsidRPr="0007074B" w:rsidRDefault="00120807" w:rsidP="00C51B65">
            <w:pPr>
              <w:spacing w:line="276" w:lineRule="auto"/>
              <w:rPr>
                <w:rFonts w:ascii="Arial" w:eastAsia="Arial" w:hAnsi="Arial" w:cs="Arial"/>
                <w:color w:val="000000"/>
                <w:sz w:val="22"/>
                <w:szCs w:val="22"/>
              </w:rPr>
            </w:pPr>
            <w:r>
              <w:rPr>
                <w:rFonts w:ascii="Arial" w:eastAsia="Calibri" w:hAnsi="Arial" w:cs="Arial"/>
                <w:b/>
                <w:sz w:val="22"/>
                <w:szCs w:val="22"/>
              </w:rPr>
              <w:t>20</w:t>
            </w:r>
            <w:r w:rsidR="00EA2748" w:rsidRPr="00461F76">
              <w:rPr>
                <w:rFonts w:ascii="Arial" w:eastAsia="Calibri" w:hAnsi="Arial" w:cs="Arial"/>
                <w:b/>
                <w:sz w:val="22"/>
                <w:szCs w:val="22"/>
              </w:rPr>
              <w:t xml:space="preserve">.2.1 Četnost využívání </w:t>
            </w:r>
            <w:r w:rsidR="00EA2748">
              <w:rPr>
                <w:rFonts w:ascii="Arial" w:eastAsia="Calibri" w:hAnsi="Arial" w:cs="Arial"/>
                <w:b/>
                <w:sz w:val="22"/>
                <w:szCs w:val="22"/>
              </w:rPr>
              <w:t>řízení</w:t>
            </w:r>
            <w:r w:rsidR="00EA2748" w:rsidRPr="00461F76">
              <w:rPr>
                <w:rFonts w:ascii="Arial" w:eastAsia="Calibri" w:hAnsi="Arial" w:cs="Arial"/>
                <w:b/>
                <w:sz w:val="22"/>
                <w:szCs w:val="22"/>
              </w:rPr>
              <w:t xml:space="preserve"> kvality v samosprávných úřadech</w:t>
            </w:r>
          </w:p>
        </w:tc>
      </w:tr>
      <w:tr w:rsidR="00EA2748" w:rsidRPr="0007074B" w14:paraId="42FF42D3" w14:textId="77777777" w:rsidTr="00B460D5">
        <w:tc>
          <w:tcPr>
            <w:tcW w:w="2802" w:type="dxa"/>
          </w:tcPr>
          <w:p w14:paraId="16529DA8"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Stručná definice: </w:t>
            </w:r>
          </w:p>
        </w:tc>
        <w:tc>
          <w:tcPr>
            <w:tcW w:w="6486" w:type="dxa"/>
          </w:tcPr>
          <w:p w14:paraId="7A7704C7" w14:textId="77777777" w:rsidR="00EA2748" w:rsidRPr="0007074B" w:rsidRDefault="00EA2748" w:rsidP="00C516EA">
            <w:pPr>
              <w:spacing w:line="276" w:lineRule="auto"/>
              <w:jc w:val="both"/>
              <w:rPr>
                <w:rFonts w:ascii="Arial" w:hAnsi="Arial" w:cs="Arial"/>
                <w:sz w:val="22"/>
                <w:szCs w:val="22"/>
              </w:rPr>
            </w:pPr>
            <w:r w:rsidRPr="0007074B">
              <w:rPr>
                <w:rFonts w:ascii="Arial" w:hAnsi="Arial" w:cs="Arial"/>
                <w:sz w:val="22"/>
                <w:szCs w:val="22"/>
              </w:rPr>
              <w:t xml:space="preserve">Počet </w:t>
            </w:r>
            <w:r>
              <w:rPr>
                <w:rFonts w:ascii="Arial" w:hAnsi="Arial" w:cs="Arial"/>
                <w:sz w:val="22"/>
                <w:szCs w:val="22"/>
              </w:rPr>
              <w:t xml:space="preserve">samosprávných úřadů (ÚSC a municipality) využívající řízení kvality. </w:t>
            </w:r>
          </w:p>
        </w:tc>
      </w:tr>
      <w:tr w:rsidR="00EA2748" w:rsidRPr="0007074B" w14:paraId="5DDB4DED" w14:textId="77777777" w:rsidTr="00B460D5">
        <w:tc>
          <w:tcPr>
            <w:tcW w:w="2802" w:type="dxa"/>
          </w:tcPr>
          <w:p w14:paraId="55B36E4B"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Jednotka:</w:t>
            </w:r>
          </w:p>
        </w:tc>
        <w:tc>
          <w:tcPr>
            <w:tcW w:w="6486" w:type="dxa"/>
          </w:tcPr>
          <w:p w14:paraId="5F9B24B0" w14:textId="77777777" w:rsidR="00EA2748" w:rsidRPr="0007074B" w:rsidRDefault="00EA2748" w:rsidP="00C516EA">
            <w:pPr>
              <w:spacing w:line="276" w:lineRule="auto"/>
              <w:jc w:val="both"/>
              <w:rPr>
                <w:rFonts w:ascii="Arial" w:hAnsi="Arial" w:cs="Arial"/>
                <w:sz w:val="22"/>
                <w:szCs w:val="22"/>
              </w:rPr>
            </w:pPr>
            <w:r>
              <w:rPr>
                <w:rFonts w:ascii="Arial" w:hAnsi="Arial" w:cs="Arial"/>
                <w:sz w:val="22"/>
                <w:szCs w:val="22"/>
              </w:rPr>
              <w:t>Počet</w:t>
            </w:r>
          </w:p>
        </w:tc>
      </w:tr>
      <w:tr w:rsidR="00EA2748" w:rsidRPr="0007074B" w14:paraId="75D6D8E4" w14:textId="77777777" w:rsidTr="00B460D5">
        <w:tc>
          <w:tcPr>
            <w:tcW w:w="2802" w:type="dxa"/>
          </w:tcPr>
          <w:p w14:paraId="41495CB5"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Gestor: </w:t>
            </w:r>
          </w:p>
        </w:tc>
        <w:tc>
          <w:tcPr>
            <w:tcW w:w="6486" w:type="dxa"/>
          </w:tcPr>
          <w:p w14:paraId="36765CE7" w14:textId="77777777" w:rsidR="00EA2748" w:rsidRPr="0007074B" w:rsidRDefault="00120807" w:rsidP="00C516EA">
            <w:pPr>
              <w:spacing w:line="276" w:lineRule="auto"/>
              <w:jc w:val="both"/>
              <w:rPr>
                <w:rFonts w:ascii="Arial" w:hAnsi="Arial" w:cs="Arial"/>
                <w:sz w:val="22"/>
                <w:szCs w:val="22"/>
              </w:rPr>
            </w:pPr>
            <w:r>
              <w:rPr>
                <w:rFonts w:ascii="Arial" w:hAnsi="Arial" w:cs="Arial"/>
                <w:sz w:val="22"/>
                <w:szCs w:val="22"/>
              </w:rPr>
              <w:t>Ministerstvo vnitra</w:t>
            </w:r>
          </w:p>
        </w:tc>
      </w:tr>
      <w:tr w:rsidR="00EA2748" w:rsidRPr="0007074B" w14:paraId="77FEB0DB" w14:textId="77777777" w:rsidTr="00B460D5">
        <w:tc>
          <w:tcPr>
            <w:tcW w:w="2802" w:type="dxa"/>
          </w:tcPr>
          <w:p w14:paraId="4E4B8DE6"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Význam indikátoru: </w:t>
            </w:r>
          </w:p>
        </w:tc>
        <w:tc>
          <w:tcPr>
            <w:tcW w:w="6486" w:type="dxa"/>
          </w:tcPr>
          <w:p w14:paraId="438FA01F" w14:textId="6F00E34F" w:rsidR="00EA2748" w:rsidRPr="0007074B" w:rsidRDefault="00EA2748" w:rsidP="00C516EA">
            <w:pPr>
              <w:spacing w:line="276" w:lineRule="auto"/>
              <w:jc w:val="both"/>
              <w:rPr>
                <w:rFonts w:ascii="Arial" w:hAnsi="Arial" w:cs="Arial"/>
                <w:sz w:val="22"/>
                <w:szCs w:val="22"/>
              </w:rPr>
            </w:pPr>
            <w:r>
              <w:rPr>
                <w:rFonts w:ascii="Arial" w:hAnsi="Arial" w:cs="Arial"/>
                <w:sz w:val="22"/>
                <w:szCs w:val="22"/>
              </w:rPr>
              <w:t>Zjištění počtu samosprávných úřadů, které ve své činnosti a organizaci využívají metodické řízení kvality (např. MA21, ISO, BSC ad.)</w:t>
            </w:r>
          </w:p>
        </w:tc>
      </w:tr>
      <w:tr w:rsidR="00EA2748" w:rsidRPr="0007074B" w14:paraId="0289C70A" w14:textId="77777777" w:rsidTr="00B460D5">
        <w:tc>
          <w:tcPr>
            <w:tcW w:w="2802" w:type="dxa"/>
          </w:tcPr>
          <w:p w14:paraId="00D3BB79"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Časová řada: </w:t>
            </w:r>
          </w:p>
        </w:tc>
        <w:tc>
          <w:tcPr>
            <w:tcW w:w="6486" w:type="dxa"/>
          </w:tcPr>
          <w:p w14:paraId="55CBB273" w14:textId="77777777" w:rsidR="00EA2748" w:rsidRPr="0007074B" w:rsidRDefault="00120807" w:rsidP="00C516EA">
            <w:pPr>
              <w:spacing w:line="276" w:lineRule="auto"/>
              <w:jc w:val="both"/>
              <w:rPr>
                <w:rFonts w:ascii="Arial" w:hAnsi="Arial" w:cs="Arial"/>
                <w:sz w:val="22"/>
                <w:szCs w:val="22"/>
              </w:rPr>
            </w:pPr>
            <w:r>
              <w:rPr>
                <w:rFonts w:ascii="Arial" w:hAnsi="Arial" w:cs="Arial"/>
                <w:sz w:val="22"/>
                <w:szCs w:val="22"/>
              </w:rPr>
              <w:t>O</w:t>
            </w:r>
            <w:r w:rsidR="00EA2748">
              <w:rPr>
                <w:rFonts w:ascii="Arial" w:hAnsi="Arial" w:cs="Arial"/>
                <w:sz w:val="22"/>
                <w:szCs w:val="22"/>
              </w:rPr>
              <w:t xml:space="preserve">d </w:t>
            </w:r>
            <w:r>
              <w:rPr>
                <w:rFonts w:ascii="Arial" w:hAnsi="Arial" w:cs="Arial"/>
                <w:sz w:val="22"/>
                <w:szCs w:val="22"/>
              </w:rPr>
              <w:t xml:space="preserve">roku </w:t>
            </w:r>
            <w:r w:rsidR="00EA2748">
              <w:rPr>
                <w:rFonts w:ascii="Arial" w:hAnsi="Arial" w:cs="Arial"/>
                <w:sz w:val="22"/>
                <w:szCs w:val="22"/>
              </w:rPr>
              <w:t>2016</w:t>
            </w:r>
          </w:p>
        </w:tc>
      </w:tr>
      <w:tr w:rsidR="00EA2748" w:rsidRPr="0007074B" w14:paraId="0663CE0A" w14:textId="77777777" w:rsidTr="00B460D5">
        <w:tc>
          <w:tcPr>
            <w:tcW w:w="2802" w:type="dxa"/>
          </w:tcPr>
          <w:p w14:paraId="7AA580BA"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Frekvence výstupu: </w:t>
            </w:r>
          </w:p>
        </w:tc>
        <w:tc>
          <w:tcPr>
            <w:tcW w:w="6486" w:type="dxa"/>
          </w:tcPr>
          <w:p w14:paraId="3A486552" w14:textId="77777777" w:rsidR="00EA2748" w:rsidRPr="0007074B" w:rsidRDefault="00120807" w:rsidP="00C516EA">
            <w:pPr>
              <w:spacing w:line="276" w:lineRule="auto"/>
              <w:jc w:val="both"/>
              <w:rPr>
                <w:rFonts w:ascii="Arial" w:hAnsi="Arial" w:cs="Arial"/>
                <w:sz w:val="22"/>
                <w:szCs w:val="22"/>
              </w:rPr>
            </w:pPr>
            <w:r>
              <w:rPr>
                <w:rFonts w:ascii="Arial" w:hAnsi="Arial" w:cs="Arial"/>
                <w:sz w:val="22"/>
                <w:szCs w:val="22"/>
              </w:rPr>
              <w:t>K</w:t>
            </w:r>
            <w:r w:rsidR="00EA2748" w:rsidRPr="0007074B">
              <w:rPr>
                <w:rFonts w:ascii="Arial" w:hAnsi="Arial" w:cs="Arial"/>
                <w:sz w:val="22"/>
                <w:szCs w:val="22"/>
              </w:rPr>
              <w:t>valitativní údaje souhrnně jednou za 2 roky, první souhrnná zpráva 2020 (do té doby výběrově)</w:t>
            </w:r>
          </w:p>
        </w:tc>
      </w:tr>
      <w:tr w:rsidR="00EA2748" w:rsidRPr="0007074B" w14:paraId="1EB598E7" w14:textId="77777777" w:rsidTr="00B460D5">
        <w:trPr>
          <w:trHeight w:val="70"/>
        </w:trPr>
        <w:tc>
          <w:tcPr>
            <w:tcW w:w="2802" w:type="dxa"/>
          </w:tcPr>
          <w:p w14:paraId="3DE4018B"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Členění indikátoru: </w:t>
            </w:r>
          </w:p>
        </w:tc>
        <w:tc>
          <w:tcPr>
            <w:tcW w:w="6486" w:type="dxa"/>
          </w:tcPr>
          <w:p w14:paraId="6F1BF5E7" w14:textId="77777777" w:rsidR="00EA2748" w:rsidRPr="0007074B" w:rsidRDefault="00120807" w:rsidP="00C516EA">
            <w:pPr>
              <w:spacing w:line="276" w:lineRule="auto"/>
              <w:jc w:val="both"/>
              <w:rPr>
                <w:rFonts w:ascii="Arial" w:hAnsi="Arial" w:cs="Arial"/>
                <w:sz w:val="22"/>
                <w:szCs w:val="22"/>
              </w:rPr>
            </w:pPr>
            <w:r>
              <w:rPr>
                <w:rFonts w:ascii="Arial" w:hAnsi="Arial" w:cs="Arial"/>
                <w:sz w:val="22"/>
                <w:szCs w:val="22"/>
              </w:rPr>
              <w:t>-</w:t>
            </w:r>
          </w:p>
        </w:tc>
      </w:tr>
      <w:tr w:rsidR="00EA2748" w:rsidRPr="0007074B" w14:paraId="5CD88E60" w14:textId="77777777" w:rsidTr="00B460D5">
        <w:trPr>
          <w:trHeight w:val="70"/>
        </w:trPr>
        <w:tc>
          <w:tcPr>
            <w:tcW w:w="2802" w:type="dxa"/>
          </w:tcPr>
          <w:p w14:paraId="37B7A4AB"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Mezinárodní srovnání:</w:t>
            </w:r>
          </w:p>
        </w:tc>
        <w:tc>
          <w:tcPr>
            <w:tcW w:w="6486" w:type="dxa"/>
          </w:tcPr>
          <w:p w14:paraId="1B350A4B" w14:textId="77777777" w:rsidR="00EA2748" w:rsidRPr="0007074B" w:rsidRDefault="00EA2748" w:rsidP="00C516EA">
            <w:pPr>
              <w:spacing w:line="276" w:lineRule="auto"/>
              <w:jc w:val="both"/>
              <w:rPr>
                <w:rFonts w:ascii="Arial" w:hAnsi="Arial" w:cs="Arial"/>
                <w:sz w:val="22"/>
                <w:szCs w:val="22"/>
              </w:rPr>
            </w:pPr>
            <w:r>
              <w:rPr>
                <w:rFonts w:ascii="Arial" w:hAnsi="Arial" w:cs="Arial"/>
                <w:sz w:val="22"/>
                <w:szCs w:val="22"/>
              </w:rPr>
              <w:t>-</w:t>
            </w:r>
          </w:p>
        </w:tc>
      </w:tr>
      <w:tr w:rsidR="00EA2748" w:rsidRPr="0007074B" w14:paraId="34397587" w14:textId="77777777" w:rsidTr="00B460D5">
        <w:trPr>
          <w:trHeight w:val="70"/>
        </w:trPr>
        <w:tc>
          <w:tcPr>
            <w:tcW w:w="2802" w:type="dxa"/>
          </w:tcPr>
          <w:p w14:paraId="7ADADC60"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Poznámka</w:t>
            </w:r>
          </w:p>
        </w:tc>
        <w:tc>
          <w:tcPr>
            <w:tcW w:w="6486" w:type="dxa"/>
          </w:tcPr>
          <w:p w14:paraId="39455778" w14:textId="77777777" w:rsidR="00EA2748" w:rsidRPr="0007074B" w:rsidRDefault="00120807" w:rsidP="00C516EA">
            <w:pPr>
              <w:spacing w:line="276" w:lineRule="auto"/>
              <w:jc w:val="both"/>
              <w:rPr>
                <w:rFonts w:ascii="Arial" w:hAnsi="Arial" w:cs="Arial"/>
                <w:sz w:val="22"/>
                <w:szCs w:val="22"/>
              </w:rPr>
            </w:pPr>
            <w:r>
              <w:rPr>
                <w:rFonts w:ascii="Arial" w:hAnsi="Arial" w:cs="Arial"/>
                <w:sz w:val="22"/>
                <w:szCs w:val="22"/>
              </w:rPr>
              <w:t>V</w:t>
            </w:r>
            <w:r w:rsidR="00EA2748" w:rsidRPr="0007074B">
              <w:rPr>
                <w:rFonts w:ascii="Arial" w:hAnsi="Arial" w:cs="Arial"/>
                <w:sz w:val="22"/>
                <w:szCs w:val="22"/>
              </w:rPr>
              <w:t xml:space="preserve">ychází z indikátoru </w:t>
            </w:r>
            <w:r w:rsidR="00EA2748">
              <w:rPr>
                <w:rFonts w:ascii="Arial" w:hAnsi="Arial" w:cs="Arial"/>
                <w:sz w:val="22"/>
                <w:szCs w:val="22"/>
              </w:rPr>
              <w:t>2</w:t>
            </w:r>
            <w:r w:rsidR="00B96B5D">
              <w:rPr>
                <w:rFonts w:ascii="Arial" w:hAnsi="Arial" w:cs="Arial"/>
                <w:sz w:val="22"/>
                <w:szCs w:val="22"/>
              </w:rPr>
              <w:t>4</w:t>
            </w:r>
            <w:r w:rsidR="00EA2748">
              <w:rPr>
                <w:rFonts w:ascii="Arial" w:hAnsi="Arial" w:cs="Arial"/>
                <w:sz w:val="22"/>
                <w:szCs w:val="22"/>
              </w:rPr>
              <w:t xml:space="preserve">.1.1 </w:t>
            </w:r>
          </w:p>
        </w:tc>
      </w:tr>
    </w:tbl>
    <w:p w14:paraId="1B5E9B34" w14:textId="5AD61E2A" w:rsidR="00120807" w:rsidRPr="00120807" w:rsidRDefault="00CD2ADB" w:rsidP="00C516EA">
      <w:pPr>
        <w:pStyle w:val="r2030podcle"/>
        <w:numPr>
          <w:ilvl w:val="1"/>
          <w:numId w:val="17"/>
        </w:numPr>
        <w:ind w:left="567" w:hanging="425"/>
      </w:pPr>
      <w:r>
        <w:t>Zvyšuje se p</w:t>
      </w:r>
      <w:r w:rsidR="00120807" w:rsidRPr="00120807">
        <w:t xml:space="preserve">očet </w:t>
      </w:r>
      <w:r>
        <w:t>i kvalita</w:t>
      </w:r>
      <w:r w:rsidR="00120807" w:rsidRPr="00120807">
        <w:t xml:space="preserve"> realizátorů místní Agendy 21.</w:t>
      </w:r>
    </w:p>
    <w:tbl>
      <w:tblPr>
        <w:tblStyle w:val="Mkatabulky"/>
        <w:tblW w:w="0" w:type="auto"/>
        <w:tblLook w:val="04A0" w:firstRow="1" w:lastRow="0" w:firstColumn="1" w:lastColumn="0" w:noHBand="0" w:noVBand="1"/>
      </w:tblPr>
      <w:tblGrid>
        <w:gridCol w:w="2802"/>
        <w:gridCol w:w="6486"/>
      </w:tblGrid>
      <w:tr w:rsidR="00EA2748" w:rsidRPr="0007074B" w14:paraId="3AB6557B" w14:textId="77777777" w:rsidTr="00B460D5">
        <w:tc>
          <w:tcPr>
            <w:tcW w:w="2802" w:type="dxa"/>
          </w:tcPr>
          <w:p w14:paraId="1774E798"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Název a označení indikátoru: </w:t>
            </w:r>
          </w:p>
        </w:tc>
        <w:tc>
          <w:tcPr>
            <w:tcW w:w="6486" w:type="dxa"/>
          </w:tcPr>
          <w:p w14:paraId="7AE5738E" w14:textId="635018E2" w:rsidR="00EA2748" w:rsidRPr="00461F76" w:rsidRDefault="00120807" w:rsidP="00C51B65">
            <w:pPr>
              <w:spacing w:line="276" w:lineRule="auto"/>
              <w:rPr>
                <w:rFonts w:ascii="Arial" w:eastAsia="Calibri" w:hAnsi="Arial" w:cs="Arial"/>
                <w:b/>
                <w:sz w:val="22"/>
                <w:szCs w:val="22"/>
              </w:rPr>
            </w:pPr>
            <w:r>
              <w:rPr>
                <w:rFonts w:ascii="Arial" w:eastAsia="Calibri" w:hAnsi="Arial" w:cs="Arial"/>
                <w:b/>
                <w:sz w:val="22"/>
                <w:szCs w:val="22"/>
              </w:rPr>
              <w:t>20</w:t>
            </w:r>
            <w:r w:rsidR="00EA2748" w:rsidRPr="00461F76">
              <w:rPr>
                <w:rFonts w:ascii="Arial" w:eastAsia="Calibri" w:hAnsi="Arial" w:cs="Arial"/>
                <w:b/>
                <w:sz w:val="22"/>
                <w:szCs w:val="22"/>
              </w:rPr>
              <w:t>.3.1 Počet realizátorů MA21</w:t>
            </w:r>
          </w:p>
          <w:p w14:paraId="4F8EF769" w14:textId="77777777" w:rsidR="00EA2748" w:rsidRPr="0007074B" w:rsidRDefault="00EA2748" w:rsidP="00C51B65">
            <w:pPr>
              <w:spacing w:line="276" w:lineRule="auto"/>
              <w:rPr>
                <w:rFonts w:ascii="Arial" w:eastAsia="Arial" w:hAnsi="Arial" w:cs="Arial"/>
                <w:color w:val="000000"/>
                <w:sz w:val="22"/>
                <w:szCs w:val="22"/>
              </w:rPr>
            </w:pPr>
          </w:p>
        </w:tc>
      </w:tr>
      <w:tr w:rsidR="00EA2748" w:rsidRPr="0007074B" w14:paraId="40987CC3" w14:textId="77777777" w:rsidTr="00B460D5">
        <w:tc>
          <w:tcPr>
            <w:tcW w:w="2802" w:type="dxa"/>
          </w:tcPr>
          <w:p w14:paraId="7FFA1D75"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Stručná definice: </w:t>
            </w:r>
          </w:p>
        </w:tc>
        <w:tc>
          <w:tcPr>
            <w:tcW w:w="6486" w:type="dxa"/>
          </w:tcPr>
          <w:p w14:paraId="3949002C" w14:textId="77777777" w:rsidR="00EA2748" w:rsidRPr="00375C6C" w:rsidRDefault="00EA2748" w:rsidP="00C516EA">
            <w:pPr>
              <w:spacing w:line="276" w:lineRule="auto"/>
              <w:jc w:val="both"/>
              <w:rPr>
                <w:rFonts w:ascii="Arial" w:hAnsi="Arial" w:cs="Arial"/>
                <w:sz w:val="22"/>
                <w:szCs w:val="22"/>
              </w:rPr>
            </w:pPr>
            <w:r w:rsidRPr="00375C6C">
              <w:rPr>
                <w:rFonts w:ascii="Arial" w:hAnsi="Arial" w:cs="Arial"/>
                <w:sz w:val="22"/>
                <w:szCs w:val="22"/>
              </w:rPr>
              <w:t xml:space="preserve">Realizátoři MA21 zařazení do jednotlivých kategorií procesu. </w:t>
            </w:r>
          </w:p>
        </w:tc>
      </w:tr>
      <w:tr w:rsidR="00EA2748" w:rsidRPr="0007074B" w14:paraId="48830A53" w14:textId="77777777" w:rsidTr="00B460D5">
        <w:tc>
          <w:tcPr>
            <w:tcW w:w="2802" w:type="dxa"/>
          </w:tcPr>
          <w:p w14:paraId="34F72A72"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Jednotka:</w:t>
            </w:r>
          </w:p>
        </w:tc>
        <w:tc>
          <w:tcPr>
            <w:tcW w:w="6486" w:type="dxa"/>
          </w:tcPr>
          <w:p w14:paraId="09241695" w14:textId="77777777" w:rsidR="00EA2748" w:rsidRPr="00375C6C" w:rsidRDefault="00EA2748" w:rsidP="00C516EA">
            <w:pPr>
              <w:spacing w:line="276" w:lineRule="auto"/>
              <w:jc w:val="both"/>
              <w:rPr>
                <w:rFonts w:ascii="Arial" w:hAnsi="Arial" w:cs="Arial"/>
                <w:sz w:val="22"/>
                <w:szCs w:val="22"/>
              </w:rPr>
            </w:pPr>
            <w:r w:rsidRPr="00375C6C">
              <w:rPr>
                <w:rFonts w:ascii="Arial" w:hAnsi="Arial" w:cs="Arial"/>
                <w:sz w:val="22"/>
                <w:szCs w:val="22"/>
              </w:rPr>
              <w:t xml:space="preserve">Počet </w:t>
            </w:r>
          </w:p>
        </w:tc>
      </w:tr>
      <w:tr w:rsidR="00EA2748" w:rsidRPr="0007074B" w14:paraId="4FA62C67" w14:textId="77777777" w:rsidTr="00B460D5">
        <w:tc>
          <w:tcPr>
            <w:tcW w:w="2802" w:type="dxa"/>
          </w:tcPr>
          <w:p w14:paraId="662FF4D5"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Gestor: </w:t>
            </w:r>
          </w:p>
        </w:tc>
        <w:tc>
          <w:tcPr>
            <w:tcW w:w="6486" w:type="dxa"/>
          </w:tcPr>
          <w:p w14:paraId="58D071AF" w14:textId="77777777" w:rsidR="00EA2748" w:rsidRPr="00375C6C" w:rsidRDefault="00120807" w:rsidP="00C516EA">
            <w:pPr>
              <w:spacing w:line="276" w:lineRule="auto"/>
              <w:jc w:val="both"/>
              <w:rPr>
                <w:rFonts w:ascii="Arial" w:hAnsi="Arial" w:cs="Arial"/>
                <w:sz w:val="22"/>
                <w:szCs w:val="22"/>
              </w:rPr>
            </w:pPr>
            <w:r>
              <w:rPr>
                <w:rFonts w:ascii="Arial" w:hAnsi="Arial" w:cs="Arial"/>
                <w:sz w:val="22"/>
                <w:szCs w:val="22"/>
              </w:rPr>
              <w:t>Ministerstvo životního prostředí</w:t>
            </w:r>
            <w:r w:rsidR="00EA2748" w:rsidRPr="00375C6C">
              <w:rPr>
                <w:rFonts w:ascii="Arial" w:hAnsi="Arial" w:cs="Arial"/>
                <w:sz w:val="22"/>
                <w:szCs w:val="22"/>
              </w:rPr>
              <w:t xml:space="preserve"> (CENIA)</w:t>
            </w:r>
          </w:p>
        </w:tc>
      </w:tr>
      <w:tr w:rsidR="00EA2748" w:rsidRPr="0007074B" w14:paraId="54C60646" w14:textId="77777777" w:rsidTr="00B460D5">
        <w:tc>
          <w:tcPr>
            <w:tcW w:w="2802" w:type="dxa"/>
          </w:tcPr>
          <w:p w14:paraId="35023F7D"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Význam indikátoru: </w:t>
            </w:r>
          </w:p>
        </w:tc>
        <w:tc>
          <w:tcPr>
            <w:tcW w:w="6486" w:type="dxa"/>
          </w:tcPr>
          <w:p w14:paraId="324A709C" w14:textId="77777777" w:rsidR="00EA2748" w:rsidRPr="00375C6C" w:rsidRDefault="00EA2748" w:rsidP="00C516EA">
            <w:pPr>
              <w:spacing w:line="276" w:lineRule="auto"/>
              <w:jc w:val="both"/>
              <w:rPr>
                <w:rFonts w:ascii="Arial" w:hAnsi="Arial" w:cs="Arial"/>
                <w:sz w:val="22"/>
                <w:szCs w:val="22"/>
              </w:rPr>
            </w:pPr>
            <w:r w:rsidRPr="00375C6C">
              <w:rPr>
                <w:rFonts w:ascii="Arial" w:hAnsi="Arial" w:cs="Arial"/>
                <w:sz w:val="22"/>
                <w:szCs w:val="22"/>
              </w:rPr>
              <w:t>Místní Agenda 21 (dále jen MA21) sleduje a popisuje nastavení klíčových procesů veřejné</w:t>
            </w:r>
          </w:p>
          <w:p w14:paraId="6CCECE1C" w14:textId="77777777" w:rsidR="00EA2748" w:rsidRPr="00375C6C" w:rsidRDefault="00EA2748" w:rsidP="00C516EA">
            <w:pPr>
              <w:spacing w:line="276" w:lineRule="auto"/>
              <w:jc w:val="both"/>
              <w:rPr>
                <w:rFonts w:ascii="Arial" w:hAnsi="Arial" w:cs="Arial"/>
                <w:sz w:val="22"/>
                <w:szCs w:val="22"/>
              </w:rPr>
            </w:pPr>
            <w:r w:rsidRPr="00375C6C">
              <w:rPr>
                <w:rFonts w:ascii="Arial" w:hAnsi="Arial" w:cs="Arial"/>
                <w:sz w:val="22"/>
                <w:szCs w:val="22"/>
              </w:rPr>
              <w:t>správy, které jsou nezbytné pro realizaci Agendy 21 na úrovni municipalit (obcí a regionů).</w:t>
            </w:r>
          </w:p>
        </w:tc>
      </w:tr>
      <w:tr w:rsidR="00EA2748" w:rsidRPr="0007074B" w14:paraId="2DA409B1" w14:textId="77777777" w:rsidTr="00B460D5">
        <w:tc>
          <w:tcPr>
            <w:tcW w:w="2802" w:type="dxa"/>
          </w:tcPr>
          <w:p w14:paraId="4BEBA03E"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Časová řada: </w:t>
            </w:r>
          </w:p>
        </w:tc>
        <w:tc>
          <w:tcPr>
            <w:tcW w:w="6486" w:type="dxa"/>
          </w:tcPr>
          <w:p w14:paraId="296F4B2F" w14:textId="77777777" w:rsidR="00EA2748" w:rsidRPr="00375C6C" w:rsidRDefault="00120807" w:rsidP="00C516EA">
            <w:pPr>
              <w:spacing w:line="276" w:lineRule="auto"/>
              <w:jc w:val="both"/>
              <w:rPr>
                <w:rFonts w:ascii="Arial" w:hAnsi="Arial" w:cs="Arial"/>
                <w:sz w:val="22"/>
                <w:szCs w:val="22"/>
              </w:rPr>
            </w:pPr>
            <w:r>
              <w:rPr>
                <w:rFonts w:ascii="Arial" w:hAnsi="Arial" w:cs="Arial"/>
                <w:sz w:val="22"/>
                <w:szCs w:val="22"/>
              </w:rPr>
              <w:t>Od roku</w:t>
            </w:r>
            <w:r w:rsidR="00EA2748" w:rsidRPr="00375C6C">
              <w:rPr>
                <w:rFonts w:ascii="Arial" w:hAnsi="Arial" w:cs="Arial"/>
                <w:sz w:val="22"/>
                <w:szCs w:val="22"/>
              </w:rPr>
              <w:t xml:space="preserve"> 2006</w:t>
            </w:r>
          </w:p>
        </w:tc>
      </w:tr>
      <w:tr w:rsidR="00EA2748" w:rsidRPr="0007074B" w14:paraId="05F91835" w14:textId="77777777" w:rsidTr="00B460D5">
        <w:tc>
          <w:tcPr>
            <w:tcW w:w="2802" w:type="dxa"/>
          </w:tcPr>
          <w:p w14:paraId="091486F3"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Frekvence výstupu: </w:t>
            </w:r>
          </w:p>
        </w:tc>
        <w:tc>
          <w:tcPr>
            <w:tcW w:w="6486" w:type="dxa"/>
          </w:tcPr>
          <w:p w14:paraId="7389BBDE" w14:textId="77777777" w:rsidR="00EA2748" w:rsidRPr="00375C6C" w:rsidRDefault="00EA2748" w:rsidP="00C516EA">
            <w:pPr>
              <w:spacing w:line="276" w:lineRule="auto"/>
              <w:jc w:val="both"/>
              <w:rPr>
                <w:rFonts w:ascii="Arial" w:hAnsi="Arial" w:cs="Arial"/>
                <w:sz w:val="22"/>
                <w:szCs w:val="22"/>
              </w:rPr>
            </w:pPr>
            <w:r w:rsidRPr="00375C6C">
              <w:rPr>
                <w:rFonts w:ascii="Arial" w:hAnsi="Arial" w:cs="Arial"/>
                <w:sz w:val="22"/>
                <w:szCs w:val="22"/>
              </w:rPr>
              <w:t>Ročně</w:t>
            </w:r>
          </w:p>
        </w:tc>
      </w:tr>
      <w:tr w:rsidR="00EA2748" w:rsidRPr="0007074B" w14:paraId="34C8C7D2" w14:textId="77777777" w:rsidTr="00B460D5">
        <w:trPr>
          <w:trHeight w:val="70"/>
        </w:trPr>
        <w:tc>
          <w:tcPr>
            <w:tcW w:w="2802" w:type="dxa"/>
          </w:tcPr>
          <w:p w14:paraId="402253BD"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 xml:space="preserve">Členění indikátoru: </w:t>
            </w:r>
          </w:p>
        </w:tc>
        <w:tc>
          <w:tcPr>
            <w:tcW w:w="6486" w:type="dxa"/>
          </w:tcPr>
          <w:p w14:paraId="7FF3531F" w14:textId="77777777" w:rsidR="00EA2748" w:rsidRPr="00375C6C" w:rsidRDefault="00EA2748" w:rsidP="00C516EA">
            <w:pPr>
              <w:spacing w:line="276" w:lineRule="auto"/>
              <w:jc w:val="both"/>
              <w:rPr>
                <w:rFonts w:ascii="Arial" w:hAnsi="Arial" w:cs="Arial"/>
                <w:sz w:val="22"/>
                <w:szCs w:val="22"/>
              </w:rPr>
            </w:pPr>
            <w:r w:rsidRPr="00375C6C">
              <w:rPr>
                <w:rFonts w:ascii="Arial" w:hAnsi="Arial" w:cs="Arial"/>
                <w:sz w:val="22"/>
                <w:szCs w:val="22"/>
              </w:rPr>
              <w:t>Dle jednotlivých kategorií: zájemci, kategorie D, C, B, A; dle typu municipality: malé obce (do 2000 obyvatel), města a obce, mikroregiony, kraje a místní akční skupiny.</w:t>
            </w:r>
          </w:p>
        </w:tc>
      </w:tr>
      <w:tr w:rsidR="00EA2748" w:rsidRPr="0007074B" w14:paraId="79B62F3E" w14:textId="77777777" w:rsidTr="00B460D5">
        <w:trPr>
          <w:trHeight w:val="70"/>
        </w:trPr>
        <w:tc>
          <w:tcPr>
            <w:tcW w:w="2802" w:type="dxa"/>
          </w:tcPr>
          <w:p w14:paraId="15A68B00" w14:textId="77777777" w:rsidR="00EA2748" w:rsidRPr="0007074B" w:rsidRDefault="00EA2748" w:rsidP="00C51B65">
            <w:pPr>
              <w:spacing w:line="276" w:lineRule="auto"/>
              <w:rPr>
                <w:rFonts w:ascii="Arial" w:hAnsi="Arial" w:cs="Arial"/>
                <w:sz w:val="22"/>
                <w:szCs w:val="22"/>
              </w:rPr>
            </w:pPr>
            <w:r w:rsidRPr="0007074B">
              <w:rPr>
                <w:rFonts w:ascii="Arial" w:hAnsi="Arial" w:cs="Arial"/>
                <w:sz w:val="22"/>
                <w:szCs w:val="22"/>
              </w:rPr>
              <w:t>Mezinárodní srovnání:</w:t>
            </w:r>
          </w:p>
        </w:tc>
        <w:tc>
          <w:tcPr>
            <w:tcW w:w="6486" w:type="dxa"/>
          </w:tcPr>
          <w:p w14:paraId="312F2BF5" w14:textId="77777777" w:rsidR="00EA2748" w:rsidRPr="00375C6C" w:rsidRDefault="00EA2748" w:rsidP="00C516EA">
            <w:pPr>
              <w:spacing w:line="276" w:lineRule="auto"/>
              <w:jc w:val="both"/>
              <w:rPr>
                <w:rFonts w:ascii="Arial" w:hAnsi="Arial" w:cs="Arial"/>
                <w:sz w:val="22"/>
                <w:szCs w:val="22"/>
              </w:rPr>
            </w:pPr>
            <w:r w:rsidRPr="00375C6C">
              <w:rPr>
                <w:rFonts w:ascii="Arial" w:hAnsi="Arial" w:cs="Arial"/>
                <w:sz w:val="22"/>
                <w:szCs w:val="22"/>
              </w:rPr>
              <w:t xml:space="preserve">Realizátoři MA21 zařazení do jednotlivých kategorií procesu. </w:t>
            </w:r>
          </w:p>
        </w:tc>
      </w:tr>
    </w:tbl>
    <w:p w14:paraId="5D3F442C" w14:textId="77777777" w:rsidR="00EA2748" w:rsidRDefault="00EA2748" w:rsidP="00C51B65">
      <w:pPr>
        <w:pStyle w:val="Textvysvtlivek"/>
        <w:spacing w:line="276" w:lineRule="auto"/>
        <w:rPr>
          <w:rFonts w:ascii="Arial" w:hAnsi="Arial" w:cs="Arial"/>
          <w:color w:val="000000"/>
          <w:szCs w:val="22"/>
          <w:shd w:val="clear" w:color="auto" w:fill="FFFFFF"/>
        </w:rPr>
      </w:pPr>
    </w:p>
    <w:p w14:paraId="1E1E46EE" w14:textId="0A93D010" w:rsidR="00C516EA" w:rsidRDefault="00C516EA">
      <w:pPr>
        <w:spacing w:after="200" w:line="276" w:lineRule="auto"/>
        <w:rPr>
          <w:rFonts w:ascii="Arial" w:eastAsiaTheme="majorEastAsia" w:hAnsi="Arial" w:cs="Arial"/>
          <w:b/>
          <w:bCs/>
          <w:kern w:val="32"/>
          <w:sz w:val="28"/>
          <w:szCs w:val="32"/>
          <w:lang w:eastAsia="en-US"/>
        </w:rPr>
      </w:pPr>
      <w:bookmarkStart w:id="5" w:name="_Toc476663539"/>
      <w:r>
        <w:br w:type="page"/>
      </w:r>
    </w:p>
    <w:p w14:paraId="5F27467E" w14:textId="77777777" w:rsidR="00D97F70" w:rsidRPr="0061774A" w:rsidRDefault="00FC7B20" w:rsidP="00C516EA">
      <w:pPr>
        <w:pStyle w:val="Nadpis1"/>
        <w:jc w:val="both"/>
      </w:pPr>
      <w:r w:rsidRPr="0061774A">
        <w:lastRenderedPageBreak/>
        <w:t>Globální rozvoj</w:t>
      </w:r>
      <w:bookmarkEnd w:id="5"/>
    </w:p>
    <w:p w14:paraId="00C828F1" w14:textId="77777777" w:rsidR="00D97F70" w:rsidRDefault="00D97F70" w:rsidP="00642448">
      <w:pPr>
        <w:pStyle w:val="r2030cle"/>
        <w:numPr>
          <w:ilvl w:val="0"/>
          <w:numId w:val="17"/>
        </w:numPr>
        <w:ind w:left="567" w:hanging="425"/>
        <w:jc w:val="both"/>
      </w:pPr>
      <w:r w:rsidRPr="009C0D10">
        <w:t>Česká republika aktivně a s důrazem na národní priority spoluutváří prostředí podporující udržitelný rozvoj na globální úrovni a na úrovni Evropské unie.</w:t>
      </w:r>
    </w:p>
    <w:p w14:paraId="19D75EE0" w14:textId="77777777" w:rsidR="00D97F70" w:rsidRPr="00323046" w:rsidRDefault="00D97F70" w:rsidP="00642448">
      <w:pPr>
        <w:pStyle w:val="r2030podcle"/>
        <w:numPr>
          <w:ilvl w:val="1"/>
          <w:numId w:val="17"/>
        </w:numPr>
        <w:spacing w:after="0"/>
        <w:ind w:left="567" w:hanging="425"/>
        <w:jc w:val="both"/>
        <w:rPr>
          <w:rFonts w:eastAsia="Calibri"/>
          <w:lang w:eastAsia="en-US"/>
        </w:rPr>
      </w:pPr>
      <w:r w:rsidRPr="00323046">
        <w:rPr>
          <w:rFonts w:eastAsia="Calibri"/>
          <w:lang w:eastAsia="en-US"/>
        </w:rPr>
        <w:t xml:space="preserve">Česká republika prosazuje globální implementaci mezinárodních závazků v oblasti udržitelného rozvoje, jejich implementaci na úrovni Evropské unie, jejich promítnutí do činnosti mezinárodních organizací a sama tyto závazky plní. </w:t>
      </w:r>
    </w:p>
    <w:p w14:paraId="765F6920" w14:textId="77777777" w:rsidR="00D97F70" w:rsidRPr="0042453B" w:rsidRDefault="00D97F70" w:rsidP="00C51B65">
      <w:pPr>
        <w:tabs>
          <w:tab w:val="left" w:pos="567"/>
        </w:tabs>
        <w:spacing w:line="276" w:lineRule="auto"/>
        <w:contextualSpacing/>
        <w:jc w:val="both"/>
        <w:rPr>
          <w:rFonts w:ascii="Arial" w:eastAsia="Calibri" w:hAnsi="Arial" w:cs="Arial"/>
          <w:noProof/>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2"/>
        <w:gridCol w:w="6486"/>
      </w:tblGrid>
      <w:tr w:rsidR="00D97F70" w:rsidRPr="0042453B" w14:paraId="4E943B37" w14:textId="77777777" w:rsidTr="00741C7D">
        <w:tc>
          <w:tcPr>
            <w:tcW w:w="2802" w:type="dxa"/>
          </w:tcPr>
          <w:p w14:paraId="4550ED58" w14:textId="77777777" w:rsidR="00D97F70" w:rsidRPr="0042453B" w:rsidRDefault="00D97F70" w:rsidP="00120807">
            <w:pPr>
              <w:spacing w:line="276" w:lineRule="auto"/>
              <w:rPr>
                <w:rFonts w:ascii="Arial" w:hAnsi="Arial" w:cs="Arial"/>
                <w:sz w:val="22"/>
                <w:szCs w:val="22"/>
                <w:lang w:eastAsia="en-US"/>
              </w:rPr>
            </w:pPr>
            <w:r w:rsidRPr="0042453B">
              <w:rPr>
                <w:rFonts w:ascii="Arial" w:hAnsi="Arial" w:cs="Arial"/>
                <w:sz w:val="22"/>
                <w:szCs w:val="22"/>
                <w:lang w:eastAsia="en-US"/>
              </w:rPr>
              <w:t xml:space="preserve">Název a označení indikátoru: </w:t>
            </w:r>
          </w:p>
        </w:tc>
        <w:tc>
          <w:tcPr>
            <w:tcW w:w="6486" w:type="dxa"/>
          </w:tcPr>
          <w:p w14:paraId="4CAE1CD0" w14:textId="77777777" w:rsidR="00D97F70" w:rsidRPr="00C516EA" w:rsidRDefault="00323046" w:rsidP="00C516EA">
            <w:pPr>
              <w:pStyle w:val="r2030nelovan"/>
              <w:jc w:val="left"/>
              <w:rPr>
                <w:b/>
              </w:rPr>
            </w:pPr>
            <w:r w:rsidRPr="00C516EA">
              <w:rPr>
                <w:b/>
              </w:rPr>
              <w:t>21</w:t>
            </w:r>
            <w:r w:rsidR="00BA1A47" w:rsidRPr="00C516EA">
              <w:rPr>
                <w:b/>
              </w:rPr>
              <w:t xml:space="preserve">.1.1 </w:t>
            </w:r>
            <w:r w:rsidR="00D97F70" w:rsidRPr="00C516EA">
              <w:rPr>
                <w:b/>
              </w:rPr>
              <w:t xml:space="preserve">Promítnutí Agendy 2030 do koncepčních a strategických dokumentů ČR, EU a nejvýznamnějších mezinárodních organizací. </w:t>
            </w:r>
          </w:p>
        </w:tc>
      </w:tr>
      <w:tr w:rsidR="00D97F70" w:rsidRPr="0042453B" w14:paraId="619CB52C" w14:textId="77777777" w:rsidTr="00741C7D">
        <w:tc>
          <w:tcPr>
            <w:tcW w:w="2802" w:type="dxa"/>
          </w:tcPr>
          <w:p w14:paraId="27B09D26" w14:textId="77777777" w:rsidR="00D97F70" w:rsidRPr="0042453B" w:rsidRDefault="00D97F70" w:rsidP="00120807">
            <w:pPr>
              <w:spacing w:line="276" w:lineRule="auto"/>
              <w:rPr>
                <w:rFonts w:ascii="Arial" w:hAnsi="Arial" w:cs="Arial"/>
                <w:sz w:val="22"/>
                <w:szCs w:val="22"/>
                <w:lang w:eastAsia="en-US"/>
              </w:rPr>
            </w:pPr>
            <w:r w:rsidRPr="0042453B">
              <w:rPr>
                <w:rFonts w:ascii="Arial" w:hAnsi="Arial" w:cs="Arial"/>
                <w:sz w:val="22"/>
                <w:szCs w:val="22"/>
                <w:lang w:eastAsia="en-US"/>
              </w:rPr>
              <w:t xml:space="preserve">Stručná definice: </w:t>
            </w:r>
          </w:p>
        </w:tc>
        <w:tc>
          <w:tcPr>
            <w:tcW w:w="6486" w:type="dxa"/>
          </w:tcPr>
          <w:p w14:paraId="3D89916C" w14:textId="77777777" w:rsidR="00D97F70" w:rsidRPr="0042453B" w:rsidRDefault="00D97F70" w:rsidP="00C516EA">
            <w:pPr>
              <w:spacing w:line="276" w:lineRule="auto"/>
              <w:jc w:val="both"/>
              <w:rPr>
                <w:rFonts w:ascii="Arial" w:hAnsi="Arial" w:cs="Arial"/>
                <w:sz w:val="22"/>
                <w:szCs w:val="22"/>
                <w:lang w:eastAsia="en-US"/>
              </w:rPr>
            </w:pPr>
            <w:r w:rsidRPr="0042453B">
              <w:rPr>
                <w:rFonts w:ascii="Arial" w:hAnsi="Arial" w:cs="Arial"/>
                <w:sz w:val="22"/>
                <w:szCs w:val="22"/>
                <w:lang w:eastAsia="en-US"/>
              </w:rPr>
              <w:t xml:space="preserve">ČR usiluje o tzv. </w:t>
            </w:r>
            <w:proofErr w:type="spellStart"/>
            <w:r w:rsidRPr="0042453B">
              <w:rPr>
                <w:rFonts w:ascii="Arial" w:hAnsi="Arial" w:cs="Arial"/>
                <w:sz w:val="22"/>
                <w:szCs w:val="22"/>
                <w:lang w:eastAsia="en-US"/>
              </w:rPr>
              <w:t>mainstreaming</w:t>
            </w:r>
            <w:proofErr w:type="spellEnd"/>
            <w:r>
              <w:rPr>
                <w:rFonts w:ascii="Arial" w:hAnsi="Arial" w:cs="Arial"/>
                <w:sz w:val="22"/>
                <w:szCs w:val="22"/>
                <w:lang w:eastAsia="en-US"/>
              </w:rPr>
              <w:t xml:space="preserve"> Agendy 2030 v rámci ČR i </w:t>
            </w:r>
            <w:r w:rsidRPr="0042453B">
              <w:rPr>
                <w:rFonts w:ascii="Arial" w:hAnsi="Arial" w:cs="Arial"/>
                <w:sz w:val="22"/>
                <w:szCs w:val="22"/>
                <w:lang w:eastAsia="en-US"/>
              </w:rPr>
              <w:t>v rámci fungování mezinárodních organizací; obojí efektivně a</w:t>
            </w:r>
            <w:r>
              <w:rPr>
                <w:rFonts w:ascii="Arial" w:hAnsi="Arial" w:cs="Arial"/>
                <w:sz w:val="22"/>
                <w:szCs w:val="22"/>
                <w:lang w:eastAsia="en-US"/>
              </w:rPr>
              <w:t> </w:t>
            </w:r>
            <w:r w:rsidRPr="0042453B">
              <w:rPr>
                <w:rFonts w:ascii="Arial" w:hAnsi="Arial" w:cs="Arial"/>
                <w:sz w:val="22"/>
                <w:szCs w:val="22"/>
                <w:lang w:eastAsia="en-US"/>
              </w:rPr>
              <w:t xml:space="preserve">bez dodatečných finančních i lidských nároků. Základem úspěšné implementace musí být změna myšlení, kterou může mj. reflektovat zahrnutí principů a cílů Agendy 2030 do koncepčních a strategických dokumentů. </w:t>
            </w:r>
          </w:p>
        </w:tc>
      </w:tr>
      <w:tr w:rsidR="00D97F70" w:rsidRPr="0042453B" w14:paraId="7A90DF89" w14:textId="77777777" w:rsidTr="00741C7D">
        <w:tc>
          <w:tcPr>
            <w:tcW w:w="2802" w:type="dxa"/>
          </w:tcPr>
          <w:p w14:paraId="53DF4A20" w14:textId="77777777" w:rsidR="00D97F70" w:rsidRPr="0042453B" w:rsidRDefault="00D97F70" w:rsidP="00120807">
            <w:pPr>
              <w:spacing w:line="276" w:lineRule="auto"/>
              <w:rPr>
                <w:rFonts w:ascii="Arial" w:hAnsi="Arial" w:cs="Arial"/>
                <w:sz w:val="22"/>
                <w:szCs w:val="22"/>
                <w:lang w:eastAsia="en-US"/>
              </w:rPr>
            </w:pPr>
            <w:r w:rsidRPr="0042453B">
              <w:rPr>
                <w:rFonts w:ascii="Arial" w:hAnsi="Arial" w:cs="Arial"/>
                <w:sz w:val="22"/>
                <w:szCs w:val="22"/>
                <w:lang w:eastAsia="en-US"/>
              </w:rPr>
              <w:t>Jednotka:</w:t>
            </w:r>
          </w:p>
        </w:tc>
        <w:tc>
          <w:tcPr>
            <w:tcW w:w="6486" w:type="dxa"/>
          </w:tcPr>
          <w:p w14:paraId="382B921B" w14:textId="77777777" w:rsidR="00D97F70" w:rsidRPr="0042453B" w:rsidRDefault="00D97F70" w:rsidP="00C516EA">
            <w:pPr>
              <w:spacing w:line="276" w:lineRule="auto"/>
              <w:jc w:val="both"/>
              <w:rPr>
                <w:rFonts w:ascii="Arial" w:hAnsi="Arial" w:cs="Arial"/>
                <w:sz w:val="22"/>
                <w:szCs w:val="22"/>
                <w:lang w:eastAsia="en-US"/>
              </w:rPr>
            </w:pPr>
            <w:r w:rsidRPr="0042453B">
              <w:rPr>
                <w:rFonts w:ascii="Arial" w:hAnsi="Arial" w:cs="Arial"/>
                <w:sz w:val="22"/>
                <w:szCs w:val="22"/>
                <w:lang w:eastAsia="en-US"/>
              </w:rPr>
              <w:t>Seznam dokumentů (uváděním pouhého počtu by sebraná data neměla význam)</w:t>
            </w:r>
          </w:p>
        </w:tc>
      </w:tr>
      <w:tr w:rsidR="00D97F70" w:rsidRPr="0042453B" w14:paraId="7EF91E1D" w14:textId="77777777" w:rsidTr="00741C7D">
        <w:tc>
          <w:tcPr>
            <w:tcW w:w="2802" w:type="dxa"/>
          </w:tcPr>
          <w:p w14:paraId="22DC80C9" w14:textId="77777777" w:rsidR="00D97F70" w:rsidRPr="0042453B" w:rsidRDefault="00D97F70" w:rsidP="00120807">
            <w:pPr>
              <w:spacing w:line="276" w:lineRule="auto"/>
              <w:rPr>
                <w:rFonts w:ascii="Arial" w:hAnsi="Arial" w:cs="Arial"/>
                <w:sz w:val="22"/>
                <w:szCs w:val="22"/>
                <w:lang w:eastAsia="en-US"/>
              </w:rPr>
            </w:pPr>
            <w:r w:rsidRPr="0042453B">
              <w:rPr>
                <w:rFonts w:ascii="Arial" w:hAnsi="Arial" w:cs="Arial"/>
                <w:sz w:val="22"/>
                <w:szCs w:val="22"/>
                <w:lang w:eastAsia="en-US"/>
              </w:rPr>
              <w:t xml:space="preserve">Gestor: </w:t>
            </w:r>
          </w:p>
        </w:tc>
        <w:tc>
          <w:tcPr>
            <w:tcW w:w="6486" w:type="dxa"/>
          </w:tcPr>
          <w:p w14:paraId="004555CC" w14:textId="77777777" w:rsidR="00D97F70" w:rsidRPr="0042453B" w:rsidRDefault="00120807" w:rsidP="00C516EA">
            <w:pPr>
              <w:spacing w:line="276" w:lineRule="auto"/>
              <w:jc w:val="both"/>
              <w:rPr>
                <w:rFonts w:ascii="Arial" w:hAnsi="Arial" w:cs="Arial"/>
                <w:sz w:val="22"/>
                <w:szCs w:val="22"/>
                <w:lang w:eastAsia="en-US"/>
              </w:rPr>
            </w:pPr>
            <w:r>
              <w:rPr>
                <w:rFonts w:ascii="Arial" w:hAnsi="Arial" w:cs="Arial"/>
                <w:sz w:val="22"/>
                <w:szCs w:val="22"/>
                <w:lang w:eastAsia="en-US"/>
              </w:rPr>
              <w:t>Úřad vlády (národní rovina), Ministerstvo zahraničních věcí</w:t>
            </w:r>
            <w:r w:rsidR="00D97F70" w:rsidRPr="0042453B">
              <w:rPr>
                <w:rFonts w:ascii="Arial" w:hAnsi="Arial" w:cs="Arial"/>
                <w:sz w:val="22"/>
                <w:szCs w:val="22"/>
                <w:lang w:eastAsia="en-US"/>
              </w:rPr>
              <w:t xml:space="preserve"> (EU, mezinárodní organizace)</w:t>
            </w:r>
          </w:p>
        </w:tc>
      </w:tr>
      <w:tr w:rsidR="00D97F70" w:rsidRPr="0042453B" w14:paraId="6C19ED5C" w14:textId="77777777" w:rsidTr="00741C7D">
        <w:tc>
          <w:tcPr>
            <w:tcW w:w="2802" w:type="dxa"/>
          </w:tcPr>
          <w:p w14:paraId="360548C8" w14:textId="77777777" w:rsidR="00D97F70" w:rsidRPr="0042453B" w:rsidRDefault="00D97F70" w:rsidP="00120807">
            <w:pPr>
              <w:spacing w:line="276" w:lineRule="auto"/>
              <w:rPr>
                <w:rFonts w:ascii="Arial" w:hAnsi="Arial" w:cs="Arial"/>
                <w:sz w:val="22"/>
                <w:szCs w:val="22"/>
                <w:lang w:eastAsia="en-US"/>
              </w:rPr>
            </w:pPr>
            <w:r w:rsidRPr="0042453B">
              <w:rPr>
                <w:rFonts w:ascii="Arial" w:hAnsi="Arial" w:cs="Arial"/>
                <w:sz w:val="22"/>
                <w:szCs w:val="22"/>
                <w:lang w:eastAsia="en-US"/>
              </w:rPr>
              <w:t xml:space="preserve">Význam indikátoru: </w:t>
            </w:r>
          </w:p>
        </w:tc>
        <w:tc>
          <w:tcPr>
            <w:tcW w:w="6486" w:type="dxa"/>
          </w:tcPr>
          <w:p w14:paraId="03C5E778" w14:textId="77777777" w:rsidR="00D97F70" w:rsidRPr="0042453B" w:rsidRDefault="00D97F70" w:rsidP="00C516EA">
            <w:pPr>
              <w:numPr>
                <w:ilvl w:val="0"/>
                <w:numId w:val="6"/>
              </w:numPr>
              <w:spacing w:line="276" w:lineRule="auto"/>
              <w:jc w:val="both"/>
              <w:rPr>
                <w:rFonts w:ascii="Arial" w:hAnsi="Arial" w:cs="Arial"/>
                <w:sz w:val="22"/>
                <w:szCs w:val="22"/>
                <w:lang w:eastAsia="en-US"/>
              </w:rPr>
            </w:pPr>
            <w:r w:rsidRPr="0042453B">
              <w:rPr>
                <w:rFonts w:ascii="Arial" w:hAnsi="Arial" w:cs="Arial"/>
                <w:sz w:val="22"/>
                <w:szCs w:val="22"/>
                <w:lang w:eastAsia="en-US"/>
              </w:rPr>
              <w:t xml:space="preserve">přehled o naplňování Agendy 2030 národně napříč resorty; </w:t>
            </w:r>
          </w:p>
          <w:p w14:paraId="5A4D8CA8" w14:textId="77777777" w:rsidR="00D97F70" w:rsidRPr="0042453B" w:rsidRDefault="00D97F70" w:rsidP="00C516EA">
            <w:pPr>
              <w:numPr>
                <w:ilvl w:val="0"/>
                <w:numId w:val="6"/>
              </w:numPr>
              <w:spacing w:line="276" w:lineRule="auto"/>
              <w:jc w:val="both"/>
              <w:rPr>
                <w:rFonts w:ascii="Arial" w:hAnsi="Arial" w:cs="Arial"/>
                <w:sz w:val="22"/>
                <w:szCs w:val="22"/>
                <w:lang w:eastAsia="en-US"/>
              </w:rPr>
            </w:pPr>
            <w:r w:rsidRPr="0042453B">
              <w:rPr>
                <w:rFonts w:ascii="Arial" w:hAnsi="Arial" w:cs="Arial"/>
                <w:sz w:val="22"/>
                <w:szCs w:val="22"/>
                <w:lang w:eastAsia="en-US"/>
              </w:rPr>
              <w:t>přehled o naplňování Agendy 2030 nejvýznamnějšími mezinárodními organizacemi.</w:t>
            </w:r>
          </w:p>
        </w:tc>
      </w:tr>
      <w:tr w:rsidR="00D97F70" w:rsidRPr="0042453B" w14:paraId="6B7B7E15" w14:textId="77777777" w:rsidTr="00741C7D">
        <w:tc>
          <w:tcPr>
            <w:tcW w:w="2802" w:type="dxa"/>
          </w:tcPr>
          <w:p w14:paraId="39B3C494" w14:textId="77777777" w:rsidR="00D97F70" w:rsidRPr="0042453B" w:rsidRDefault="00D97F70" w:rsidP="00120807">
            <w:pPr>
              <w:spacing w:line="276" w:lineRule="auto"/>
              <w:rPr>
                <w:rFonts w:ascii="Arial" w:hAnsi="Arial" w:cs="Arial"/>
                <w:sz w:val="22"/>
                <w:szCs w:val="22"/>
                <w:lang w:eastAsia="en-US"/>
              </w:rPr>
            </w:pPr>
            <w:r w:rsidRPr="0042453B">
              <w:rPr>
                <w:rFonts w:ascii="Arial" w:hAnsi="Arial" w:cs="Arial"/>
                <w:sz w:val="22"/>
                <w:szCs w:val="22"/>
                <w:lang w:eastAsia="en-US"/>
              </w:rPr>
              <w:t xml:space="preserve">Časová řada: </w:t>
            </w:r>
          </w:p>
        </w:tc>
        <w:tc>
          <w:tcPr>
            <w:tcW w:w="6486" w:type="dxa"/>
          </w:tcPr>
          <w:p w14:paraId="408939CF" w14:textId="1841BECA" w:rsidR="00D97F70" w:rsidRPr="0042453B" w:rsidRDefault="00120807" w:rsidP="00C516EA">
            <w:pPr>
              <w:spacing w:line="276" w:lineRule="auto"/>
              <w:jc w:val="both"/>
              <w:rPr>
                <w:rFonts w:ascii="Arial" w:hAnsi="Arial" w:cs="Arial"/>
                <w:sz w:val="22"/>
                <w:szCs w:val="22"/>
                <w:lang w:eastAsia="en-US"/>
              </w:rPr>
            </w:pPr>
            <w:r>
              <w:rPr>
                <w:rFonts w:ascii="Arial" w:hAnsi="Arial" w:cs="Arial"/>
                <w:sz w:val="22"/>
                <w:szCs w:val="22"/>
                <w:lang w:eastAsia="en-US"/>
              </w:rPr>
              <w:t>-</w:t>
            </w:r>
            <w:r w:rsidR="00D97F70">
              <w:rPr>
                <w:rFonts w:ascii="Arial" w:hAnsi="Arial" w:cs="Arial"/>
                <w:sz w:val="22"/>
                <w:szCs w:val="22"/>
                <w:lang w:eastAsia="en-US"/>
              </w:rPr>
              <w:t xml:space="preserve"> </w:t>
            </w:r>
          </w:p>
        </w:tc>
      </w:tr>
      <w:tr w:rsidR="00D97F70" w:rsidRPr="0042453B" w14:paraId="31280455" w14:textId="77777777" w:rsidTr="00741C7D">
        <w:tc>
          <w:tcPr>
            <w:tcW w:w="2802" w:type="dxa"/>
          </w:tcPr>
          <w:p w14:paraId="7BA0DB32" w14:textId="77777777" w:rsidR="00D97F70" w:rsidRPr="0042453B" w:rsidRDefault="00D97F70" w:rsidP="00C51B65">
            <w:pPr>
              <w:spacing w:line="276" w:lineRule="auto"/>
              <w:jc w:val="both"/>
              <w:rPr>
                <w:rFonts w:ascii="Arial" w:hAnsi="Arial" w:cs="Arial"/>
                <w:sz w:val="22"/>
                <w:szCs w:val="22"/>
                <w:lang w:eastAsia="en-US"/>
              </w:rPr>
            </w:pPr>
            <w:r w:rsidRPr="0042453B">
              <w:rPr>
                <w:rFonts w:ascii="Arial" w:hAnsi="Arial" w:cs="Arial"/>
                <w:sz w:val="22"/>
                <w:szCs w:val="22"/>
                <w:lang w:eastAsia="en-US"/>
              </w:rPr>
              <w:t xml:space="preserve">Frekvence výstupu: </w:t>
            </w:r>
          </w:p>
        </w:tc>
        <w:tc>
          <w:tcPr>
            <w:tcW w:w="6486" w:type="dxa"/>
          </w:tcPr>
          <w:p w14:paraId="6505F8D6" w14:textId="77777777" w:rsidR="00D97F70" w:rsidRPr="0042453B" w:rsidRDefault="00FB51F3" w:rsidP="00C516EA">
            <w:pPr>
              <w:spacing w:line="276" w:lineRule="auto"/>
              <w:jc w:val="both"/>
              <w:rPr>
                <w:rFonts w:ascii="Arial" w:hAnsi="Arial" w:cs="Arial"/>
                <w:sz w:val="22"/>
                <w:szCs w:val="22"/>
                <w:lang w:eastAsia="en-US"/>
              </w:rPr>
            </w:pPr>
            <w:r>
              <w:rPr>
                <w:rFonts w:ascii="Arial" w:hAnsi="Arial" w:cs="Arial"/>
                <w:sz w:val="22"/>
                <w:szCs w:val="22"/>
                <w:lang w:eastAsia="en-US"/>
              </w:rPr>
              <w:t>Ročně</w:t>
            </w:r>
          </w:p>
        </w:tc>
      </w:tr>
      <w:tr w:rsidR="00D97F70" w:rsidRPr="0042453B" w14:paraId="1F8BD78A" w14:textId="77777777" w:rsidTr="00741C7D">
        <w:trPr>
          <w:trHeight w:val="70"/>
        </w:trPr>
        <w:tc>
          <w:tcPr>
            <w:tcW w:w="2802" w:type="dxa"/>
          </w:tcPr>
          <w:p w14:paraId="673AFB81" w14:textId="77777777" w:rsidR="00D97F70" w:rsidRPr="0042453B" w:rsidRDefault="00D97F70" w:rsidP="00C51B65">
            <w:pPr>
              <w:spacing w:line="276" w:lineRule="auto"/>
              <w:jc w:val="both"/>
              <w:rPr>
                <w:rFonts w:ascii="Arial" w:hAnsi="Arial" w:cs="Arial"/>
                <w:sz w:val="22"/>
                <w:szCs w:val="22"/>
                <w:lang w:eastAsia="en-US"/>
              </w:rPr>
            </w:pPr>
            <w:r w:rsidRPr="0042453B">
              <w:rPr>
                <w:rFonts w:ascii="Arial" w:hAnsi="Arial" w:cs="Arial"/>
                <w:sz w:val="22"/>
                <w:szCs w:val="22"/>
                <w:lang w:eastAsia="en-US"/>
              </w:rPr>
              <w:t xml:space="preserve">Členění indikátoru: </w:t>
            </w:r>
          </w:p>
        </w:tc>
        <w:tc>
          <w:tcPr>
            <w:tcW w:w="6486" w:type="dxa"/>
          </w:tcPr>
          <w:p w14:paraId="5CCF80C4" w14:textId="77777777" w:rsidR="00D97F70" w:rsidRPr="0042453B" w:rsidRDefault="00D97F70" w:rsidP="00C516EA">
            <w:pPr>
              <w:spacing w:line="276" w:lineRule="auto"/>
              <w:jc w:val="both"/>
              <w:rPr>
                <w:rFonts w:ascii="Arial" w:hAnsi="Arial" w:cs="Arial"/>
                <w:sz w:val="22"/>
                <w:szCs w:val="22"/>
                <w:lang w:eastAsia="en-US"/>
              </w:rPr>
            </w:pPr>
            <w:r w:rsidRPr="0042453B">
              <w:rPr>
                <w:rFonts w:ascii="Arial" w:hAnsi="Arial" w:cs="Arial"/>
                <w:sz w:val="22"/>
                <w:szCs w:val="22"/>
                <w:lang w:eastAsia="en-US"/>
              </w:rPr>
              <w:t>Národní strategické dokumenty, unijní strategické dokumenty, strategické dokumenty mezinárodních organizací</w:t>
            </w:r>
            <w:r>
              <w:rPr>
                <w:rFonts w:ascii="Arial" w:hAnsi="Arial" w:cs="Arial"/>
                <w:sz w:val="22"/>
                <w:szCs w:val="22"/>
                <w:lang w:eastAsia="en-US"/>
              </w:rPr>
              <w:t xml:space="preserve">. </w:t>
            </w:r>
          </w:p>
        </w:tc>
      </w:tr>
      <w:tr w:rsidR="00D97F70" w:rsidRPr="0042453B" w14:paraId="62DCF357" w14:textId="77777777" w:rsidTr="00741C7D">
        <w:trPr>
          <w:trHeight w:val="70"/>
        </w:trPr>
        <w:tc>
          <w:tcPr>
            <w:tcW w:w="2802" w:type="dxa"/>
          </w:tcPr>
          <w:p w14:paraId="52D89808" w14:textId="77777777" w:rsidR="00D97F70" w:rsidRPr="0042453B" w:rsidRDefault="00D97F70" w:rsidP="00C51B65">
            <w:pPr>
              <w:spacing w:line="276" w:lineRule="auto"/>
              <w:jc w:val="both"/>
              <w:rPr>
                <w:rFonts w:ascii="Arial" w:hAnsi="Arial" w:cs="Arial"/>
                <w:sz w:val="22"/>
                <w:szCs w:val="22"/>
                <w:lang w:eastAsia="en-US"/>
              </w:rPr>
            </w:pPr>
            <w:r w:rsidRPr="0042453B">
              <w:rPr>
                <w:rFonts w:ascii="Arial" w:hAnsi="Arial" w:cs="Arial"/>
                <w:sz w:val="22"/>
                <w:szCs w:val="22"/>
                <w:lang w:eastAsia="en-US"/>
              </w:rPr>
              <w:t>Mezinárodní srovnání:</w:t>
            </w:r>
          </w:p>
        </w:tc>
        <w:tc>
          <w:tcPr>
            <w:tcW w:w="6486" w:type="dxa"/>
          </w:tcPr>
          <w:p w14:paraId="5A4D4F02" w14:textId="77777777" w:rsidR="00D97F70" w:rsidRPr="0042453B" w:rsidRDefault="00120807" w:rsidP="00C51B65">
            <w:pPr>
              <w:spacing w:line="276" w:lineRule="auto"/>
              <w:jc w:val="both"/>
              <w:rPr>
                <w:rFonts w:ascii="Arial" w:hAnsi="Arial" w:cs="Arial"/>
                <w:sz w:val="22"/>
                <w:szCs w:val="22"/>
                <w:lang w:eastAsia="en-US"/>
              </w:rPr>
            </w:pPr>
            <w:r>
              <w:rPr>
                <w:rFonts w:ascii="Arial" w:hAnsi="Arial" w:cs="Arial"/>
                <w:sz w:val="22"/>
                <w:szCs w:val="22"/>
              </w:rPr>
              <w:t>-</w:t>
            </w:r>
            <w:r w:rsidR="00D97F70">
              <w:rPr>
                <w:rFonts w:ascii="Arial" w:hAnsi="Arial" w:cs="Arial"/>
                <w:sz w:val="22"/>
                <w:szCs w:val="22"/>
              </w:rPr>
              <w:t xml:space="preserve"> </w:t>
            </w:r>
          </w:p>
        </w:tc>
      </w:tr>
    </w:tbl>
    <w:p w14:paraId="517034DC" w14:textId="77777777" w:rsidR="00D97F70" w:rsidRPr="0042453B" w:rsidRDefault="00D97F70" w:rsidP="00C51B65">
      <w:pPr>
        <w:tabs>
          <w:tab w:val="left" w:pos="567"/>
        </w:tabs>
        <w:spacing w:line="276" w:lineRule="auto"/>
        <w:contextualSpacing/>
        <w:jc w:val="both"/>
        <w:rPr>
          <w:rFonts w:ascii="Arial" w:eastAsia="Calibri" w:hAnsi="Arial" w:cs="Arial"/>
          <w:b/>
          <w:noProof/>
          <w:sz w:val="22"/>
          <w:szCs w:val="22"/>
          <w:lang w:eastAsia="en-US"/>
        </w:rPr>
      </w:pPr>
    </w:p>
    <w:tbl>
      <w:tblPr>
        <w:tblStyle w:val="Mkatabulky"/>
        <w:tblW w:w="0" w:type="auto"/>
        <w:tblLook w:val="04A0" w:firstRow="1" w:lastRow="0" w:firstColumn="1" w:lastColumn="0" w:noHBand="0" w:noVBand="1"/>
      </w:tblPr>
      <w:tblGrid>
        <w:gridCol w:w="2802"/>
        <w:gridCol w:w="6486"/>
      </w:tblGrid>
      <w:tr w:rsidR="00D97F70" w:rsidRPr="0042453B" w14:paraId="2CECAC03" w14:textId="77777777" w:rsidTr="00323046">
        <w:tc>
          <w:tcPr>
            <w:tcW w:w="2802" w:type="dxa"/>
          </w:tcPr>
          <w:p w14:paraId="58A8B71C" w14:textId="77777777" w:rsidR="00D97F70" w:rsidRPr="0042453B" w:rsidRDefault="00D97F70" w:rsidP="00323046">
            <w:pPr>
              <w:spacing w:line="276" w:lineRule="auto"/>
              <w:rPr>
                <w:rFonts w:ascii="Arial" w:hAnsi="Arial" w:cs="Arial"/>
                <w:sz w:val="22"/>
                <w:szCs w:val="22"/>
              </w:rPr>
            </w:pPr>
            <w:r w:rsidRPr="0042453B">
              <w:rPr>
                <w:rFonts w:ascii="Arial" w:hAnsi="Arial" w:cs="Arial"/>
                <w:sz w:val="22"/>
                <w:szCs w:val="22"/>
              </w:rPr>
              <w:t xml:space="preserve">Název a označení indikátoru: </w:t>
            </w:r>
          </w:p>
        </w:tc>
        <w:tc>
          <w:tcPr>
            <w:tcW w:w="6486" w:type="dxa"/>
          </w:tcPr>
          <w:p w14:paraId="5B85892F" w14:textId="77777777" w:rsidR="00D97F70" w:rsidRPr="00AD0B3D" w:rsidRDefault="00323046" w:rsidP="00C91095">
            <w:pPr>
              <w:pStyle w:val="r2030nelovan"/>
              <w:rPr>
                <w:rFonts w:eastAsia="Arial"/>
              </w:rPr>
            </w:pPr>
            <w:r w:rsidRPr="00C516EA">
              <w:rPr>
                <w:b/>
              </w:rPr>
              <w:t>21</w:t>
            </w:r>
            <w:r w:rsidR="00BA1A47" w:rsidRPr="00C516EA">
              <w:rPr>
                <w:b/>
              </w:rPr>
              <w:t xml:space="preserve">.1.2 </w:t>
            </w:r>
            <w:r w:rsidR="00D97F70" w:rsidRPr="00C516EA">
              <w:rPr>
                <w:b/>
              </w:rPr>
              <w:t>Podíl ODA na HND</w:t>
            </w:r>
            <w:r w:rsidR="00D97F70">
              <w:t xml:space="preserve">. </w:t>
            </w:r>
          </w:p>
        </w:tc>
      </w:tr>
      <w:tr w:rsidR="00D97F70" w:rsidRPr="0042453B" w14:paraId="7BC222D8" w14:textId="77777777" w:rsidTr="00323046">
        <w:tc>
          <w:tcPr>
            <w:tcW w:w="2802" w:type="dxa"/>
          </w:tcPr>
          <w:p w14:paraId="0E8FC410" w14:textId="77777777" w:rsidR="00D97F70" w:rsidRPr="0042453B" w:rsidRDefault="00D97F70" w:rsidP="00323046">
            <w:pPr>
              <w:spacing w:line="276" w:lineRule="auto"/>
              <w:rPr>
                <w:rFonts w:ascii="Arial" w:hAnsi="Arial" w:cs="Arial"/>
                <w:sz w:val="22"/>
                <w:szCs w:val="22"/>
              </w:rPr>
            </w:pPr>
            <w:r w:rsidRPr="0042453B">
              <w:rPr>
                <w:rFonts w:ascii="Arial" w:hAnsi="Arial" w:cs="Arial"/>
                <w:sz w:val="22"/>
                <w:szCs w:val="22"/>
              </w:rPr>
              <w:t xml:space="preserve">Stručná definice: </w:t>
            </w:r>
          </w:p>
        </w:tc>
        <w:tc>
          <w:tcPr>
            <w:tcW w:w="6486" w:type="dxa"/>
          </w:tcPr>
          <w:p w14:paraId="3C614C8A" w14:textId="77777777" w:rsidR="00D97F70" w:rsidRPr="0042453B" w:rsidRDefault="00D97F70" w:rsidP="00C516EA">
            <w:pPr>
              <w:spacing w:line="276" w:lineRule="auto"/>
              <w:jc w:val="both"/>
              <w:rPr>
                <w:rFonts w:ascii="Arial" w:hAnsi="Arial" w:cs="Arial"/>
                <w:sz w:val="22"/>
                <w:szCs w:val="22"/>
              </w:rPr>
            </w:pPr>
            <w:r w:rsidRPr="0042453B">
              <w:rPr>
                <w:rFonts w:ascii="Arial" w:hAnsi="Arial" w:cs="Arial"/>
                <w:sz w:val="22"/>
                <w:szCs w:val="22"/>
              </w:rPr>
              <w:t xml:space="preserve">Stanovuje podíl finančních prostředků vynaložených Českou republikou na oficiální rozvojovou spolupráci (ODA) ve vztahu k hrubému národnímu důchodu (HND). </w:t>
            </w:r>
          </w:p>
        </w:tc>
      </w:tr>
      <w:tr w:rsidR="00D97F70" w:rsidRPr="0042453B" w14:paraId="0DD7A44C" w14:textId="77777777" w:rsidTr="00323046">
        <w:tc>
          <w:tcPr>
            <w:tcW w:w="2802" w:type="dxa"/>
          </w:tcPr>
          <w:p w14:paraId="61BFBB11" w14:textId="77777777" w:rsidR="00D97F70" w:rsidRPr="0042453B" w:rsidRDefault="00D97F70" w:rsidP="00323046">
            <w:pPr>
              <w:spacing w:line="276" w:lineRule="auto"/>
              <w:rPr>
                <w:rFonts w:ascii="Arial" w:hAnsi="Arial" w:cs="Arial"/>
                <w:sz w:val="22"/>
                <w:szCs w:val="22"/>
              </w:rPr>
            </w:pPr>
            <w:r w:rsidRPr="0042453B">
              <w:rPr>
                <w:rFonts w:ascii="Arial" w:hAnsi="Arial" w:cs="Arial"/>
                <w:sz w:val="22"/>
                <w:szCs w:val="22"/>
              </w:rPr>
              <w:t>Jednotka:</w:t>
            </w:r>
          </w:p>
        </w:tc>
        <w:tc>
          <w:tcPr>
            <w:tcW w:w="6486" w:type="dxa"/>
          </w:tcPr>
          <w:p w14:paraId="13786C19" w14:textId="77777777" w:rsidR="00D97F70" w:rsidRPr="0042453B" w:rsidRDefault="00323046" w:rsidP="00C516EA">
            <w:pPr>
              <w:spacing w:line="276" w:lineRule="auto"/>
              <w:jc w:val="both"/>
              <w:rPr>
                <w:rFonts w:ascii="Arial" w:hAnsi="Arial" w:cs="Arial"/>
                <w:sz w:val="22"/>
                <w:szCs w:val="22"/>
              </w:rPr>
            </w:pPr>
            <w:r>
              <w:rPr>
                <w:rFonts w:ascii="Arial" w:hAnsi="Arial" w:cs="Arial"/>
                <w:sz w:val="22"/>
                <w:szCs w:val="22"/>
              </w:rPr>
              <w:t xml:space="preserve">Podíl (v </w:t>
            </w:r>
            <w:r w:rsidR="00D97F70" w:rsidRPr="0042453B">
              <w:rPr>
                <w:rFonts w:ascii="Arial" w:hAnsi="Arial" w:cs="Arial"/>
                <w:sz w:val="22"/>
                <w:szCs w:val="22"/>
              </w:rPr>
              <w:t>%</w:t>
            </w:r>
            <w:r>
              <w:rPr>
                <w:rFonts w:ascii="Arial" w:hAnsi="Arial" w:cs="Arial"/>
                <w:sz w:val="22"/>
                <w:szCs w:val="22"/>
              </w:rPr>
              <w:t>)</w:t>
            </w:r>
          </w:p>
        </w:tc>
      </w:tr>
      <w:tr w:rsidR="00D97F70" w:rsidRPr="0042453B" w14:paraId="6BC9709D" w14:textId="77777777" w:rsidTr="00323046">
        <w:tc>
          <w:tcPr>
            <w:tcW w:w="2802" w:type="dxa"/>
          </w:tcPr>
          <w:p w14:paraId="24C6A757" w14:textId="77777777" w:rsidR="00D97F70" w:rsidRPr="0042453B" w:rsidRDefault="00D97F70" w:rsidP="00323046">
            <w:pPr>
              <w:spacing w:line="276" w:lineRule="auto"/>
              <w:rPr>
                <w:rFonts w:ascii="Arial" w:hAnsi="Arial" w:cs="Arial"/>
                <w:sz w:val="22"/>
                <w:szCs w:val="22"/>
              </w:rPr>
            </w:pPr>
            <w:r w:rsidRPr="0042453B">
              <w:rPr>
                <w:rFonts w:ascii="Arial" w:hAnsi="Arial" w:cs="Arial"/>
                <w:sz w:val="22"/>
                <w:szCs w:val="22"/>
              </w:rPr>
              <w:t xml:space="preserve">Gestor: </w:t>
            </w:r>
          </w:p>
        </w:tc>
        <w:tc>
          <w:tcPr>
            <w:tcW w:w="6486" w:type="dxa"/>
          </w:tcPr>
          <w:p w14:paraId="740E8321" w14:textId="77777777" w:rsidR="00D97F70" w:rsidRPr="0042453B" w:rsidRDefault="00323046" w:rsidP="00C516EA">
            <w:pPr>
              <w:spacing w:line="276" w:lineRule="auto"/>
              <w:jc w:val="both"/>
              <w:rPr>
                <w:rFonts w:ascii="Arial" w:hAnsi="Arial" w:cs="Arial"/>
                <w:sz w:val="22"/>
                <w:szCs w:val="22"/>
              </w:rPr>
            </w:pPr>
            <w:r>
              <w:rPr>
                <w:rFonts w:ascii="Arial" w:hAnsi="Arial" w:cs="Arial"/>
                <w:sz w:val="22"/>
                <w:szCs w:val="22"/>
              </w:rPr>
              <w:t>Ministerstvo zahraničních věcí</w:t>
            </w:r>
          </w:p>
        </w:tc>
      </w:tr>
      <w:tr w:rsidR="00D97F70" w:rsidRPr="0042453B" w14:paraId="7830B8CF" w14:textId="77777777" w:rsidTr="00323046">
        <w:tc>
          <w:tcPr>
            <w:tcW w:w="2802" w:type="dxa"/>
          </w:tcPr>
          <w:p w14:paraId="29F218F8" w14:textId="77777777" w:rsidR="00D97F70" w:rsidRPr="0042453B" w:rsidRDefault="00D97F70" w:rsidP="00323046">
            <w:pPr>
              <w:spacing w:line="276" w:lineRule="auto"/>
              <w:rPr>
                <w:rFonts w:ascii="Arial" w:hAnsi="Arial" w:cs="Arial"/>
                <w:sz w:val="22"/>
                <w:szCs w:val="22"/>
              </w:rPr>
            </w:pPr>
            <w:r w:rsidRPr="0042453B">
              <w:rPr>
                <w:rFonts w:ascii="Arial" w:hAnsi="Arial" w:cs="Arial"/>
                <w:sz w:val="22"/>
                <w:szCs w:val="22"/>
              </w:rPr>
              <w:t xml:space="preserve">Význam indikátoru: </w:t>
            </w:r>
          </w:p>
        </w:tc>
        <w:tc>
          <w:tcPr>
            <w:tcW w:w="6486" w:type="dxa"/>
          </w:tcPr>
          <w:p w14:paraId="47B4A528" w14:textId="77777777" w:rsidR="00D97F70" w:rsidRPr="0042453B" w:rsidRDefault="00D97F70" w:rsidP="00C516EA">
            <w:pPr>
              <w:spacing w:line="276" w:lineRule="auto"/>
              <w:jc w:val="both"/>
              <w:rPr>
                <w:rFonts w:ascii="Arial" w:hAnsi="Arial" w:cs="Arial"/>
                <w:sz w:val="22"/>
                <w:szCs w:val="22"/>
              </w:rPr>
            </w:pPr>
            <w:r w:rsidRPr="0042453B">
              <w:rPr>
                <w:rFonts w:ascii="Arial" w:hAnsi="Arial" w:cs="Arial"/>
                <w:sz w:val="22"/>
                <w:szCs w:val="22"/>
              </w:rPr>
              <w:t xml:space="preserve">Indikátor ilustruje tzv. </w:t>
            </w:r>
            <w:proofErr w:type="spellStart"/>
            <w:r w:rsidRPr="0042453B">
              <w:rPr>
                <w:rFonts w:ascii="Arial" w:hAnsi="Arial" w:cs="Arial"/>
                <w:sz w:val="22"/>
                <w:szCs w:val="22"/>
              </w:rPr>
              <w:t>donorské</w:t>
            </w:r>
            <w:proofErr w:type="spellEnd"/>
            <w:r w:rsidRPr="0042453B">
              <w:rPr>
                <w:rFonts w:ascii="Arial" w:hAnsi="Arial" w:cs="Arial"/>
                <w:sz w:val="22"/>
                <w:szCs w:val="22"/>
              </w:rPr>
              <w:t xml:space="preserve"> úsilí, tedy kolik financí ze svého HND </w:t>
            </w:r>
            <w:proofErr w:type="spellStart"/>
            <w:r w:rsidRPr="0042453B">
              <w:rPr>
                <w:rFonts w:ascii="Arial" w:hAnsi="Arial" w:cs="Arial"/>
                <w:sz w:val="22"/>
                <w:szCs w:val="22"/>
              </w:rPr>
              <w:t>donorská</w:t>
            </w:r>
            <w:proofErr w:type="spellEnd"/>
            <w:r w:rsidRPr="0042453B">
              <w:rPr>
                <w:rFonts w:ascii="Arial" w:hAnsi="Arial" w:cs="Arial"/>
                <w:sz w:val="22"/>
                <w:szCs w:val="22"/>
              </w:rPr>
              <w:t xml:space="preserve"> země vynakládá na rozvoj chudých zemí</w:t>
            </w:r>
          </w:p>
        </w:tc>
      </w:tr>
      <w:tr w:rsidR="00D97F70" w:rsidRPr="0042453B" w14:paraId="60E20584" w14:textId="77777777" w:rsidTr="00323046">
        <w:tc>
          <w:tcPr>
            <w:tcW w:w="2802" w:type="dxa"/>
          </w:tcPr>
          <w:p w14:paraId="002ECFC5" w14:textId="77777777" w:rsidR="00D97F70" w:rsidRPr="0042453B" w:rsidRDefault="00D97F70" w:rsidP="00323046">
            <w:pPr>
              <w:spacing w:line="276" w:lineRule="auto"/>
              <w:rPr>
                <w:rFonts w:ascii="Arial" w:hAnsi="Arial" w:cs="Arial"/>
                <w:sz w:val="22"/>
                <w:szCs w:val="22"/>
              </w:rPr>
            </w:pPr>
            <w:r w:rsidRPr="0042453B">
              <w:rPr>
                <w:rFonts w:ascii="Arial" w:hAnsi="Arial" w:cs="Arial"/>
                <w:sz w:val="22"/>
                <w:szCs w:val="22"/>
              </w:rPr>
              <w:t xml:space="preserve">Časová řada: </w:t>
            </w:r>
          </w:p>
        </w:tc>
        <w:tc>
          <w:tcPr>
            <w:tcW w:w="6486" w:type="dxa"/>
          </w:tcPr>
          <w:p w14:paraId="1EE561B4" w14:textId="77777777" w:rsidR="00D97F70" w:rsidRPr="0042453B" w:rsidRDefault="00D97F70" w:rsidP="00C516EA">
            <w:pPr>
              <w:spacing w:line="276" w:lineRule="auto"/>
              <w:jc w:val="both"/>
              <w:rPr>
                <w:rFonts w:ascii="Arial" w:hAnsi="Arial" w:cs="Arial"/>
                <w:sz w:val="22"/>
                <w:szCs w:val="22"/>
              </w:rPr>
            </w:pPr>
            <w:r w:rsidRPr="0042453B">
              <w:rPr>
                <w:rFonts w:ascii="Arial" w:hAnsi="Arial" w:cs="Arial"/>
                <w:sz w:val="22"/>
                <w:szCs w:val="22"/>
              </w:rPr>
              <w:t xml:space="preserve">Existuje (více než 20 let, v případě ČR méně) </w:t>
            </w:r>
          </w:p>
        </w:tc>
      </w:tr>
      <w:tr w:rsidR="00D97F70" w:rsidRPr="0042453B" w14:paraId="591542C3" w14:textId="77777777" w:rsidTr="00323046">
        <w:tc>
          <w:tcPr>
            <w:tcW w:w="2802" w:type="dxa"/>
          </w:tcPr>
          <w:p w14:paraId="59FA79FC" w14:textId="77777777" w:rsidR="00D97F70" w:rsidRPr="0042453B" w:rsidRDefault="00D97F70" w:rsidP="00323046">
            <w:pPr>
              <w:spacing w:line="276" w:lineRule="auto"/>
              <w:rPr>
                <w:rFonts w:ascii="Arial" w:hAnsi="Arial" w:cs="Arial"/>
                <w:sz w:val="22"/>
                <w:szCs w:val="22"/>
              </w:rPr>
            </w:pPr>
            <w:r w:rsidRPr="0042453B">
              <w:rPr>
                <w:rFonts w:ascii="Arial" w:hAnsi="Arial" w:cs="Arial"/>
                <w:sz w:val="22"/>
                <w:szCs w:val="22"/>
              </w:rPr>
              <w:t xml:space="preserve">Frekvence výstupu: </w:t>
            </w:r>
          </w:p>
        </w:tc>
        <w:tc>
          <w:tcPr>
            <w:tcW w:w="6486" w:type="dxa"/>
          </w:tcPr>
          <w:p w14:paraId="79269B00" w14:textId="77777777" w:rsidR="00D97F70" w:rsidRPr="0042453B" w:rsidRDefault="00D97F70" w:rsidP="00C516EA">
            <w:pPr>
              <w:spacing w:line="276" w:lineRule="auto"/>
              <w:jc w:val="both"/>
              <w:rPr>
                <w:rFonts w:ascii="Arial" w:hAnsi="Arial" w:cs="Arial"/>
                <w:sz w:val="22"/>
                <w:szCs w:val="22"/>
              </w:rPr>
            </w:pPr>
            <w:r w:rsidRPr="0042453B">
              <w:rPr>
                <w:rFonts w:ascii="Arial" w:hAnsi="Arial" w:cs="Arial"/>
                <w:sz w:val="22"/>
                <w:szCs w:val="22"/>
              </w:rPr>
              <w:t xml:space="preserve">1x ročně, finální údaje (aprobované i ze strany OECD) </w:t>
            </w:r>
            <w:r w:rsidR="00323046">
              <w:rPr>
                <w:rFonts w:ascii="Arial" w:hAnsi="Arial" w:cs="Arial"/>
                <w:sz w:val="22"/>
                <w:szCs w:val="22"/>
              </w:rPr>
              <w:t xml:space="preserve">jsou </w:t>
            </w:r>
            <w:r w:rsidRPr="0042453B">
              <w:rPr>
                <w:rFonts w:ascii="Arial" w:hAnsi="Arial" w:cs="Arial"/>
                <w:sz w:val="22"/>
                <w:szCs w:val="22"/>
              </w:rPr>
              <w:t>k dispozici koncem září daného roku (tedy údaje ze předchozí rok)</w:t>
            </w:r>
          </w:p>
        </w:tc>
      </w:tr>
      <w:tr w:rsidR="00D97F70" w:rsidRPr="0042453B" w14:paraId="3C1ECFD9" w14:textId="77777777" w:rsidTr="00323046">
        <w:trPr>
          <w:trHeight w:val="70"/>
        </w:trPr>
        <w:tc>
          <w:tcPr>
            <w:tcW w:w="2802" w:type="dxa"/>
          </w:tcPr>
          <w:p w14:paraId="1FAF251C" w14:textId="77777777" w:rsidR="00D97F70" w:rsidRPr="0042453B" w:rsidRDefault="00D97F70" w:rsidP="00323046">
            <w:pPr>
              <w:spacing w:line="276" w:lineRule="auto"/>
              <w:rPr>
                <w:rFonts w:ascii="Arial" w:hAnsi="Arial" w:cs="Arial"/>
                <w:sz w:val="22"/>
                <w:szCs w:val="22"/>
              </w:rPr>
            </w:pPr>
            <w:r w:rsidRPr="0042453B">
              <w:rPr>
                <w:rFonts w:ascii="Arial" w:hAnsi="Arial" w:cs="Arial"/>
                <w:sz w:val="22"/>
                <w:szCs w:val="22"/>
              </w:rPr>
              <w:lastRenderedPageBreak/>
              <w:t xml:space="preserve">Členění indikátoru: </w:t>
            </w:r>
          </w:p>
        </w:tc>
        <w:tc>
          <w:tcPr>
            <w:tcW w:w="6486" w:type="dxa"/>
          </w:tcPr>
          <w:p w14:paraId="1D2F56BA" w14:textId="77777777" w:rsidR="00D97F70" w:rsidRPr="0042453B" w:rsidRDefault="00D97F70" w:rsidP="00C516EA">
            <w:pPr>
              <w:spacing w:line="276" w:lineRule="auto"/>
              <w:jc w:val="both"/>
              <w:rPr>
                <w:rFonts w:ascii="Arial" w:hAnsi="Arial" w:cs="Arial"/>
                <w:sz w:val="22"/>
                <w:szCs w:val="22"/>
              </w:rPr>
            </w:pPr>
            <w:r w:rsidRPr="0042453B">
              <w:rPr>
                <w:rFonts w:ascii="Arial" w:hAnsi="Arial" w:cs="Arial"/>
                <w:sz w:val="22"/>
                <w:szCs w:val="22"/>
              </w:rPr>
              <w:t>Není. Existuje však velmi detailní členění ODA</w:t>
            </w:r>
          </w:p>
        </w:tc>
      </w:tr>
      <w:tr w:rsidR="00D97F70" w:rsidRPr="0042453B" w14:paraId="3E37AD97" w14:textId="77777777" w:rsidTr="00323046">
        <w:trPr>
          <w:trHeight w:val="70"/>
        </w:trPr>
        <w:tc>
          <w:tcPr>
            <w:tcW w:w="2802" w:type="dxa"/>
          </w:tcPr>
          <w:p w14:paraId="05188D1B" w14:textId="77777777" w:rsidR="00D97F70" w:rsidRPr="0042453B" w:rsidRDefault="00D97F70" w:rsidP="00323046">
            <w:pPr>
              <w:spacing w:line="276" w:lineRule="auto"/>
              <w:rPr>
                <w:rFonts w:ascii="Arial" w:hAnsi="Arial" w:cs="Arial"/>
                <w:sz w:val="22"/>
                <w:szCs w:val="22"/>
              </w:rPr>
            </w:pPr>
            <w:r w:rsidRPr="0042453B">
              <w:rPr>
                <w:rFonts w:ascii="Arial" w:hAnsi="Arial" w:cs="Arial"/>
                <w:sz w:val="22"/>
                <w:szCs w:val="22"/>
              </w:rPr>
              <w:t>Mezinárodní srovnání:</w:t>
            </w:r>
          </w:p>
        </w:tc>
        <w:tc>
          <w:tcPr>
            <w:tcW w:w="6486" w:type="dxa"/>
          </w:tcPr>
          <w:p w14:paraId="19E9ED0C" w14:textId="77777777" w:rsidR="00D97F70" w:rsidRPr="0042453B" w:rsidRDefault="00323046" w:rsidP="00C516EA">
            <w:pPr>
              <w:spacing w:line="276" w:lineRule="auto"/>
              <w:jc w:val="both"/>
              <w:rPr>
                <w:rFonts w:ascii="Arial" w:hAnsi="Arial" w:cs="Arial"/>
                <w:sz w:val="22"/>
                <w:szCs w:val="22"/>
              </w:rPr>
            </w:pPr>
            <w:r>
              <w:rPr>
                <w:rFonts w:ascii="Arial" w:hAnsi="Arial" w:cs="Arial"/>
                <w:sz w:val="22"/>
                <w:szCs w:val="22"/>
              </w:rPr>
              <w:t>Ano, i</w:t>
            </w:r>
            <w:r w:rsidR="00D97F70" w:rsidRPr="0042453B">
              <w:rPr>
                <w:rFonts w:ascii="Arial" w:hAnsi="Arial" w:cs="Arial"/>
                <w:sz w:val="22"/>
                <w:szCs w:val="22"/>
              </w:rPr>
              <w:t>ndikátor je počítán dle metodiky, která je pro členské státy OECD DAC závazná, zaručuje tak mezinárodní srovnatelnost ČS OECD DAC.</w:t>
            </w:r>
          </w:p>
        </w:tc>
      </w:tr>
    </w:tbl>
    <w:p w14:paraId="790B5796" w14:textId="77777777" w:rsidR="00D97F70" w:rsidRPr="00323046" w:rsidRDefault="00D97F70" w:rsidP="00642448">
      <w:pPr>
        <w:pStyle w:val="r2030podcle"/>
        <w:numPr>
          <w:ilvl w:val="1"/>
          <w:numId w:val="17"/>
        </w:numPr>
        <w:ind w:left="567" w:hanging="425"/>
        <w:jc w:val="both"/>
        <w:rPr>
          <w:rFonts w:eastAsia="Calibri"/>
          <w:lang w:eastAsia="en-US"/>
        </w:rPr>
      </w:pPr>
      <w:r w:rsidRPr="00323046">
        <w:rPr>
          <w:rFonts w:eastAsia="Calibri"/>
          <w:lang w:eastAsia="en-US"/>
        </w:rPr>
        <w:t xml:space="preserve">Česká republika na globální i na úrovni Evropské unie podporuje naplnění Cílů udržitelného rozvoje a specificky Cíle č. 16 </w:t>
      </w:r>
      <w:r w:rsidRPr="00323046">
        <w:rPr>
          <w:rFonts w:eastAsia="Calibri"/>
          <w:i/>
          <w:lang w:eastAsia="en-US"/>
        </w:rPr>
        <w:t>Mír, spravedlnost a silné instituce</w:t>
      </w:r>
      <w:r w:rsidRPr="00323046">
        <w:rPr>
          <w:rFonts w:eastAsia="Calibri"/>
          <w:lang w:eastAsia="en-US"/>
        </w:rPr>
        <w:t xml:space="preserve">. </w:t>
      </w:r>
    </w:p>
    <w:tbl>
      <w:tblPr>
        <w:tblStyle w:val="Mkatabulky"/>
        <w:tblW w:w="0" w:type="auto"/>
        <w:tblLook w:val="04A0" w:firstRow="1" w:lastRow="0" w:firstColumn="1" w:lastColumn="0" w:noHBand="0" w:noVBand="1"/>
      </w:tblPr>
      <w:tblGrid>
        <w:gridCol w:w="2802"/>
        <w:gridCol w:w="6486"/>
      </w:tblGrid>
      <w:tr w:rsidR="00D97F70" w:rsidRPr="0042453B" w14:paraId="0C04F85E" w14:textId="77777777" w:rsidTr="00741C7D">
        <w:tc>
          <w:tcPr>
            <w:tcW w:w="2802" w:type="dxa"/>
          </w:tcPr>
          <w:p w14:paraId="432C1E9C" w14:textId="77777777" w:rsidR="00D97F70" w:rsidRPr="0042453B" w:rsidRDefault="00D97F70" w:rsidP="00323046">
            <w:pPr>
              <w:spacing w:line="276" w:lineRule="auto"/>
              <w:rPr>
                <w:rFonts w:ascii="Arial" w:hAnsi="Arial" w:cs="Arial"/>
                <w:sz w:val="22"/>
                <w:szCs w:val="22"/>
              </w:rPr>
            </w:pPr>
            <w:r w:rsidRPr="0042453B">
              <w:rPr>
                <w:rFonts w:ascii="Arial" w:hAnsi="Arial" w:cs="Arial"/>
                <w:sz w:val="22"/>
                <w:szCs w:val="22"/>
              </w:rPr>
              <w:t xml:space="preserve">Název a označení indikátoru: </w:t>
            </w:r>
          </w:p>
        </w:tc>
        <w:tc>
          <w:tcPr>
            <w:tcW w:w="6486" w:type="dxa"/>
          </w:tcPr>
          <w:p w14:paraId="0E9F3019" w14:textId="77777777" w:rsidR="00D97F70" w:rsidRPr="00AD0B3D" w:rsidRDefault="00323046" w:rsidP="00323046">
            <w:pPr>
              <w:spacing w:line="276" w:lineRule="auto"/>
              <w:rPr>
                <w:rFonts w:ascii="Arial" w:hAnsi="Arial" w:cs="Arial"/>
                <w:b/>
                <w:sz w:val="22"/>
                <w:szCs w:val="22"/>
              </w:rPr>
            </w:pPr>
            <w:r>
              <w:rPr>
                <w:rFonts w:ascii="Arial" w:hAnsi="Arial" w:cs="Arial"/>
                <w:b/>
                <w:sz w:val="22"/>
                <w:szCs w:val="22"/>
              </w:rPr>
              <w:t>21</w:t>
            </w:r>
            <w:r w:rsidR="00BA1A47">
              <w:rPr>
                <w:rFonts w:ascii="Arial" w:hAnsi="Arial" w:cs="Arial"/>
                <w:b/>
                <w:sz w:val="22"/>
                <w:szCs w:val="22"/>
              </w:rPr>
              <w:t xml:space="preserve">.2.1 </w:t>
            </w:r>
            <w:r w:rsidR="00D97F70" w:rsidRPr="00AD0B3D">
              <w:rPr>
                <w:rFonts w:ascii="Arial" w:hAnsi="Arial" w:cs="Arial"/>
                <w:b/>
                <w:sz w:val="22"/>
                <w:szCs w:val="22"/>
              </w:rPr>
              <w:t>Procenta bilaterální oficiální</w:t>
            </w:r>
            <w:r w:rsidR="0015417B">
              <w:rPr>
                <w:rFonts w:ascii="Arial" w:hAnsi="Arial" w:cs="Arial"/>
                <w:b/>
                <w:sz w:val="22"/>
                <w:szCs w:val="22"/>
              </w:rPr>
              <w:t xml:space="preserve"> rozvojové spolupráce vynaložená</w:t>
            </w:r>
            <w:r w:rsidR="00D97F70" w:rsidRPr="00AD0B3D">
              <w:rPr>
                <w:rFonts w:ascii="Arial" w:hAnsi="Arial" w:cs="Arial"/>
                <w:b/>
                <w:sz w:val="22"/>
                <w:szCs w:val="22"/>
              </w:rPr>
              <w:t xml:space="preserve"> na posílení rozvojových zemí v oblasti lidských práv a dobrého vládnutí, jak jsou vymezeny v rámci SDG16.</w:t>
            </w:r>
          </w:p>
        </w:tc>
      </w:tr>
      <w:tr w:rsidR="00D97F70" w:rsidRPr="0042453B" w14:paraId="12E18B67" w14:textId="77777777" w:rsidTr="00741C7D">
        <w:tc>
          <w:tcPr>
            <w:tcW w:w="2802" w:type="dxa"/>
          </w:tcPr>
          <w:p w14:paraId="35B8D3FD" w14:textId="77777777" w:rsidR="00D97F70" w:rsidRPr="0042453B" w:rsidRDefault="00D97F70" w:rsidP="00323046">
            <w:pPr>
              <w:spacing w:line="276" w:lineRule="auto"/>
              <w:rPr>
                <w:rFonts w:ascii="Arial" w:hAnsi="Arial" w:cs="Arial"/>
                <w:sz w:val="22"/>
                <w:szCs w:val="22"/>
              </w:rPr>
            </w:pPr>
            <w:r w:rsidRPr="0042453B">
              <w:rPr>
                <w:rFonts w:ascii="Arial" w:hAnsi="Arial" w:cs="Arial"/>
                <w:sz w:val="22"/>
                <w:szCs w:val="22"/>
              </w:rPr>
              <w:t xml:space="preserve">Stručná definice: </w:t>
            </w:r>
          </w:p>
        </w:tc>
        <w:tc>
          <w:tcPr>
            <w:tcW w:w="6486" w:type="dxa"/>
          </w:tcPr>
          <w:p w14:paraId="0EA96056" w14:textId="77777777" w:rsidR="00D97F70" w:rsidRPr="0042453B" w:rsidRDefault="00D97F70" w:rsidP="00642448">
            <w:pPr>
              <w:spacing w:line="276" w:lineRule="auto"/>
              <w:jc w:val="both"/>
              <w:rPr>
                <w:rFonts w:ascii="Arial" w:hAnsi="Arial" w:cs="Arial"/>
                <w:sz w:val="22"/>
                <w:szCs w:val="22"/>
              </w:rPr>
            </w:pPr>
            <w:r w:rsidRPr="0042453B">
              <w:rPr>
                <w:rFonts w:ascii="Arial" w:hAnsi="Arial" w:cs="Arial"/>
                <w:sz w:val="22"/>
                <w:szCs w:val="22"/>
              </w:rPr>
              <w:t>Kolik procent z bilaterální ODA ČR bude věnováno na posilování oblasti lidských práv a dobrého vládnutí v rozvojových zemích</w:t>
            </w:r>
          </w:p>
        </w:tc>
      </w:tr>
      <w:tr w:rsidR="00D97F70" w:rsidRPr="0042453B" w14:paraId="6142C53B" w14:textId="77777777" w:rsidTr="00741C7D">
        <w:tc>
          <w:tcPr>
            <w:tcW w:w="2802" w:type="dxa"/>
          </w:tcPr>
          <w:p w14:paraId="71AD9ED2" w14:textId="77777777" w:rsidR="00D97F70" w:rsidRPr="0042453B" w:rsidRDefault="00D97F70" w:rsidP="00323046">
            <w:pPr>
              <w:spacing w:line="276" w:lineRule="auto"/>
              <w:rPr>
                <w:rFonts w:ascii="Arial" w:hAnsi="Arial" w:cs="Arial"/>
                <w:sz w:val="22"/>
                <w:szCs w:val="22"/>
              </w:rPr>
            </w:pPr>
            <w:r w:rsidRPr="0042453B">
              <w:rPr>
                <w:rFonts w:ascii="Arial" w:hAnsi="Arial" w:cs="Arial"/>
                <w:sz w:val="22"/>
                <w:szCs w:val="22"/>
              </w:rPr>
              <w:t>Jednotka:</w:t>
            </w:r>
          </w:p>
        </w:tc>
        <w:tc>
          <w:tcPr>
            <w:tcW w:w="6486" w:type="dxa"/>
          </w:tcPr>
          <w:p w14:paraId="2CB2C52B" w14:textId="77777777" w:rsidR="00D97F70" w:rsidRPr="0042453B" w:rsidRDefault="00323046" w:rsidP="00642448">
            <w:pPr>
              <w:spacing w:line="276" w:lineRule="auto"/>
              <w:jc w:val="both"/>
              <w:rPr>
                <w:rFonts w:ascii="Arial" w:hAnsi="Arial" w:cs="Arial"/>
                <w:sz w:val="22"/>
                <w:szCs w:val="22"/>
              </w:rPr>
            </w:pPr>
            <w:r>
              <w:rPr>
                <w:rFonts w:ascii="Arial" w:hAnsi="Arial" w:cs="Arial"/>
                <w:sz w:val="22"/>
                <w:szCs w:val="22"/>
              </w:rPr>
              <w:t xml:space="preserve">Podíl (v </w:t>
            </w:r>
            <w:r w:rsidR="00D97F70" w:rsidRPr="0042453B">
              <w:rPr>
                <w:rFonts w:ascii="Arial" w:hAnsi="Arial" w:cs="Arial"/>
                <w:sz w:val="22"/>
                <w:szCs w:val="22"/>
              </w:rPr>
              <w:t>%</w:t>
            </w:r>
            <w:r>
              <w:rPr>
                <w:rFonts w:ascii="Arial" w:hAnsi="Arial" w:cs="Arial"/>
                <w:sz w:val="22"/>
                <w:szCs w:val="22"/>
              </w:rPr>
              <w:t>)</w:t>
            </w:r>
          </w:p>
        </w:tc>
      </w:tr>
      <w:tr w:rsidR="00D97F70" w:rsidRPr="0042453B" w14:paraId="37909B0C" w14:textId="77777777" w:rsidTr="00741C7D">
        <w:tc>
          <w:tcPr>
            <w:tcW w:w="2802" w:type="dxa"/>
          </w:tcPr>
          <w:p w14:paraId="599554A1" w14:textId="77777777" w:rsidR="00D97F70" w:rsidRPr="0042453B" w:rsidRDefault="00D97F70" w:rsidP="00323046">
            <w:pPr>
              <w:spacing w:line="276" w:lineRule="auto"/>
              <w:rPr>
                <w:rFonts w:ascii="Arial" w:hAnsi="Arial" w:cs="Arial"/>
                <w:sz w:val="22"/>
                <w:szCs w:val="22"/>
              </w:rPr>
            </w:pPr>
            <w:r w:rsidRPr="0042453B">
              <w:rPr>
                <w:rFonts w:ascii="Arial" w:hAnsi="Arial" w:cs="Arial"/>
                <w:sz w:val="22"/>
                <w:szCs w:val="22"/>
              </w:rPr>
              <w:t xml:space="preserve">Gestor: </w:t>
            </w:r>
          </w:p>
        </w:tc>
        <w:tc>
          <w:tcPr>
            <w:tcW w:w="6486" w:type="dxa"/>
          </w:tcPr>
          <w:p w14:paraId="50DC896A" w14:textId="77777777" w:rsidR="00D97F70" w:rsidRPr="0042453B" w:rsidRDefault="00323046" w:rsidP="00642448">
            <w:pPr>
              <w:spacing w:line="276" w:lineRule="auto"/>
              <w:jc w:val="both"/>
              <w:rPr>
                <w:rFonts w:ascii="Arial" w:hAnsi="Arial" w:cs="Arial"/>
                <w:sz w:val="22"/>
                <w:szCs w:val="22"/>
              </w:rPr>
            </w:pPr>
            <w:r>
              <w:rPr>
                <w:rFonts w:ascii="Arial" w:hAnsi="Arial" w:cs="Arial"/>
                <w:sz w:val="22"/>
                <w:szCs w:val="22"/>
              </w:rPr>
              <w:t>Ministerstvo zahraničních věcí</w:t>
            </w:r>
          </w:p>
        </w:tc>
      </w:tr>
      <w:tr w:rsidR="00D97F70" w:rsidRPr="0042453B" w14:paraId="04A7BFE4" w14:textId="77777777" w:rsidTr="00741C7D">
        <w:tc>
          <w:tcPr>
            <w:tcW w:w="2802" w:type="dxa"/>
          </w:tcPr>
          <w:p w14:paraId="4198F8A5" w14:textId="77777777" w:rsidR="00D97F70" w:rsidRPr="0042453B" w:rsidRDefault="00D97F70" w:rsidP="00323046">
            <w:pPr>
              <w:spacing w:line="276" w:lineRule="auto"/>
              <w:rPr>
                <w:rFonts w:ascii="Arial" w:hAnsi="Arial" w:cs="Arial"/>
                <w:sz w:val="22"/>
                <w:szCs w:val="22"/>
              </w:rPr>
            </w:pPr>
            <w:r w:rsidRPr="0042453B">
              <w:rPr>
                <w:rFonts w:ascii="Arial" w:hAnsi="Arial" w:cs="Arial"/>
                <w:sz w:val="22"/>
                <w:szCs w:val="22"/>
              </w:rPr>
              <w:t xml:space="preserve">Význam indikátoru: </w:t>
            </w:r>
          </w:p>
        </w:tc>
        <w:tc>
          <w:tcPr>
            <w:tcW w:w="6486" w:type="dxa"/>
          </w:tcPr>
          <w:p w14:paraId="2487B141" w14:textId="77777777" w:rsidR="00D97F70" w:rsidRPr="0042453B" w:rsidRDefault="00D97F70" w:rsidP="00642448">
            <w:pPr>
              <w:spacing w:line="276" w:lineRule="auto"/>
              <w:jc w:val="both"/>
              <w:rPr>
                <w:rFonts w:ascii="Arial" w:hAnsi="Arial" w:cs="Arial"/>
                <w:sz w:val="22"/>
                <w:szCs w:val="22"/>
              </w:rPr>
            </w:pPr>
            <w:r w:rsidRPr="0042453B">
              <w:rPr>
                <w:rFonts w:ascii="Arial" w:hAnsi="Arial" w:cs="Arial"/>
                <w:sz w:val="22"/>
                <w:szCs w:val="22"/>
              </w:rPr>
              <w:t>Indikátor bude ilustrovat, do jaké míry bude průřezový cíl ČR naplňován</w:t>
            </w:r>
          </w:p>
        </w:tc>
      </w:tr>
      <w:tr w:rsidR="00D97F70" w:rsidRPr="0042453B" w14:paraId="0A126EEB" w14:textId="77777777" w:rsidTr="00741C7D">
        <w:tc>
          <w:tcPr>
            <w:tcW w:w="2802" w:type="dxa"/>
          </w:tcPr>
          <w:p w14:paraId="327946ED" w14:textId="77777777" w:rsidR="00D97F70" w:rsidRPr="0042453B" w:rsidRDefault="00D97F70" w:rsidP="00323046">
            <w:pPr>
              <w:spacing w:line="276" w:lineRule="auto"/>
              <w:rPr>
                <w:rFonts w:ascii="Arial" w:hAnsi="Arial" w:cs="Arial"/>
                <w:sz w:val="22"/>
                <w:szCs w:val="22"/>
              </w:rPr>
            </w:pPr>
            <w:r w:rsidRPr="0042453B">
              <w:rPr>
                <w:rFonts w:ascii="Arial" w:hAnsi="Arial" w:cs="Arial"/>
                <w:sz w:val="22"/>
                <w:szCs w:val="22"/>
              </w:rPr>
              <w:t xml:space="preserve">Časová řada: </w:t>
            </w:r>
          </w:p>
        </w:tc>
        <w:tc>
          <w:tcPr>
            <w:tcW w:w="6486" w:type="dxa"/>
          </w:tcPr>
          <w:p w14:paraId="71A2B54E" w14:textId="77777777" w:rsidR="00D97F70" w:rsidRPr="0042453B" w:rsidRDefault="00D97F70" w:rsidP="00642448">
            <w:pPr>
              <w:spacing w:line="276" w:lineRule="auto"/>
              <w:jc w:val="both"/>
              <w:rPr>
                <w:rFonts w:ascii="Arial" w:hAnsi="Arial" w:cs="Arial"/>
                <w:sz w:val="22"/>
                <w:szCs w:val="22"/>
              </w:rPr>
            </w:pPr>
            <w:r w:rsidRPr="0042453B">
              <w:rPr>
                <w:rFonts w:ascii="Arial" w:hAnsi="Arial" w:cs="Arial"/>
                <w:sz w:val="22"/>
                <w:szCs w:val="22"/>
              </w:rPr>
              <w:t>Neexistuje (Cíle schváleny 2015).</w:t>
            </w:r>
          </w:p>
        </w:tc>
      </w:tr>
      <w:tr w:rsidR="00D97F70" w:rsidRPr="0042453B" w14:paraId="0A8C4C34" w14:textId="77777777" w:rsidTr="00741C7D">
        <w:tc>
          <w:tcPr>
            <w:tcW w:w="2802" w:type="dxa"/>
          </w:tcPr>
          <w:p w14:paraId="0035F156" w14:textId="77777777" w:rsidR="00D97F70" w:rsidRPr="0042453B" w:rsidRDefault="00D97F70" w:rsidP="00323046">
            <w:pPr>
              <w:spacing w:line="276" w:lineRule="auto"/>
              <w:rPr>
                <w:rFonts w:ascii="Arial" w:hAnsi="Arial" w:cs="Arial"/>
                <w:sz w:val="22"/>
                <w:szCs w:val="22"/>
              </w:rPr>
            </w:pPr>
            <w:r w:rsidRPr="0042453B">
              <w:rPr>
                <w:rFonts w:ascii="Arial" w:hAnsi="Arial" w:cs="Arial"/>
                <w:sz w:val="22"/>
                <w:szCs w:val="22"/>
              </w:rPr>
              <w:t xml:space="preserve">Frekvence výstupu: </w:t>
            </w:r>
          </w:p>
        </w:tc>
        <w:tc>
          <w:tcPr>
            <w:tcW w:w="6486" w:type="dxa"/>
          </w:tcPr>
          <w:p w14:paraId="30781A0E" w14:textId="77777777" w:rsidR="00D97F70" w:rsidRPr="0042453B" w:rsidRDefault="00D97F70" w:rsidP="00642448">
            <w:pPr>
              <w:spacing w:line="276" w:lineRule="auto"/>
              <w:jc w:val="both"/>
              <w:rPr>
                <w:rFonts w:ascii="Arial" w:hAnsi="Arial" w:cs="Arial"/>
                <w:sz w:val="22"/>
                <w:szCs w:val="22"/>
              </w:rPr>
            </w:pPr>
            <w:r w:rsidRPr="0042453B">
              <w:rPr>
                <w:rFonts w:ascii="Arial" w:hAnsi="Arial" w:cs="Arial"/>
                <w:sz w:val="22"/>
                <w:szCs w:val="22"/>
              </w:rPr>
              <w:t>Stejně jako u ODA/HND</w:t>
            </w:r>
          </w:p>
        </w:tc>
      </w:tr>
      <w:tr w:rsidR="00D97F70" w:rsidRPr="0042453B" w14:paraId="798B6452" w14:textId="77777777" w:rsidTr="00741C7D">
        <w:trPr>
          <w:trHeight w:val="70"/>
        </w:trPr>
        <w:tc>
          <w:tcPr>
            <w:tcW w:w="2802" w:type="dxa"/>
          </w:tcPr>
          <w:p w14:paraId="435422D5" w14:textId="77777777" w:rsidR="00D97F70" w:rsidRPr="0042453B" w:rsidRDefault="00D97F70" w:rsidP="00323046">
            <w:pPr>
              <w:spacing w:line="276" w:lineRule="auto"/>
              <w:rPr>
                <w:rFonts w:ascii="Arial" w:hAnsi="Arial" w:cs="Arial"/>
                <w:sz w:val="22"/>
                <w:szCs w:val="22"/>
              </w:rPr>
            </w:pPr>
            <w:r w:rsidRPr="0042453B">
              <w:rPr>
                <w:rFonts w:ascii="Arial" w:hAnsi="Arial" w:cs="Arial"/>
                <w:sz w:val="22"/>
                <w:szCs w:val="22"/>
              </w:rPr>
              <w:t xml:space="preserve">Členění indikátoru: </w:t>
            </w:r>
          </w:p>
        </w:tc>
        <w:tc>
          <w:tcPr>
            <w:tcW w:w="6486" w:type="dxa"/>
          </w:tcPr>
          <w:p w14:paraId="0DC92B36" w14:textId="77777777" w:rsidR="00D97F70" w:rsidRPr="0042453B" w:rsidRDefault="00323046" w:rsidP="00642448">
            <w:pPr>
              <w:spacing w:line="276" w:lineRule="auto"/>
              <w:jc w:val="both"/>
              <w:rPr>
                <w:rFonts w:ascii="Arial" w:hAnsi="Arial" w:cs="Arial"/>
                <w:sz w:val="22"/>
                <w:szCs w:val="22"/>
              </w:rPr>
            </w:pPr>
            <w:r>
              <w:rPr>
                <w:rFonts w:ascii="Arial" w:hAnsi="Arial" w:cs="Arial"/>
                <w:sz w:val="22"/>
                <w:szCs w:val="22"/>
              </w:rPr>
              <w:t>-</w:t>
            </w:r>
          </w:p>
        </w:tc>
      </w:tr>
      <w:tr w:rsidR="00D97F70" w:rsidRPr="0042453B" w14:paraId="349FCE67" w14:textId="77777777" w:rsidTr="00741C7D">
        <w:trPr>
          <w:trHeight w:val="70"/>
        </w:trPr>
        <w:tc>
          <w:tcPr>
            <w:tcW w:w="2802" w:type="dxa"/>
          </w:tcPr>
          <w:p w14:paraId="73949659" w14:textId="77777777" w:rsidR="00D97F70" w:rsidRPr="0042453B" w:rsidRDefault="00D97F70" w:rsidP="00323046">
            <w:pPr>
              <w:spacing w:line="276" w:lineRule="auto"/>
              <w:rPr>
                <w:rFonts w:ascii="Arial" w:hAnsi="Arial" w:cs="Arial"/>
                <w:sz w:val="22"/>
                <w:szCs w:val="22"/>
              </w:rPr>
            </w:pPr>
            <w:r w:rsidRPr="0042453B">
              <w:rPr>
                <w:rFonts w:ascii="Arial" w:hAnsi="Arial" w:cs="Arial"/>
                <w:sz w:val="22"/>
                <w:szCs w:val="22"/>
              </w:rPr>
              <w:t>Mezinárodní srovnání:</w:t>
            </w:r>
          </w:p>
        </w:tc>
        <w:tc>
          <w:tcPr>
            <w:tcW w:w="6486" w:type="dxa"/>
          </w:tcPr>
          <w:p w14:paraId="2658B837" w14:textId="77777777" w:rsidR="00D97F70" w:rsidRPr="0042453B" w:rsidRDefault="00323046" w:rsidP="00323046">
            <w:pPr>
              <w:spacing w:line="276" w:lineRule="auto"/>
              <w:rPr>
                <w:rFonts w:ascii="Arial" w:hAnsi="Arial" w:cs="Arial"/>
                <w:sz w:val="22"/>
                <w:szCs w:val="22"/>
              </w:rPr>
            </w:pPr>
            <w:r>
              <w:rPr>
                <w:rFonts w:ascii="Arial" w:hAnsi="Arial" w:cs="Arial"/>
                <w:sz w:val="22"/>
                <w:szCs w:val="22"/>
              </w:rPr>
              <w:t>-</w:t>
            </w:r>
            <w:r w:rsidR="00D97F70">
              <w:rPr>
                <w:rFonts w:ascii="Arial" w:hAnsi="Arial" w:cs="Arial"/>
                <w:sz w:val="22"/>
                <w:szCs w:val="22"/>
              </w:rPr>
              <w:t xml:space="preserve"> </w:t>
            </w:r>
          </w:p>
        </w:tc>
      </w:tr>
    </w:tbl>
    <w:p w14:paraId="71BE16A3" w14:textId="77777777" w:rsidR="00D97F70" w:rsidRPr="00BA1A47" w:rsidRDefault="00D97F70" w:rsidP="00642448">
      <w:pPr>
        <w:pStyle w:val="r2030podcle"/>
        <w:numPr>
          <w:ilvl w:val="1"/>
          <w:numId w:val="17"/>
        </w:numPr>
        <w:ind w:left="567" w:hanging="425"/>
        <w:rPr>
          <w:rFonts w:eastAsia="Calibri"/>
          <w:lang w:eastAsia="en-US"/>
        </w:rPr>
      </w:pPr>
      <w:r w:rsidRPr="00BA1A47">
        <w:rPr>
          <w:rFonts w:eastAsia="Calibri"/>
          <w:lang w:eastAsia="en-US"/>
        </w:rPr>
        <w:t xml:space="preserve">Česká republika posiluje svou přidanou hodnotu pro působení v mezinárodních organizacích a Evropské unii.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2"/>
        <w:gridCol w:w="6486"/>
      </w:tblGrid>
      <w:tr w:rsidR="00D97F70" w:rsidRPr="0042453B" w14:paraId="77704070" w14:textId="77777777" w:rsidTr="00741C7D">
        <w:tc>
          <w:tcPr>
            <w:tcW w:w="2802" w:type="dxa"/>
          </w:tcPr>
          <w:p w14:paraId="24776786" w14:textId="77777777" w:rsidR="00D97F70" w:rsidRPr="0042453B" w:rsidRDefault="00D97F70" w:rsidP="00642448">
            <w:pPr>
              <w:spacing w:line="276" w:lineRule="auto"/>
              <w:rPr>
                <w:rFonts w:ascii="Arial" w:hAnsi="Arial" w:cs="Arial"/>
                <w:sz w:val="22"/>
                <w:szCs w:val="22"/>
                <w:lang w:eastAsia="en-US"/>
              </w:rPr>
            </w:pPr>
            <w:r w:rsidRPr="0042453B">
              <w:rPr>
                <w:rFonts w:ascii="Arial" w:hAnsi="Arial" w:cs="Arial"/>
                <w:sz w:val="22"/>
                <w:szCs w:val="22"/>
                <w:lang w:eastAsia="en-US"/>
              </w:rPr>
              <w:t xml:space="preserve">Název a označení indikátoru: </w:t>
            </w:r>
          </w:p>
        </w:tc>
        <w:tc>
          <w:tcPr>
            <w:tcW w:w="6486" w:type="dxa"/>
          </w:tcPr>
          <w:p w14:paraId="13CB4059" w14:textId="77777777" w:rsidR="00D97F70" w:rsidRPr="00642448" w:rsidRDefault="00323046" w:rsidP="00C91095">
            <w:pPr>
              <w:pStyle w:val="r2030nelovan"/>
              <w:rPr>
                <w:b/>
              </w:rPr>
            </w:pPr>
            <w:r w:rsidRPr="00642448">
              <w:rPr>
                <w:b/>
              </w:rPr>
              <w:t>21</w:t>
            </w:r>
            <w:r w:rsidR="00BA1A47" w:rsidRPr="00642448">
              <w:rPr>
                <w:b/>
              </w:rPr>
              <w:t xml:space="preserve">.3.1 </w:t>
            </w:r>
            <w:r w:rsidR="00D97F70" w:rsidRPr="00642448">
              <w:rPr>
                <w:b/>
              </w:rPr>
              <w:t xml:space="preserve">Zastoupení ČR ve volených orgánech nejvýznamnějších mezinárodních organizací relevantních pro udržitelný rozvoj. </w:t>
            </w:r>
          </w:p>
        </w:tc>
      </w:tr>
      <w:tr w:rsidR="00D97F70" w:rsidRPr="0042453B" w14:paraId="52651B2B" w14:textId="77777777" w:rsidTr="00741C7D">
        <w:tc>
          <w:tcPr>
            <w:tcW w:w="2802" w:type="dxa"/>
          </w:tcPr>
          <w:p w14:paraId="28650C0A" w14:textId="77777777" w:rsidR="00D97F70" w:rsidRPr="0042453B" w:rsidRDefault="00D97F70" w:rsidP="00642448">
            <w:pPr>
              <w:spacing w:line="276" w:lineRule="auto"/>
              <w:rPr>
                <w:rFonts w:ascii="Arial" w:hAnsi="Arial" w:cs="Arial"/>
                <w:sz w:val="22"/>
                <w:szCs w:val="22"/>
                <w:lang w:eastAsia="en-US"/>
              </w:rPr>
            </w:pPr>
            <w:r w:rsidRPr="0042453B">
              <w:rPr>
                <w:rFonts w:ascii="Arial" w:hAnsi="Arial" w:cs="Arial"/>
                <w:sz w:val="22"/>
                <w:szCs w:val="22"/>
                <w:lang w:eastAsia="en-US"/>
              </w:rPr>
              <w:t xml:space="preserve">Stručná definice: </w:t>
            </w:r>
          </w:p>
        </w:tc>
        <w:tc>
          <w:tcPr>
            <w:tcW w:w="6486" w:type="dxa"/>
          </w:tcPr>
          <w:p w14:paraId="478B9F25" w14:textId="77777777" w:rsidR="00D97F70" w:rsidRPr="0042453B" w:rsidRDefault="00D97F70" w:rsidP="00C51B65">
            <w:pPr>
              <w:spacing w:line="276" w:lineRule="auto"/>
              <w:jc w:val="both"/>
              <w:rPr>
                <w:rFonts w:ascii="Arial" w:hAnsi="Arial" w:cs="Arial"/>
                <w:sz w:val="22"/>
                <w:szCs w:val="22"/>
                <w:lang w:eastAsia="en-US"/>
              </w:rPr>
            </w:pPr>
            <w:r w:rsidRPr="0042453B">
              <w:rPr>
                <w:rFonts w:ascii="Arial" w:hAnsi="Arial" w:cs="Arial"/>
                <w:sz w:val="22"/>
                <w:szCs w:val="22"/>
                <w:lang w:eastAsia="en-US"/>
              </w:rPr>
              <w:t xml:space="preserve">Jedním z nejvýznamnějších nástrojů, kterým může ČR ovlivňovat agendu udržitelného rozvoje v globálním měřítku, je působení ve volených orgánech mezinárodních organizací relevantních pro udržitelný rozvoj. </w:t>
            </w:r>
          </w:p>
        </w:tc>
      </w:tr>
      <w:tr w:rsidR="00D97F70" w:rsidRPr="0042453B" w14:paraId="4BCC7186" w14:textId="77777777" w:rsidTr="00741C7D">
        <w:tc>
          <w:tcPr>
            <w:tcW w:w="2802" w:type="dxa"/>
          </w:tcPr>
          <w:p w14:paraId="0BD01A77" w14:textId="77777777" w:rsidR="00D97F70" w:rsidRPr="0042453B" w:rsidRDefault="00D97F70" w:rsidP="00642448">
            <w:pPr>
              <w:spacing w:line="276" w:lineRule="auto"/>
              <w:rPr>
                <w:rFonts w:ascii="Arial" w:hAnsi="Arial" w:cs="Arial"/>
                <w:sz w:val="22"/>
                <w:szCs w:val="22"/>
                <w:lang w:eastAsia="en-US"/>
              </w:rPr>
            </w:pPr>
            <w:r w:rsidRPr="0042453B">
              <w:rPr>
                <w:rFonts w:ascii="Arial" w:hAnsi="Arial" w:cs="Arial"/>
                <w:sz w:val="22"/>
                <w:szCs w:val="22"/>
                <w:lang w:eastAsia="en-US"/>
              </w:rPr>
              <w:t>Jednotka:</w:t>
            </w:r>
          </w:p>
        </w:tc>
        <w:tc>
          <w:tcPr>
            <w:tcW w:w="6486" w:type="dxa"/>
          </w:tcPr>
          <w:p w14:paraId="4993F28A" w14:textId="77777777" w:rsidR="00D97F70" w:rsidRPr="0042453B" w:rsidRDefault="00D97F70" w:rsidP="00C51B65">
            <w:pPr>
              <w:spacing w:line="276" w:lineRule="auto"/>
              <w:jc w:val="both"/>
              <w:rPr>
                <w:rFonts w:ascii="Arial" w:hAnsi="Arial" w:cs="Arial"/>
                <w:sz w:val="22"/>
                <w:szCs w:val="22"/>
                <w:lang w:eastAsia="en-US"/>
              </w:rPr>
            </w:pPr>
            <w:r w:rsidRPr="0042453B">
              <w:rPr>
                <w:rFonts w:ascii="Arial" w:hAnsi="Arial" w:cs="Arial"/>
                <w:sz w:val="22"/>
                <w:szCs w:val="22"/>
                <w:lang w:eastAsia="en-US"/>
              </w:rPr>
              <w:t>Seznam pozic, do nichž byla zvolena ČR a/nebo její zástupce (uváděním pouhého počtu by sebraná data neměla význam)</w:t>
            </w:r>
          </w:p>
        </w:tc>
      </w:tr>
      <w:tr w:rsidR="00D97F70" w:rsidRPr="0042453B" w14:paraId="12A71C53" w14:textId="77777777" w:rsidTr="00741C7D">
        <w:tc>
          <w:tcPr>
            <w:tcW w:w="2802" w:type="dxa"/>
          </w:tcPr>
          <w:p w14:paraId="7D2BEFE7" w14:textId="77777777" w:rsidR="00D97F70" w:rsidRPr="0042453B" w:rsidRDefault="00D97F70" w:rsidP="00642448">
            <w:pPr>
              <w:spacing w:line="276" w:lineRule="auto"/>
              <w:rPr>
                <w:rFonts w:ascii="Arial" w:hAnsi="Arial" w:cs="Arial"/>
                <w:sz w:val="22"/>
                <w:szCs w:val="22"/>
                <w:lang w:eastAsia="en-US"/>
              </w:rPr>
            </w:pPr>
            <w:r w:rsidRPr="0042453B">
              <w:rPr>
                <w:rFonts w:ascii="Arial" w:hAnsi="Arial" w:cs="Arial"/>
                <w:sz w:val="22"/>
                <w:szCs w:val="22"/>
                <w:lang w:eastAsia="en-US"/>
              </w:rPr>
              <w:t xml:space="preserve">Gestor: </w:t>
            </w:r>
          </w:p>
        </w:tc>
        <w:tc>
          <w:tcPr>
            <w:tcW w:w="6486" w:type="dxa"/>
          </w:tcPr>
          <w:p w14:paraId="199F6309" w14:textId="77777777" w:rsidR="00D97F70" w:rsidRPr="0042453B" w:rsidRDefault="003F7F7A" w:rsidP="00B36224">
            <w:pPr>
              <w:spacing w:line="276" w:lineRule="auto"/>
              <w:jc w:val="both"/>
              <w:rPr>
                <w:rFonts w:ascii="Arial" w:hAnsi="Arial" w:cs="Arial"/>
                <w:sz w:val="22"/>
                <w:szCs w:val="22"/>
                <w:lang w:eastAsia="en-US"/>
              </w:rPr>
            </w:pPr>
            <w:r>
              <w:rPr>
                <w:rFonts w:ascii="Arial" w:hAnsi="Arial" w:cs="Arial"/>
                <w:sz w:val="22"/>
                <w:szCs w:val="22"/>
                <w:lang w:eastAsia="en-US"/>
              </w:rPr>
              <w:t>Ministerstvo zahraničních věcí</w:t>
            </w:r>
          </w:p>
        </w:tc>
      </w:tr>
      <w:tr w:rsidR="00D97F70" w:rsidRPr="0042453B" w14:paraId="729148D6" w14:textId="77777777" w:rsidTr="00741C7D">
        <w:tc>
          <w:tcPr>
            <w:tcW w:w="2802" w:type="dxa"/>
          </w:tcPr>
          <w:p w14:paraId="2FF65DA4" w14:textId="77777777" w:rsidR="00D97F70" w:rsidRPr="0042453B" w:rsidRDefault="00D97F70" w:rsidP="00642448">
            <w:pPr>
              <w:spacing w:line="276" w:lineRule="auto"/>
              <w:rPr>
                <w:rFonts w:ascii="Arial" w:hAnsi="Arial" w:cs="Arial"/>
                <w:sz w:val="22"/>
                <w:szCs w:val="22"/>
                <w:lang w:eastAsia="en-US"/>
              </w:rPr>
            </w:pPr>
            <w:r w:rsidRPr="0042453B">
              <w:rPr>
                <w:rFonts w:ascii="Arial" w:hAnsi="Arial" w:cs="Arial"/>
                <w:sz w:val="22"/>
                <w:szCs w:val="22"/>
                <w:lang w:eastAsia="en-US"/>
              </w:rPr>
              <w:t xml:space="preserve">Význam indikátoru: </w:t>
            </w:r>
          </w:p>
        </w:tc>
        <w:tc>
          <w:tcPr>
            <w:tcW w:w="6486" w:type="dxa"/>
          </w:tcPr>
          <w:p w14:paraId="19732CFB" w14:textId="77777777" w:rsidR="00D97F70" w:rsidRPr="0042453B" w:rsidRDefault="00D97F70" w:rsidP="00C51B65">
            <w:pPr>
              <w:spacing w:line="276" w:lineRule="auto"/>
              <w:jc w:val="both"/>
              <w:rPr>
                <w:rFonts w:ascii="Arial" w:hAnsi="Arial" w:cs="Arial"/>
                <w:sz w:val="22"/>
                <w:szCs w:val="22"/>
                <w:lang w:eastAsia="en-US"/>
              </w:rPr>
            </w:pPr>
            <w:r w:rsidRPr="0042453B">
              <w:rPr>
                <w:rFonts w:ascii="Arial" w:hAnsi="Arial" w:cs="Arial"/>
                <w:sz w:val="22"/>
                <w:szCs w:val="22"/>
                <w:lang w:eastAsia="en-US"/>
              </w:rPr>
              <w:t>Přehled působení ČR ve volených orgánech mezinárodních organizací relevantních pro udržitelný rozvoj napříč resorty i tématy zvýší možnost koordinace působení v těchto orgánech a tím i multiplikaci výsledků ve prospěch ČR.</w:t>
            </w:r>
          </w:p>
        </w:tc>
      </w:tr>
      <w:tr w:rsidR="00D97F70" w:rsidRPr="0042453B" w14:paraId="0A01A86F" w14:textId="77777777" w:rsidTr="00741C7D">
        <w:tc>
          <w:tcPr>
            <w:tcW w:w="2802" w:type="dxa"/>
          </w:tcPr>
          <w:p w14:paraId="4AA427A9" w14:textId="77777777" w:rsidR="00D97F70" w:rsidRPr="0042453B" w:rsidRDefault="00D97F70" w:rsidP="00642448">
            <w:pPr>
              <w:spacing w:line="276" w:lineRule="auto"/>
              <w:rPr>
                <w:rFonts w:ascii="Arial" w:hAnsi="Arial" w:cs="Arial"/>
                <w:sz w:val="22"/>
                <w:szCs w:val="22"/>
                <w:lang w:eastAsia="en-US"/>
              </w:rPr>
            </w:pPr>
            <w:r w:rsidRPr="0042453B">
              <w:rPr>
                <w:rFonts w:ascii="Arial" w:hAnsi="Arial" w:cs="Arial"/>
                <w:sz w:val="22"/>
                <w:szCs w:val="22"/>
                <w:lang w:eastAsia="en-US"/>
              </w:rPr>
              <w:t xml:space="preserve">Časová řada: </w:t>
            </w:r>
          </w:p>
        </w:tc>
        <w:tc>
          <w:tcPr>
            <w:tcW w:w="6486" w:type="dxa"/>
          </w:tcPr>
          <w:p w14:paraId="16926A38" w14:textId="77777777" w:rsidR="00D97F70" w:rsidRPr="0042453B" w:rsidRDefault="00D97F70" w:rsidP="00C51B65">
            <w:pPr>
              <w:spacing w:line="276" w:lineRule="auto"/>
              <w:jc w:val="both"/>
              <w:rPr>
                <w:rFonts w:ascii="Arial" w:hAnsi="Arial" w:cs="Arial"/>
                <w:sz w:val="22"/>
                <w:szCs w:val="22"/>
                <w:lang w:eastAsia="en-US"/>
              </w:rPr>
            </w:pPr>
            <w:r w:rsidRPr="0042453B">
              <w:rPr>
                <w:rFonts w:ascii="Arial" w:hAnsi="Arial" w:cs="Arial"/>
                <w:sz w:val="22"/>
                <w:szCs w:val="22"/>
                <w:lang w:eastAsia="en-US"/>
              </w:rPr>
              <w:t>Neexistuje</w:t>
            </w:r>
            <w:r>
              <w:rPr>
                <w:rFonts w:ascii="Arial" w:hAnsi="Arial" w:cs="Arial"/>
                <w:sz w:val="22"/>
                <w:szCs w:val="22"/>
                <w:lang w:eastAsia="en-US"/>
              </w:rPr>
              <w:t xml:space="preserve">. </w:t>
            </w:r>
          </w:p>
        </w:tc>
      </w:tr>
      <w:tr w:rsidR="00D97F70" w:rsidRPr="0042453B" w14:paraId="6B98643D" w14:textId="77777777" w:rsidTr="00741C7D">
        <w:tc>
          <w:tcPr>
            <w:tcW w:w="2802" w:type="dxa"/>
          </w:tcPr>
          <w:p w14:paraId="7CA765BD" w14:textId="77777777" w:rsidR="00D97F70" w:rsidRPr="0042453B" w:rsidRDefault="00D97F70" w:rsidP="00642448">
            <w:pPr>
              <w:spacing w:line="276" w:lineRule="auto"/>
              <w:rPr>
                <w:rFonts w:ascii="Arial" w:hAnsi="Arial" w:cs="Arial"/>
                <w:sz w:val="22"/>
                <w:szCs w:val="22"/>
                <w:lang w:eastAsia="en-US"/>
              </w:rPr>
            </w:pPr>
            <w:r w:rsidRPr="0042453B">
              <w:rPr>
                <w:rFonts w:ascii="Arial" w:hAnsi="Arial" w:cs="Arial"/>
                <w:sz w:val="22"/>
                <w:szCs w:val="22"/>
                <w:lang w:eastAsia="en-US"/>
              </w:rPr>
              <w:t xml:space="preserve">Frekvence výstupu: </w:t>
            </w:r>
          </w:p>
        </w:tc>
        <w:tc>
          <w:tcPr>
            <w:tcW w:w="6486" w:type="dxa"/>
          </w:tcPr>
          <w:p w14:paraId="3CF70570" w14:textId="77777777" w:rsidR="00D97F70" w:rsidRPr="0042453B" w:rsidRDefault="00D97F70" w:rsidP="00C51B65">
            <w:pPr>
              <w:spacing w:line="276" w:lineRule="auto"/>
              <w:jc w:val="both"/>
              <w:rPr>
                <w:rFonts w:ascii="Arial" w:hAnsi="Arial" w:cs="Arial"/>
                <w:sz w:val="22"/>
                <w:szCs w:val="22"/>
                <w:lang w:eastAsia="en-US"/>
              </w:rPr>
            </w:pPr>
            <w:r w:rsidRPr="0042453B">
              <w:rPr>
                <w:rFonts w:ascii="Arial" w:hAnsi="Arial" w:cs="Arial"/>
                <w:sz w:val="22"/>
                <w:szCs w:val="22"/>
                <w:lang w:eastAsia="en-US"/>
              </w:rPr>
              <w:t>1x ročně</w:t>
            </w:r>
          </w:p>
        </w:tc>
      </w:tr>
      <w:tr w:rsidR="00D97F70" w:rsidRPr="0042453B" w14:paraId="75E3CB9C" w14:textId="77777777" w:rsidTr="00741C7D">
        <w:trPr>
          <w:trHeight w:val="70"/>
        </w:trPr>
        <w:tc>
          <w:tcPr>
            <w:tcW w:w="2802" w:type="dxa"/>
          </w:tcPr>
          <w:p w14:paraId="504A6E19" w14:textId="77777777" w:rsidR="00D97F70" w:rsidRPr="0042453B" w:rsidRDefault="00D97F70" w:rsidP="00642448">
            <w:pPr>
              <w:spacing w:line="276" w:lineRule="auto"/>
              <w:rPr>
                <w:rFonts w:ascii="Arial" w:hAnsi="Arial" w:cs="Arial"/>
                <w:sz w:val="22"/>
                <w:szCs w:val="22"/>
                <w:lang w:eastAsia="en-US"/>
              </w:rPr>
            </w:pPr>
            <w:r w:rsidRPr="0042453B">
              <w:rPr>
                <w:rFonts w:ascii="Arial" w:hAnsi="Arial" w:cs="Arial"/>
                <w:sz w:val="22"/>
                <w:szCs w:val="22"/>
                <w:lang w:eastAsia="en-US"/>
              </w:rPr>
              <w:t xml:space="preserve">Členění indikátoru: </w:t>
            </w:r>
          </w:p>
        </w:tc>
        <w:tc>
          <w:tcPr>
            <w:tcW w:w="6486" w:type="dxa"/>
          </w:tcPr>
          <w:p w14:paraId="526E8B53" w14:textId="77777777" w:rsidR="00D97F70" w:rsidRPr="0042453B" w:rsidRDefault="00D97F70" w:rsidP="00C51B65">
            <w:pPr>
              <w:spacing w:line="276" w:lineRule="auto"/>
              <w:jc w:val="both"/>
              <w:rPr>
                <w:rFonts w:ascii="Arial" w:hAnsi="Arial" w:cs="Arial"/>
                <w:sz w:val="22"/>
                <w:szCs w:val="22"/>
                <w:lang w:eastAsia="en-US"/>
              </w:rPr>
            </w:pPr>
            <w:r w:rsidRPr="0042453B">
              <w:rPr>
                <w:rFonts w:ascii="Arial" w:hAnsi="Arial" w:cs="Arial"/>
                <w:sz w:val="22"/>
                <w:szCs w:val="22"/>
                <w:lang w:eastAsia="en-US"/>
              </w:rPr>
              <w:t>-</w:t>
            </w:r>
          </w:p>
        </w:tc>
      </w:tr>
      <w:tr w:rsidR="00D97F70" w:rsidRPr="0042453B" w14:paraId="1D726F88" w14:textId="77777777" w:rsidTr="00741C7D">
        <w:trPr>
          <w:trHeight w:val="70"/>
        </w:trPr>
        <w:tc>
          <w:tcPr>
            <w:tcW w:w="2802" w:type="dxa"/>
          </w:tcPr>
          <w:p w14:paraId="3F07256B" w14:textId="77777777" w:rsidR="00D97F70" w:rsidRPr="0042453B" w:rsidRDefault="00D97F70" w:rsidP="00642448">
            <w:pPr>
              <w:spacing w:line="276" w:lineRule="auto"/>
              <w:rPr>
                <w:rFonts w:ascii="Arial" w:hAnsi="Arial" w:cs="Arial"/>
                <w:sz w:val="22"/>
                <w:szCs w:val="22"/>
                <w:lang w:eastAsia="en-US"/>
              </w:rPr>
            </w:pPr>
            <w:r w:rsidRPr="0042453B">
              <w:rPr>
                <w:rFonts w:ascii="Arial" w:hAnsi="Arial" w:cs="Arial"/>
                <w:sz w:val="22"/>
                <w:szCs w:val="22"/>
                <w:lang w:eastAsia="en-US"/>
              </w:rPr>
              <w:t>Mezinárodní srovnání:</w:t>
            </w:r>
          </w:p>
        </w:tc>
        <w:tc>
          <w:tcPr>
            <w:tcW w:w="6486" w:type="dxa"/>
          </w:tcPr>
          <w:p w14:paraId="10335C8E" w14:textId="77777777" w:rsidR="00D97F70" w:rsidRPr="0042453B" w:rsidRDefault="00D97F70" w:rsidP="00C51B65">
            <w:pPr>
              <w:spacing w:line="276" w:lineRule="auto"/>
              <w:jc w:val="both"/>
              <w:rPr>
                <w:rFonts w:ascii="Arial" w:hAnsi="Arial" w:cs="Arial"/>
                <w:sz w:val="22"/>
                <w:szCs w:val="22"/>
                <w:lang w:eastAsia="en-US"/>
              </w:rPr>
            </w:pPr>
            <w:r w:rsidRPr="0042453B">
              <w:rPr>
                <w:rFonts w:ascii="Arial" w:hAnsi="Arial" w:cs="Arial"/>
                <w:sz w:val="22"/>
                <w:szCs w:val="22"/>
                <w:lang w:eastAsia="en-US"/>
              </w:rPr>
              <w:t>Nelze srovnávat – výchozí podmínky, ambice i cíle jsou velmi rozdílné</w:t>
            </w:r>
            <w:r>
              <w:rPr>
                <w:rFonts w:ascii="Arial" w:hAnsi="Arial" w:cs="Arial"/>
                <w:sz w:val="22"/>
                <w:szCs w:val="22"/>
                <w:lang w:eastAsia="en-US"/>
              </w:rPr>
              <w:t xml:space="preserve">. </w:t>
            </w:r>
          </w:p>
        </w:tc>
      </w:tr>
    </w:tbl>
    <w:p w14:paraId="4A2D73DF" w14:textId="77777777" w:rsidR="00D97F70" w:rsidRDefault="00D97F70" w:rsidP="00642448">
      <w:pPr>
        <w:pStyle w:val="r2030cle"/>
        <w:numPr>
          <w:ilvl w:val="0"/>
          <w:numId w:val="17"/>
        </w:numPr>
        <w:ind w:left="567" w:hanging="425"/>
      </w:pPr>
      <w:r w:rsidRPr="009C0D10">
        <w:lastRenderedPageBreak/>
        <w:t xml:space="preserve">Posílením koherence vnitřních politik s vnějším dopadem podporuje Česká republika globální udržitelný rozvoj. </w:t>
      </w:r>
    </w:p>
    <w:p w14:paraId="4CC30615" w14:textId="77777777" w:rsidR="00D97F70" w:rsidRPr="00323046" w:rsidRDefault="00D97F70" w:rsidP="00642448">
      <w:pPr>
        <w:pStyle w:val="r2030podcle"/>
        <w:numPr>
          <w:ilvl w:val="1"/>
          <w:numId w:val="17"/>
        </w:numPr>
        <w:ind w:left="567" w:hanging="425"/>
        <w:jc w:val="both"/>
        <w:rPr>
          <w:rFonts w:eastAsia="Calibri"/>
          <w:lang w:eastAsia="en-US"/>
        </w:rPr>
      </w:pPr>
      <w:r w:rsidRPr="00323046">
        <w:rPr>
          <w:rFonts w:eastAsia="Calibri"/>
          <w:lang w:eastAsia="en-US"/>
        </w:rPr>
        <w:t>Česká republika průběžně promítá do koncepčních dokumentů a nástrojů vnějších politik přijaté mezinárodní závazky a národní priority v oblasti udržitelného rozvoje.</w:t>
      </w:r>
    </w:p>
    <w:tbl>
      <w:tblPr>
        <w:tblStyle w:val="Mkatabulky"/>
        <w:tblW w:w="0" w:type="auto"/>
        <w:tblLook w:val="04A0" w:firstRow="1" w:lastRow="0" w:firstColumn="1" w:lastColumn="0" w:noHBand="0" w:noVBand="1"/>
      </w:tblPr>
      <w:tblGrid>
        <w:gridCol w:w="2802"/>
        <w:gridCol w:w="6486"/>
      </w:tblGrid>
      <w:tr w:rsidR="00D97F70" w:rsidRPr="0042453B" w14:paraId="35F8A73F" w14:textId="77777777" w:rsidTr="00741C7D">
        <w:tc>
          <w:tcPr>
            <w:tcW w:w="2802" w:type="dxa"/>
          </w:tcPr>
          <w:p w14:paraId="70CD25D3" w14:textId="77777777" w:rsidR="00D97F70" w:rsidRPr="0042453B" w:rsidRDefault="00D97F70" w:rsidP="00323046">
            <w:pPr>
              <w:spacing w:line="276" w:lineRule="auto"/>
              <w:rPr>
                <w:rFonts w:ascii="Arial" w:hAnsi="Arial" w:cs="Arial"/>
                <w:sz w:val="22"/>
                <w:szCs w:val="22"/>
              </w:rPr>
            </w:pPr>
            <w:r w:rsidRPr="0042453B">
              <w:rPr>
                <w:rFonts w:ascii="Arial" w:hAnsi="Arial" w:cs="Arial"/>
                <w:sz w:val="22"/>
                <w:szCs w:val="22"/>
              </w:rPr>
              <w:t xml:space="preserve">Název a označení indikátoru: </w:t>
            </w:r>
          </w:p>
        </w:tc>
        <w:tc>
          <w:tcPr>
            <w:tcW w:w="6486" w:type="dxa"/>
          </w:tcPr>
          <w:p w14:paraId="0930F376" w14:textId="77777777" w:rsidR="00D97F70" w:rsidRPr="00642448" w:rsidRDefault="00323046" w:rsidP="00C91095">
            <w:pPr>
              <w:pStyle w:val="r2030nelovan"/>
              <w:rPr>
                <w:rFonts w:eastAsia="Arial"/>
                <w:b/>
              </w:rPr>
            </w:pPr>
            <w:r w:rsidRPr="00642448">
              <w:rPr>
                <w:b/>
              </w:rPr>
              <w:t>22</w:t>
            </w:r>
            <w:r w:rsidR="00BA1A47" w:rsidRPr="00642448">
              <w:rPr>
                <w:b/>
              </w:rPr>
              <w:t xml:space="preserve">.1.1 </w:t>
            </w:r>
            <w:r w:rsidR="005808F9" w:rsidRPr="00642448">
              <w:rPr>
                <w:b/>
              </w:rPr>
              <w:t xml:space="preserve">Soulad koncepčních dokumentů a programů vnějších politik České republiky s přijatými mezinárodními závazky a národními prioritami v oblasti udržitelného rozvoje </w:t>
            </w:r>
            <w:r w:rsidR="00D97F70" w:rsidRPr="00642448">
              <w:rPr>
                <w:b/>
              </w:rPr>
              <w:t xml:space="preserve"> </w:t>
            </w:r>
          </w:p>
        </w:tc>
      </w:tr>
      <w:tr w:rsidR="005808F9" w:rsidRPr="0042453B" w14:paraId="7F8484A3" w14:textId="77777777" w:rsidTr="00741C7D">
        <w:tc>
          <w:tcPr>
            <w:tcW w:w="2802" w:type="dxa"/>
          </w:tcPr>
          <w:p w14:paraId="1F34EA44" w14:textId="77777777" w:rsidR="005808F9" w:rsidRPr="0042453B" w:rsidRDefault="005808F9" w:rsidP="00323046">
            <w:pPr>
              <w:spacing w:line="276" w:lineRule="auto"/>
              <w:rPr>
                <w:rFonts w:ascii="Arial" w:hAnsi="Arial" w:cs="Arial"/>
                <w:sz w:val="22"/>
                <w:szCs w:val="22"/>
              </w:rPr>
            </w:pPr>
            <w:r w:rsidRPr="0042453B">
              <w:rPr>
                <w:rFonts w:ascii="Arial" w:hAnsi="Arial" w:cs="Arial"/>
                <w:sz w:val="22"/>
                <w:szCs w:val="22"/>
              </w:rPr>
              <w:t xml:space="preserve">Stručná definice: </w:t>
            </w:r>
          </w:p>
        </w:tc>
        <w:tc>
          <w:tcPr>
            <w:tcW w:w="6486" w:type="dxa"/>
          </w:tcPr>
          <w:p w14:paraId="4C0BE607" w14:textId="77777777" w:rsidR="005808F9" w:rsidRPr="0042453B" w:rsidRDefault="005808F9" w:rsidP="00642448">
            <w:pPr>
              <w:spacing w:line="276" w:lineRule="auto"/>
              <w:jc w:val="both"/>
              <w:rPr>
                <w:rFonts w:ascii="Arial" w:hAnsi="Arial" w:cs="Arial"/>
                <w:sz w:val="22"/>
                <w:szCs w:val="22"/>
              </w:rPr>
            </w:pPr>
            <w:r>
              <w:rPr>
                <w:rFonts w:ascii="Arial" w:hAnsi="Arial" w:cs="Arial"/>
                <w:sz w:val="22"/>
                <w:szCs w:val="22"/>
              </w:rPr>
              <w:t xml:space="preserve">Výstupový indikátor, který sleduje, nakolik jsou přijaté globální závazky a národní priority v oblasti udržitelného rozvoje promítány do koncepčních dokumentů a programů vnějších politik České republiky. </w:t>
            </w:r>
          </w:p>
        </w:tc>
      </w:tr>
      <w:tr w:rsidR="005808F9" w:rsidRPr="0042453B" w14:paraId="1F28ED63" w14:textId="77777777" w:rsidTr="00741C7D">
        <w:tc>
          <w:tcPr>
            <w:tcW w:w="2802" w:type="dxa"/>
          </w:tcPr>
          <w:p w14:paraId="19E16936" w14:textId="77777777" w:rsidR="005808F9" w:rsidRPr="0042453B" w:rsidRDefault="005808F9" w:rsidP="00C51B65">
            <w:pPr>
              <w:spacing w:line="276" w:lineRule="auto"/>
              <w:jc w:val="both"/>
              <w:rPr>
                <w:rFonts w:ascii="Arial" w:hAnsi="Arial" w:cs="Arial"/>
                <w:sz w:val="22"/>
                <w:szCs w:val="22"/>
              </w:rPr>
            </w:pPr>
            <w:r w:rsidRPr="0042453B">
              <w:rPr>
                <w:rFonts w:ascii="Arial" w:hAnsi="Arial" w:cs="Arial"/>
                <w:sz w:val="22"/>
                <w:szCs w:val="22"/>
              </w:rPr>
              <w:t>Jednotka:</w:t>
            </w:r>
          </w:p>
        </w:tc>
        <w:tc>
          <w:tcPr>
            <w:tcW w:w="6486" w:type="dxa"/>
          </w:tcPr>
          <w:p w14:paraId="778E0A2A" w14:textId="77777777" w:rsidR="005808F9" w:rsidRPr="0042453B" w:rsidRDefault="005808F9" w:rsidP="00642448">
            <w:pPr>
              <w:spacing w:line="276" w:lineRule="auto"/>
              <w:jc w:val="both"/>
              <w:rPr>
                <w:rFonts w:ascii="Arial" w:hAnsi="Arial" w:cs="Arial"/>
                <w:sz w:val="22"/>
                <w:szCs w:val="22"/>
              </w:rPr>
            </w:pPr>
            <w:r>
              <w:rPr>
                <w:rFonts w:ascii="Arial" w:hAnsi="Arial" w:cs="Arial"/>
                <w:sz w:val="22"/>
                <w:szCs w:val="22"/>
              </w:rPr>
              <w:t xml:space="preserve">Seznam revidovaných dokumentů, které zahrnuly mezinárodní závazky k udržitelnému rozvoji. </w:t>
            </w:r>
          </w:p>
        </w:tc>
      </w:tr>
      <w:tr w:rsidR="005808F9" w:rsidRPr="0042453B" w14:paraId="0500927D" w14:textId="77777777" w:rsidTr="00741C7D">
        <w:tc>
          <w:tcPr>
            <w:tcW w:w="2802" w:type="dxa"/>
          </w:tcPr>
          <w:p w14:paraId="0027B9D3" w14:textId="77777777" w:rsidR="005808F9" w:rsidRPr="0042453B" w:rsidRDefault="005808F9" w:rsidP="00C51B65">
            <w:pPr>
              <w:spacing w:line="276" w:lineRule="auto"/>
              <w:jc w:val="both"/>
              <w:rPr>
                <w:rFonts w:ascii="Arial" w:hAnsi="Arial" w:cs="Arial"/>
                <w:sz w:val="22"/>
                <w:szCs w:val="22"/>
              </w:rPr>
            </w:pPr>
            <w:r w:rsidRPr="0042453B">
              <w:rPr>
                <w:rFonts w:ascii="Arial" w:hAnsi="Arial" w:cs="Arial"/>
                <w:sz w:val="22"/>
                <w:szCs w:val="22"/>
              </w:rPr>
              <w:t xml:space="preserve">Gestor: </w:t>
            </w:r>
          </w:p>
        </w:tc>
        <w:tc>
          <w:tcPr>
            <w:tcW w:w="6486" w:type="dxa"/>
          </w:tcPr>
          <w:p w14:paraId="0F107260" w14:textId="77777777" w:rsidR="005808F9" w:rsidRPr="0042453B" w:rsidRDefault="005808F9" w:rsidP="00642448">
            <w:pPr>
              <w:spacing w:line="276" w:lineRule="auto"/>
              <w:jc w:val="both"/>
              <w:rPr>
                <w:rFonts w:ascii="Arial" w:hAnsi="Arial" w:cs="Arial"/>
                <w:sz w:val="22"/>
                <w:szCs w:val="22"/>
              </w:rPr>
            </w:pPr>
            <w:r>
              <w:rPr>
                <w:rFonts w:ascii="Arial" w:hAnsi="Arial" w:cs="Arial"/>
                <w:sz w:val="22"/>
                <w:szCs w:val="22"/>
              </w:rPr>
              <w:t>Úřad vlády</w:t>
            </w:r>
            <w:r w:rsidRPr="0042453B">
              <w:rPr>
                <w:rFonts w:ascii="Arial" w:hAnsi="Arial" w:cs="Arial"/>
                <w:sz w:val="22"/>
                <w:szCs w:val="22"/>
              </w:rPr>
              <w:t xml:space="preserve"> ve spolupráci s</w:t>
            </w:r>
            <w:r>
              <w:rPr>
                <w:rFonts w:ascii="Arial" w:hAnsi="Arial" w:cs="Arial"/>
                <w:sz w:val="22"/>
                <w:szCs w:val="22"/>
              </w:rPr>
              <w:t xml:space="preserve"> Ministerstvem zahraničních věcí. </w:t>
            </w:r>
          </w:p>
        </w:tc>
      </w:tr>
      <w:tr w:rsidR="005808F9" w:rsidRPr="0042453B" w14:paraId="0D05AEF8" w14:textId="77777777" w:rsidTr="00741C7D">
        <w:tc>
          <w:tcPr>
            <w:tcW w:w="2802" w:type="dxa"/>
          </w:tcPr>
          <w:p w14:paraId="02007D71" w14:textId="77777777" w:rsidR="005808F9" w:rsidRPr="0042453B" w:rsidRDefault="005808F9" w:rsidP="00C51B65">
            <w:pPr>
              <w:spacing w:line="276" w:lineRule="auto"/>
              <w:jc w:val="both"/>
              <w:rPr>
                <w:rFonts w:ascii="Arial" w:hAnsi="Arial" w:cs="Arial"/>
                <w:sz w:val="22"/>
                <w:szCs w:val="22"/>
              </w:rPr>
            </w:pPr>
            <w:r w:rsidRPr="0042453B">
              <w:rPr>
                <w:rFonts w:ascii="Arial" w:hAnsi="Arial" w:cs="Arial"/>
                <w:sz w:val="22"/>
                <w:szCs w:val="22"/>
              </w:rPr>
              <w:t xml:space="preserve">Význam indikátoru: </w:t>
            </w:r>
          </w:p>
        </w:tc>
        <w:tc>
          <w:tcPr>
            <w:tcW w:w="6486" w:type="dxa"/>
          </w:tcPr>
          <w:p w14:paraId="67D90E47" w14:textId="77777777" w:rsidR="005808F9" w:rsidRPr="0042453B" w:rsidRDefault="005808F9" w:rsidP="00642448">
            <w:pPr>
              <w:spacing w:line="276" w:lineRule="auto"/>
              <w:jc w:val="both"/>
              <w:rPr>
                <w:rFonts w:ascii="Arial" w:hAnsi="Arial" w:cs="Arial"/>
                <w:sz w:val="22"/>
                <w:szCs w:val="22"/>
              </w:rPr>
            </w:pPr>
            <w:r>
              <w:rPr>
                <w:rFonts w:ascii="Arial" w:hAnsi="Arial" w:cs="Arial"/>
                <w:sz w:val="22"/>
                <w:szCs w:val="22"/>
              </w:rPr>
              <w:t xml:space="preserve">Indikátor pomáhá sledovat, nakolik jsou mezinárodní závazky a národní priority v oblasti udržitelného rozvoje reflektovány při tvorbě koncepčních dokumentů a programů vnějších politik České republiky. </w:t>
            </w:r>
          </w:p>
        </w:tc>
      </w:tr>
      <w:tr w:rsidR="00D97F70" w:rsidRPr="0042453B" w14:paraId="26238AA2" w14:textId="77777777" w:rsidTr="00741C7D">
        <w:tc>
          <w:tcPr>
            <w:tcW w:w="2802" w:type="dxa"/>
          </w:tcPr>
          <w:p w14:paraId="2E160F60" w14:textId="77777777" w:rsidR="00D97F70" w:rsidRPr="0042453B" w:rsidRDefault="00D97F70" w:rsidP="00C51B65">
            <w:pPr>
              <w:spacing w:line="276" w:lineRule="auto"/>
              <w:jc w:val="both"/>
              <w:rPr>
                <w:rFonts w:ascii="Arial" w:hAnsi="Arial" w:cs="Arial"/>
                <w:sz w:val="22"/>
                <w:szCs w:val="22"/>
              </w:rPr>
            </w:pPr>
            <w:r w:rsidRPr="0042453B">
              <w:rPr>
                <w:rFonts w:ascii="Arial" w:hAnsi="Arial" w:cs="Arial"/>
                <w:sz w:val="22"/>
                <w:szCs w:val="22"/>
              </w:rPr>
              <w:t xml:space="preserve">Časová řada: </w:t>
            </w:r>
          </w:p>
        </w:tc>
        <w:tc>
          <w:tcPr>
            <w:tcW w:w="6486" w:type="dxa"/>
          </w:tcPr>
          <w:p w14:paraId="1F58A0F5" w14:textId="77777777" w:rsidR="00D97F70" w:rsidRPr="0042453B" w:rsidRDefault="00323046" w:rsidP="00642448">
            <w:pPr>
              <w:spacing w:line="276" w:lineRule="auto"/>
              <w:jc w:val="both"/>
              <w:rPr>
                <w:rFonts w:ascii="Arial" w:hAnsi="Arial" w:cs="Arial"/>
                <w:sz w:val="22"/>
                <w:szCs w:val="22"/>
              </w:rPr>
            </w:pPr>
            <w:r>
              <w:rPr>
                <w:rFonts w:ascii="Arial" w:hAnsi="Arial" w:cs="Arial"/>
                <w:sz w:val="22"/>
                <w:szCs w:val="22"/>
                <w:lang w:eastAsia="en-US"/>
              </w:rPr>
              <w:t>-</w:t>
            </w:r>
            <w:r w:rsidR="00D97F70">
              <w:rPr>
                <w:rFonts w:ascii="Arial" w:hAnsi="Arial" w:cs="Arial"/>
                <w:sz w:val="22"/>
                <w:szCs w:val="22"/>
                <w:lang w:eastAsia="en-US"/>
              </w:rPr>
              <w:t xml:space="preserve"> </w:t>
            </w:r>
          </w:p>
        </w:tc>
      </w:tr>
      <w:tr w:rsidR="00D97F70" w:rsidRPr="0042453B" w14:paraId="4708A868" w14:textId="77777777" w:rsidTr="00741C7D">
        <w:tc>
          <w:tcPr>
            <w:tcW w:w="2802" w:type="dxa"/>
          </w:tcPr>
          <w:p w14:paraId="3C8A2219" w14:textId="77777777" w:rsidR="00D97F70" w:rsidRPr="0042453B" w:rsidRDefault="00D97F70" w:rsidP="00C51B65">
            <w:pPr>
              <w:spacing w:line="276" w:lineRule="auto"/>
              <w:jc w:val="both"/>
              <w:rPr>
                <w:rFonts w:ascii="Arial" w:hAnsi="Arial" w:cs="Arial"/>
                <w:sz w:val="22"/>
                <w:szCs w:val="22"/>
              </w:rPr>
            </w:pPr>
            <w:r w:rsidRPr="0042453B">
              <w:rPr>
                <w:rFonts w:ascii="Arial" w:hAnsi="Arial" w:cs="Arial"/>
                <w:sz w:val="22"/>
                <w:szCs w:val="22"/>
              </w:rPr>
              <w:t xml:space="preserve">Frekvence výstupu: </w:t>
            </w:r>
          </w:p>
        </w:tc>
        <w:tc>
          <w:tcPr>
            <w:tcW w:w="6486" w:type="dxa"/>
          </w:tcPr>
          <w:p w14:paraId="1A4AEA3B" w14:textId="77777777" w:rsidR="00D97F70" w:rsidRPr="0042453B" w:rsidRDefault="00323046" w:rsidP="00642448">
            <w:pPr>
              <w:spacing w:line="276" w:lineRule="auto"/>
              <w:jc w:val="both"/>
              <w:rPr>
                <w:rFonts w:ascii="Arial" w:hAnsi="Arial" w:cs="Arial"/>
                <w:sz w:val="22"/>
                <w:szCs w:val="22"/>
              </w:rPr>
            </w:pPr>
            <w:r>
              <w:rPr>
                <w:rFonts w:ascii="Arial" w:hAnsi="Arial" w:cs="Arial"/>
                <w:sz w:val="22"/>
                <w:szCs w:val="22"/>
                <w:lang w:eastAsia="en-US"/>
              </w:rPr>
              <w:t>Ročně</w:t>
            </w:r>
            <w:r w:rsidR="00D97F70">
              <w:rPr>
                <w:rFonts w:ascii="Arial" w:hAnsi="Arial" w:cs="Arial"/>
                <w:sz w:val="22"/>
                <w:szCs w:val="22"/>
                <w:lang w:eastAsia="en-US"/>
              </w:rPr>
              <w:t xml:space="preserve"> </w:t>
            </w:r>
          </w:p>
        </w:tc>
      </w:tr>
      <w:tr w:rsidR="00D97F70" w:rsidRPr="0042453B" w14:paraId="31DFFE91" w14:textId="77777777" w:rsidTr="00741C7D">
        <w:trPr>
          <w:trHeight w:val="70"/>
        </w:trPr>
        <w:tc>
          <w:tcPr>
            <w:tcW w:w="2802" w:type="dxa"/>
          </w:tcPr>
          <w:p w14:paraId="323188DB" w14:textId="77777777" w:rsidR="00D97F70" w:rsidRPr="0042453B" w:rsidRDefault="00D97F70" w:rsidP="00C51B65">
            <w:pPr>
              <w:spacing w:line="276" w:lineRule="auto"/>
              <w:jc w:val="both"/>
              <w:rPr>
                <w:rFonts w:ascii="Arial" w:hAnsi="Arial" w:cs="Arial"/>
                <w:sz w:val="22"/>
                <w:szCs w:val="22"/>
              </w:rPr>
            </w:pPr>
            <w:r w:rsidRPr="0042453B">
              <w:rPr>
                <w:rFonts w:ascii="Arial" w:hAnsi="Arial" w:cs="Arial"/>
                <w:sz w:val="22"/>
                <w:szCs w:val="22"/>
              </w:rPr>
              <w:t xml:space="preserve">Členění indikátoru: </w:t>
            </w:r>
          </w:p>
        </w:tc>
        <w:tc>
          <w:tcPr>
            <w:tcW w:w="6486" w:type="dxa"/>
          </w:tcPr>
          <w:p w14:paraId="315C02B1" w14:textId="77777777" w:rsidR="00D97F70" w:rsidRPr="0042453B" w:rsidRDefault="00D97F70" w:rsidP="00C51B65">
            <w:pPr>
              <w:spacing w:line="276" w:lineRule="auto"/>
              <w:jc w:val="both"/>
              <w:rPr>
                <w:rFonts w:ascii="Arial" w:hAnsi="Arial" w:cs="Arial"/>
                <w:sz w:val="22"/>
                <w:szCs w:val="22"/>
              </w:rPr>
            </w:pPr>
            <w:r w:rsidRPr="0042453B">
              <w:rPr>
                <w:rFonts w:ascii="Arial" w:hAnsi="Arial" w:cs="Arial"/>
                <w:sz w:val="22"/>
                <w:szCs w:val="22"/>
                <w:lang w:eastAsia="en-US"/>
              </w:rPr>
              <w:t>-</w:t>
            </w:r>
            <w:r>
              <w:rPr>
                <w:rFonts w:ascii="Arial" w:hAnsi="Arial" w:cs="Arial"/>
                <w:sz w:val="22"/>
                <w:szCs w:val="22"/>
                <w:lang w:eastAsia="en-US"/>
              </w:rPr>
              <w:t xml:space="preserve"> </w:t>
            </w:r>
          </w:p>
        </w:tc>
      </w:tr>
      <w:tr w:rsidR="00D97F70" w:rsidRPr="0042453B" w14:paraId="61F293C2" w14:textId="77777777" w:rsidTr="00741C7D">
        <w:trPr>
          <w:trHeight w:val="70"/>
        </w:trPr>
        <w:tc>
          <w:tcPr>
            <w:tcW w:w="2802" w:type="dxa"/>
          </w:tcPr>
          <w:p w14:paraId="7935D857" w14:textId="77777777" w:rsidR="00D97F70" w:rsidRPr="0042453B" w:rsidRDefault="00D97F70" w:rsidP="00C51B65">
            <w:pPr>
              <w:spacing w:line="276" w:lineRule="auto"/>
              <w:jc w:val="both"/>
              <w:rPr>
                <w:rFonts w:ascii="Arial" w:hAnsi="Arial" w:cs="Arial"/>
                <w:sz w:val="22"/>
                <w:szCs w:val="22"/>
              </w:rPr>
            </w:pPr>
            <w:r w:rsidRPr="0042453B">
              <w:rPr>
                <w:rFonts w:ascii="Arial" w:hAnsi="Arial" w:cs="Arial"/>
                <w:sz w:val="22"/>
                <w:szCs w:val="22"/>
              </w:rPr>
              <w:t>Mezinárodní srovnání:</w:t>
            </w:r>
          </w:p>
        </w:tc>
        <w:tc>
          <w:tcPr>
            <w:tcW w:w="6486" w:type="dxa"/>
          </w:tcPr>
          <w:p w14:paraId="21B96F61" w14:textId="77777777" w:rsidR="00D97F70" w:rsidRPr="0042453B" w:rsidRDefault="00323046" w:rsidP="00C51B65">
            <w:pPr>
              <w:spacing w:line="276" w:lineRule="auto"/>
              <w:jc w:val="both"/>
              <w:rPr>
                <w:rFonts w:ascii="Arial" w:hAnsi="Arial" w:cs="Arial"/>
                <w:sz w:val="22"/>
                <w:szCs w:val="22"/>
              </w:rPr>
            </w:pPr>
            <w:r>
              <w:rPr>
                <w:rFonts w:ascii="Arial" w:hAnsi="Arial" w:cs="Arial"/>
                <w:sz w:val="22"/>
                <w:szCs w:val="22"/>
                <w:lang w:eastAsia="en-US"/>
              </w:rPr>
              <w:t>-</w:t>
            </w:r>
          </w:p>
        </w:tc>
      </w:tr>
    </w:tbl>
    <w:p w14:paraId="321B6A2B" w14:textId="77777777" w:rsidR="00D97F70" w:rsidRPr="00323046" w:rsidRDefault="00D97F70" w:rsidP="00642448">
      <w:pPr>
        <w:pStyle w:val="r2030podcle"/>
        <w:numPr>
          <w:ilvl w:val="1"/>
          <w:numId w:val="17"/>
        </w:numPr>
        <w:ind w:left="567" w:hanging="425"/>
        <w:jc w:val="both"/>
        <w:rPr>
          <w:rFonts w:eastAsia="Calibri"/>
          <w:lang w:eastAsia="en-US"/>
        </w:rPr>
      </w:pPr>
      <w:r w:rsidRPr="00323046">
        <w:rPr>
          <w:rFonts w:eastAsia="Calibri"/>
          <w:lang w:eastAsia="en-US"/>
        </w:rPr>
        <w:t>Česká republika aktivně buduje institucionální kapacity pro sledování koherence vnitřních politik s vnějším dopadem a </w:t>
      </w:r>
      <w:r w:rsidR="00323046">
        <w:rPr>
          <w:rFonts w:eastAsia="Calibri"/>
          <w:lang w:eastAsia="en-US"/>
        </w:rPr>
        <w:t>omezuje jejich negativní vliv na globální sm</w:t>
      </w:r>
      <w:r w:rsidR="0061774A">
        <w:rPr>
          <w:rFonts w:eastAsia="Calibri"/>
          <w:lang w:eastAsia="en-US"/>
        </w:rPr>
        <w:t>ěřování k udržitelnému rozvoji.</w:t>
      </w:r>
    </w:p>
    <w:tbl>
      <w:tblPr>
        <w:tblStyle w:val="Mkatabulky"/>
        <w:tblW w:w="0" w:type="auto"/>
        <w:tblLook w:val="04A0" w:firstRow="1" w:lastRow="0" w:firstColumn="1" w:lastColumn="0" w:noHBand="0" w:noVBand="1"/>
      </w:tblPr>
      <w:tblGrid>
        <w:gridCol w:w="2802"/>
        <w:gridCol w:w="6486"/>
      </w:tblGrid>
      <w:tr w:rsidR="00D97F70" w:rsidRPr="0042453B" w14:paraId="0F7BB207" w14:textId="77777777" w:rsidTr="00741C7D">
        <w:tc>
          <w:tcPr>
            <w:tcW w:w="2802" w:type="dxa"/>
          </w:tcPr>
          <w:p w14:paraId="60C4D4A7" w14:textId="77777777" w:rsidR="00D97F70" w:rsidRPr="0042453B" w:rsidRDefault="00D97F70" w:rsidP="00323046">
            <w:pPr>
              <w:spacing w:line="276" w:lineRule="auto"/>
              <w:rPr>
                <w:rFonts w:ascii="Arial" w:hAnsi="Arial" w:cs="Arial"/>
                <w:sz w:val="22"/>
                <w:szCs w:val="22"/>
              </w:rPr>
            </w:pPr>
            <w:r w:rsidRPr="0042453B">
              <w:rPr>
                <w:rFonts w:ascii="Arial" w:hAnsi="Arial" w:cs="Arial"/>
                <w:sz w:val="22"/>
                <w:szCs w:val="22"/>
              </w:rPr>
              <w:t xml:space="preserve">Název a označení indikátoru: </w:t>
            </w:r>
          </w:p>
        </w:tc>
        <w:tc>
          <w:tcPr>
            <w:tcW w:w="6486" w:type="dxa"/>
          </w:tcPr>
          <w:p w14:paraId="7A1EED1F" w14:textId="77777777" w:rsidR="00D97F70" w:rsidRPr="00642448" w:rsidRDefault="00323046" w:rsidP="00C91095">
            <w:pPr>
              <w:pStyle w:val="r2030nelovan"/>
              <w:rPr>
                <w:rFonts w:eastAsia="Arial"/>
                <w:b/>
              </w:rPr>
            </w:pPr>
            <w:r w:rsidRPr="00642448">
              <w:rPr>
                <w:b/>
              </w:rPr>
              <w:t>22</w:t>
            </w:r>
            <w:r w:rsidR="00BA1A47" w:rsidRPr="00642448">
              <w:rPr>
                <w:b/>
              </w:rPr>
              <w:t xml:space="preserve">.2.1 </w:t>
            </w:r>
            <w:r w:rsidR="00D97F70" w:rsidRPr="00642448">
              <w:rPr>
                <w:b/>
              </w:rPr>
              <w:t>Vytvoření metodiky ke koherenci politik pro veřejnou správu a její pilotní aplikace na konkrétní tematické oblasti</w:t>
            </w:r>
          </w:p>
        </w:tc>
      </w:tr>
      <w:tr w:rsidR="00D97F70" w:rsidRPr="0042453B" w14:paraId="2B445428" w14:textId="77777777" w:rsidTr="00741C7D">
        <w:tc>
          <w:tcPr>
            <w:tcW w:w="2802" w:type="dxa"/>
          </w:tcPr>
          <w:p w14:paraId="17698273" w14:textId="77777777" w:rsidR="00D97F70" w:rsidRPr="0042453B" w:rsidRDefault="00D97F70" w:rsidP="00323046">
            <w:pPr>
              <w:spacing w:line="276" w:lineRule="auto"/>
              <w:rPr>
                <w:rFonts w:ascii="Arial" w:hAnsi="Arial" w:cs="Arial"/>
                <w:sz w:val="22"/>
                <w:szCs w:val="22"/>
              </w:rPr>
            </w:pPr>
            <w:r w:rsidRPr="0042453B">
              <w:rPr>
                <w:rFonts w:ascii="Arial" w:hAnsi="Arial" w:cs="Arial"/>
                <w:sz w:val="22"/>
                <w:szCs w:val="22"/>
              </w:rPr>
              <w:t xml:space="preserve">Stručná definice: </w:t>
            </w:r>
          </w:p>
        </w:tc>
        <w:tc>
          <w:tcPr>
            <w:tcW w:w="6486" w:type="dxa"/>
          </w:tcPr>
          <w:p w14:paraId="45BE2954" w14:textId="77777777" w:rsidR="00D97F70" w:rsidRPr="0042453B" w:rsidRDefault="00D97F70" w:rsidP="00642448">
            <w:pPr>
              <w:spacing w:line="276" w:lineRule="auto"/>
              <w:jc w:val="both"/>
              <w:rPr>
                <w:rFonts w:ascii="Arial" w:hAnsi="Arial" w:cs="Arial"/>
                <w:sz w:val="22"/>
                <w:szCs w:val="22"/>
              </w:rPr>
            </w:pPr>
            <w:r>
              <w:rPr>
                <w:rFonts w:ascii="Arial" w:hAnsi="Arial" w:cs="Arial"/>
                <w:sz w:val="22"/>
                <w:szCs w:val="22"/>
              </w:rPr>
              <w:t xml:space="preserve">Sleduje formální existenci využitelné metodiky pro práci státní správy, včetně uskutečněných pilotních využití. </w:t>
            </w:r>
          </w:p>
        </w:tc>
      </w:tr>
      <w:tr w:rsidR="00D97F70" w:rsidRPr="0042453B" w14:paraId="7A6DFB34" w14:textId="77777777" w:rsidTr="00741C7D">
        <w:tc>
          <w:tcPr>
            <w:tcW w:w="2802" w:type="dxa"/>
          </w:tcPr>
          <w:p w14:paraId="775D57CC" w14:textId="77777777" w:rsidR="00D97F70" w:rsidRPr="0042453B" w:rsidRDefault="00D97F70" w:rsidP="00323046">
            <w:pPr>
              <w:spacing w:line="276" w:lineRule="auto"/>
              <w:rPr>
                <w:rFonts w:ascii="Arial" w:hAnsi="Arial" w:cs="Arial"/>
                <w:sz w:val="22"/>
                <w:szCs w:val="22"/>
              </w:rPr>
            </w:pPr>
            <w:r w:rsidRPr="0042453B">
              <w:rPr>
                <w:rFonts w:ascii="Arial" w:hAnsi="Arial" w:cs="Arial"/>
                <w:sz w:val="22"/>
                <w:szCs w:val="22"/>
              </w:rPr>
              <w:t>Jednotka:</w:t>
            </w:r>
          </w:p>
        </w:tc>
        <w:tc>
          <w:tcPr>
            <w:tcW w:w="6486" w:type="dxa"/>
          </w:tcPr>
          <w:p w14:paraId="52FE2212" w14:textId="77777777" w:rsidR="00D97F70" w:rsidRPr="0042453B" w:rsidRDefault="00D97F70" w:rsidP="00642448">
            <w:pPr>
              <w:spacing w:line="276" w:lineRule="auto"/>
              <w:jc w:val="both"/>
              <w:rPr>
                <w:rFonts w:ascii="Arial" w:hAnsi="Arial" w:cs="Arial"/>
                <w:sz w:val="22"/>
                <w:szCs w:val="22"/>
              </w:rPr>
            </w:pPr>
            <w:r>
              <w:rPr>
                <w:rFonts w:ascii="Arial" w:hAnsi="Arial" w:cs="Arial"/>
                <w:sz w:val="22"/>
                <w:szCs w:val="22"/>
              </w:rPr>
              <w:t xml:space="preserve">Formální existence metodiky; seznam tematických oblastí, na které byla aplikována. </w:t>
            </w:r>
          </w:p>
        </w:tc>
      </w:tr>
      <w:tr w:rsidR="00D97F70" w:rsidRPr="0042453B" w14:paraId="19209BDE" w14:textId="77777777" w:rsidTr="00741C7D">
        <w:tc>
          <w:tcPr>
            <w:tcW w:w="2802" w:type="dxa"/>
          </w:tcPr>
          <w:p w14:paraId="684B04F5" w14:textId="77777777" w:rsidR="00D97F70" w:rsidRPr="0042453B" w:rsidRDefault="00D97F70" w:rsidP="00323046">
            <w:pPr>
              <w:spacing w:line="276" w:lineRule="auto"/>
              <w:rPr>
                <w:rFonts w:ascii="Arial" w:hAnsi="Arial" w:cs="Arial"/>
                <w:sz w:val="22"/>
                <w:szCs w:val="22"/>
              </w:rPr>
            </w:pPr>
            <w:r w:rsidRPr="0042453B">
              <w:rPr>
                <w:rFonts w:ascii="Arial" w:hAnsi="Arial" w:cs="Arial"/>
                <w:sz w:val="22"/>
                <w:szCs w:val="22"/>
              </w:rPr>
              <w:t xml:space="preserve">Gestor: </w:t>
            </w:r>
          </w:p>
        </w:tc>
        <w:tc>
          <w:tcPr>
            <w:tcW w:w="6486" w:type="dxa"/>
          </w:tcPr>
          <w:p w14:paraId="210A09A4" w14:textId="77777777" w:rsidR="00D97F70" w:rsidRPr="0042453B" w:rsidRDefault="00D97F70" w:rsidP="00642448">
            <w:pPr>
              <w:spacing w:line="276" w:lineRule="auto"/>
              <w:jc w:val="both"/>
              <w:rPr>
                <w:rFonts w:ascii="Arial" w:hAnsi="Arial" w:cs="Arial"/>
                <w:sz w:val="22"/>
                <w:szCs w:val="22"/>
              </w:rPr>
            </w:pPr>
            <w:r>
              <w:rPr>
                <w:rFonts w:ascii="Arial" w:hAnsi="Arial" w:cs="Arial"/>
                <w:sz w:val="22"/>
                <w:szCs w:val="22"/>
              </w:rPr>
              <w:t>Ú</w:t>
            </w:r>
            <w:r w:rsidR="00323046">
              <w:rPr>
                <w:rFonts w:ascii="Arial" w:hAnsi="Arial" w:cs="Arial"/>
                <w:sz w:val="22"/>
                <w:szCs w:val="22"/>
              </w:rPr>
              <w:t>řad vlády</w:t>
            </w:r>
            <w:r>
              <w:rPr>
                <w:rFonts w:ascii="Arial" w:hAnsi="Arial" w:cs="Arial"/>
                <w:sz w:val="22"/>
                <w:szCs w:val="22"/>
              </w:rPr>
              <w:t xml:space="preserve"> </w:t>
            </w:r>
          </w:p>
        </w:tc>
      </w:tr>
      <w:tr w:rsidR="00D97F70" w:rsidRPr="0042453B" w14:paraId="10AB02A9" w14:textId="77777777" w:rsidTr="00741C7D">
        <w:tc>
          <w:tcPr>
            <w:tcW w:w="2802" w:type="dxa"/>
          </w:tcPr>
          <w:p w14:paraId="13084B79" w14:textId="77777777" w:rsidR="00D97F70" w:rsidRPr="0042453B" w:rsidRDefault="00D97F70" w:rsidP="00323046">
            <w:pPr>
              <w:spacing w:line="276" w:lineRule="auto"/>
              <w:rPr>
                <w:rFonts w:ascii="Arial" w:hAnsi="Arial" w:cs="Arial"/>
                <w:sz w:val="22"/>
                <w:szCs w:val="22"/>
              </w:rPr>
            </w:pPr>
            <w:r w:rsidRPr="0042453B">
              <w:rPr>
                <w:rFonts w:ascii="Arial" w:hAnsi="Arial" w:cs="Arial"/>
                <w:sz w:val="22"/>
                <w:szCs w:val="22"/>
              </w:rPr>
              <w:t xml:space="preserve">Význam indikátoru: </w:t>
            </w:r>
          </w:p>
        </w:tc>
        <w:tc>
          <w:tcPr>
            <w:tcW w:w="6486" w:type="dxa"/>
          </w:tcPr>
          <w:p w14:paraId="404420CC" w14:textId="77777777" w:rsidR="00D97F70" w:rsidRPr="0042453B" w:rsidRDefault="00D97F70" w:rsidP="00642448">
            <w:pPr>
              <w:spacing w:line="276" w:lineRule="auto"/>
              <w:jc w:val="both"/>
              <w:rPr>
                <w:rFonts w:ascii="Arial" w:hAnsi="Arial" w:cs="Arial"/>
                <w:sz w:val="22"/>
                <w:szCs w:val="22"/>
              </w:rPr>
            </w:pPr>
            <w:r>
              <w:rPr>
                <w:rFonts w:ascii="Arial" w:hAnsi="Arial" w:cs="Arial"/>
                <w:sz w:val="22"/>
                <w:szCs w:val="22"/>
              </w:rPr>
              <w:t xml:space="preserve">Indikátor pomáhá sledovat, je-li sledování koherence politik využitelným a aplikovatelným nástrojem pro státní správu. </w:t>
            </w:r>
          </w:p>
        </w:tc>
      </w:tr>
      <w:tr w:rsidR="00D97F70" w:rsidRPr="0042453B" w14:paraId="6F2C7633" w14:textId="77777777" w:rsidTr="00741C7D">
        <w:tc>
          <w:tcPr>
            <w:tcW w:w="2802" w:type="dxa"/>
          </w:tcPr>
          <w:p w14:paraId="0B91CAFD" w14:textId="77777777" w:rsidR="00D97F70" w:rsidRPr="0042453B" w:rsidRDefault="00D97F70" w:rsidP="00323046">
            <w:pPr>
              <w:spacing w:line="276" w:lineRule="auto"/>
              <w:rPr>
                <w:rFonts w:ascii="Arial" w:hAnsi="Arial" w:cs="Arial"/>
                <w:sz w:val="22"/>
                <w:szCs w:val="22"/>
              </w:rPr>
            </w:pPr>
            <w:r w:rsidRPr="0042453B">
              <w:rPr>
                <w:rFonts w:ascii="Arial" w:hAnsi="Arial" w:cs="Arial"/>
                <w:sz w:val="22"/>
                <w:szCs w:val="22"/>
              </w:rPr>
              <w:t xml:space="preserve">Časová řada: </w:t>
            </w:r>
          </w:p>
        </w:tc>
        <w:tc>
          <w:tcPr>
            <w:tcW w:w="6486" w:type="dxa"/>
          </w:tcPr>
          <w:p w14:paraId="73250B39" w14:textId="77777777" w:rsidR="00D97F70" w:rsidRPr="0042453B" w:rsidRDefault="00323046" w:rsidP="00642448">
            <w:pPr>
              <w:spacing w:line="276" w:lineRule="auto"/>
              <w:jc w:val="both"/>
              <w:rPr>
                <w:rFonts w:ascii="Arial" w:hAnsi="Arial" w:cs="Arial"/>
                <w:sz w:val="22"/>
                <w:szCs w:val="22"/>
              </w:rPr>
            </w:pPr>
            <w:r>
              <w:rPr>
                <w:rFonts w:ascii="Arial" w:hAnsi="Arial" w:cs="Arial"/>
                <w:sz w:val="22"/>
                <w:szCs w:val="22"/>
                <w:lang w:eastAsia="en-US"/>
              </w:rPr>
              <w:t>-</w:t>
            </w:r>
            <w:r w:rsidR="00D97F70">
              <w:rPr>
                <w:rFonts w:ascii="Arial" w:hAnsi="Arial" w:cs="Arial"/>
                <w:sz w:val="22"/>
                <w:szCs w:val="22"/>
                <w:lang w:eastAsia="en-US"/>
              </w:rPr>
              <w:t xml:space="preserve"> </w:t>
            </w:r>
          </w:p>
        </w:tc>
      </w:tr>
      <w:tr w:rsidR="00D97F70" w:rsidRPr="0042453B" w14:paraId="01716FB3" w14:textId="77777777" w:rsidTr="00741C7D">
        <w:tc>
          <w:tcPr>
            <w:tcW w:w="2802" w:type="dxa"/>
          </w:tcPr>
          <w:p w14:paraId="17BF8355" w14:textId="77777777" w:rsidR="00D97F70" w:rsidRPr="0042453B" w:rsidRDefault="00D97F70" w:rsidP="00323046">
            <w:pPr>
              <w:spacing w:line="276" w:lineRule="auto"/>
              <w:rPr>
                <w:rFonts w:ascii="Arial" w:hAnsi="Arial" w:cs="Arial"/>
                <w:sz w:val="22"/>
                <w:szCs w:val="22"/>
              </w:rPr>
            </w:pPr>
            <w:r w:rsidRPr="0042453B">
              <w:rPr>
                <w:rFonts w:ascii="Arial" w:hAnsi="Arial" w:cs="Arial"/>
                <w:sz w:val="22"/>
                <w:szCs w:val="22"/>
              </w:rPr>
              <w:t xml:space="preserve">Frekvence výstupu: </w:t>
            </w:r>
          </w:p>
        </w:tc>
        <w:tc>
          <w:tcPr>
            <w:tcW w:w="6486" w:type="dxa"/>
          </w:tcPr>
          <w:p w14:paraId="291E10A6" w14:textId="77777777" w:rsidR="00D97F70" w:rsidRPr="0042453B" w:rsidRDefault="00323046" w:rsidP="00642448">
            <w:pPr>
              <w:spacing w:line="276" w:lineRule="auto"/>
              <w:jc w:val="both"/>
              <w:rPr>
                <w:rFonts w:ascii="Arial" w:hAnsi="Arial" w:cs="Arial"/>
                <w:sz w:val="22"/>
                <w:szCs w:val="22"/>
              </w:rPr>
            </w:pPr>
            <w:r>
              <w:rPr>
                <w:rFonts w:ascii="Arial" w:hAnsi="Arial" w:cs="Arial"/>
                <w:sz w:val="22"/>
                <w:szCs w:val="22"/>
                <w:lang w:eastAsia="en-US"/>
              </w:rPr>
              <w:t>Ročně</w:t>
            </w:r>
            <w:r w:rsidR="00D97F70">
              <w:rPr>
                <w:rFonts w:ascii="Arial" w:hAnsi="Arial" w:cs="Arial"/>
                <w:sz w:val="22"/>
                <w:szCs w:val="22"/>
                <w:lang w:eastAsia="en-US"/>
              </w:rPr>
              <w:t xml:space="preserve"> </w:t>
            </w:r>
          </w:p>
        </w:tc>
      </w:tr>
      <w:tr w:rsidR="00D97F70" w:rsidRPr="0042453B" w14:paraId="1D964A4A" w14:textId="77777777" w:rsidTr="00741C7D">
        <w:trPr>
          <w:trHeight w:val="70"/>
        </w:trPr>
        <w:tc>
          <w:tcPr>
            <w:tcW w:w="2802" w:type="dxa"/>
          </w:tcPr>
          <w:p w14:paraId="77D6CCC3" w14:textId="77777777" w:rsidR="00D97F70" w:rsidRPr="0042453B" w:rsidRDefault="00D97F70" w:rsidP="00323046">
            <w:pPr>
              <w:spacing w:line="276" w:lineRule="auto"/>
              <w:rPr>
                <w:rFonts w:ascii="Arial" w:hAnsi="Arial" w:cs="Arial"/>
                <w:sz w:val="22"/>
                <w:szCs w:val="22"/>
              </w:rPr>
            </w:pPr>
            <w:r w:rsidRPr="0042453B">
              <w:rPr>
                <w:rFonts w:ascii="Arial" w:hAnsi="Arial" w:cs="Arial"/>
                <w:sz w:val="22"/>
                <w:szCs w:val="22"/>
              </w:rPr>
              <w:t xml:space="preserve">Členění indikátoru: </w:t>
            </w:r>
          </w:p>
        </w:tc>
        <w:tc>
          <w:tcPr>
            <w:tcW w:w="6486" w:type="dxa"/>
          </w:tcPr>
          <w:p w14:paraId="067A5187" w14:textId="77777777" w:rsidR="00D97F70" w:rsidRPr="0042453B" w:rsidRDefault="00D97F70" w:rsidP="00323046">
            <w:pPr>
              <w:spacing w:line="276" w:lineRule="auto"/>
              <w:rPr>
                <w:rFonts w:ascii="Arial" w:hAnsi="Arial" w:cs="Arial"/>
                <w:sz w:val="22"/>
                <w:szCs w:val="22"/>
              </w:rPr>
            </w:pPr>
            <w:r>
              <w:rPr>
                <w:rFonts w:ascii="Arial" w:hAnsi="Arial" w:cs="Arial"/>
                <w:sz w:val="22"/>
                <w:szCs w:val="22"/>
              </w:rPr>
              <w:t xml:space="preserve">- </w:t>
            </w:r>
          </w:p>
        </w:tc>
      </w:tr>
      <w:tr w:rsidR="00D97F70" w:rsidRPr="0042453B" w14:paraId="15ABDE90" w14:textId="77777777" w:rsidTr="00741C7D">
        <w:trPr>
          <w:trHeight w:val="70"/>
        </w:trPr>
        <w:tc>
          <w:tcPr>
            <w:tcW w:w="2802" w:type="dxa"/>
          </w:tcPr>
          <w:p w14:paraId="29ACACBC" w14:textId="77777777" w:rsidR="00D97F70" w:rsidRPr="0042453B" w:rsidRDefault="00D97F70" w:rsidP="00323046">
            <w:pPr>
              <w:spacing w:line="276" w:lineRule="auto"/>
              <w:rPr>
                <w:rFonts w:ascii="Arial" w:hAnsi="Arial" w:cs="Arial"/>
                <w:sz w:val="22"/>
                <w:szCs w:val="22"/>
              </w:rPr>
            </w:pPr>
            <w:r w:rsidRPr="0042453B">
              <w:rPr>
                <w:rFonts w:ascii="Arial" w:hAnsi="Arial" w:cs="Arial"/>
                <w:sz w:val="22"/>
                <w:szCs w:val="22"/>
              </w:rPr>
              <w:t>Mezinárodní srovnání:</w:t>
            </w:r>
          </w:p>
        </w:tc>
        <w:tc>
          <w:tcPr>
            <w:tcW w:w="6486" w:type="dxa"/>
          </w:tcPr>
          <w:p w14:paraId="606B7672" w14:textId="77777777" w:rsidR="00D97F70" w:rsidRPr="0042453B" w:rsidRDefault="00323046" w:rsidP="00323046">
            <w:pPr>
              <w:spacing w:line="276" w:lineRule="auto"/>
              <w:rPr>
                <w:rFonts w:ascii="Arial" w:hAnsi="Arial" w:cs="Arial"/>
                <w:sz w:val="22"/>
                <w:szCs w:val="22"/>
              </w:rPr>
            </w:pPr>
            <w:r>
              <w:rPr>
                <w:rFonts w:ascii="Arial" w:hAnsi="Arial" w:cs="Arial"/>
                <w:sz w:val="22"/>
                <w:szCs w:val="22"/>
                <w:lang w:eastAsia="en-US"/>
              </w:rPr>
              <w:t>-</w:t>
            </w:r>
          </w:p>
        </w:tc>
      </w:tr>
    </w:tbl>
    <w:p w14:paraId="7D860A68" w14:textId="77777777" w:rsidR="00D97F70" w:rsidRPr="0042453B" w:rsidRDefault="00D97F70" w:rsidP="00C51B65">
      <w:pPr>
        <w:tabs>
          <w:tab w:val="left" w:pos="567"/>
        </w:tabs>
        <w:spacing w:line="276" w:lineRule="auto"/>
        <w:contextualSpacing/>
        <w:jc w:val="both"/>
        <w:rPr>
          <w:rFonts w:ascii="Arial" w:eastAsia="Calibri" w:hAnsi="Arial" w:cs="Arial"/>
          <w:b/>
          <w:noProof/>
          <w:sz w:val="22"/>
          <w:szCs w:val="22"/>
          <w:lang w:eastAsia="en-US"/>
        </w:rPr>
      </w:pPr>
    </w:p>
    <w:tbl>
      <w:tblPr>
        <w:tblStyle w:val="Mkatabulky"/>
        <w:tblW w:w="0" w:type="auto"/>
        <w:tblLook w:val="04A0" w:firstRow="1" w:lastRow="0" w:firstColumn="1" w:lastColumn="0" w:noHBand="0" w:noVBand="1"/>
      </w:tblPr>
      <w:tblGrid>
        <w:gridCol w:w="2802"/>
        <w:gridCol w:w="6486"/>
      </w:tblGrid>
      <w:tr w:rsidR="00D97F70" w:rsidRPr="0042453B" w14:paraId="4CEE5E00" w14:textId="77777777" w:rsidTr="00741C7D">
        <w:tc>
          <w:tcPr>
            <w:tcW w:w="2802" w:type="dxa"/>
          </w:tcPr>
          <w:p w14:paraId="1A4A3EA8" w14:textId="77777777" w:rsidR="00D97F70" w:rsidRPr="0042453B" w:rsidRDefault="00D97F70" w:rsidP="00323046">
            <w:pPr>
              <w:spacing w:line="276" w:lineRule="auto"/>
              <w:rPr>
                <w:rFonts w:ascii="Arial" w:hAnsi="Arial" w:cs="Arial"/>
                <w:sz w:val="22"/>
                <w:szCs w:val="22"/>
              </w:rPr>
            </w:pPr>
            <w:r w:rsidRPr="0042453B">
              <w:rPr>
                <w:rFonts w:ascii="Arial" w:hAnsi="Arial" w:cs="Arial"/>
                <w:sz w:val="22"/>
                <w:szCs w:val="22"/>
              </w:rPr>
              <w:lastRenderedPageBreak/>
              <w:t xml:space="preserve">Název a označení indikátoru: </w:t>
            </w:r>
          </w:p>
        </w:tc>
        <w:tc>
          <w:tcPr>
            <w:tcW w:w="6486" w:type="dxa"/>
          </w:tcPr>
          <w:p w14:paraId="2D5264B6" w14:textId="77777777" w:rsidR="00D97F70" w:rsidRPr="00642448" w:rsidRDefault="00323046" w:rsidP="00642448">
            <w:pPr>
              <w:pStyle w:val="r2030nelovan"/>
              <w:rPr>
                <w:rFonts w:eastAsia="Arial"/>
                <w:b/>
              </w:rPr>
            </w:pPr>
            <w:r w:rsidRPr="00642448">
              <w:rPr>
                <w:b/>
              </w:rPr>
              <w:t>22</w:t>
            </w:r>
            <w:r w:rsidR="00BA1A47" w:rsidRPr="00642448">
              <w:rPr>
                <w:b/>
              </w:rPr>
              <w:t xml:space="preserve">.2.2 </w:t>
            </w:r>
            <w:r w:rsidR="00D97F70" w:rsidRPr="00642448">
              <w:rPr>
                <w:b/>
              </w:rPr>
              <w:t xml:space="preserve">Pravidelné vyhodnocení koherence klíčových politik v jednotlivých tematických oblastech </w:t>
            </w:r>
          </w:p>
        </w:tc>
      </w:tr>
      <w:tr w:rsidR="00D97F70" w:rsidRPr="0042453B" w14:paraId="6A041BF9" w14:textId="77777777" w:rsidTr="00741C7D">
        <w:tc>
          <w:tcPr>
            <w:tcW w:w="2802" w:type="dxa"/>
          </w:tcPr>
          <w:p w14:paraId="6F991591" w14:textId="77777777" w:rsidR="00D97F70" w:rsidRPr="0042453B" w:rsidRDefault="00D97F70" w:rsidP="00323046">
            <w:pPr>
              <w:spacing w:line="276" w:lineRule="auto"/>
              <w:rPr>
                <w:rFonts w:ascii="Arial" w:hAnsi="Arial" w:cs="Arial"/>
                <w:sz w:val="22"/>
                <w:szCs w:val="22"/>
              </w:rPr>
            </w:pPr>
            <w:r w:rsidRPr="0042453B">
              <w:rPr>
                <w:rFonts w:ascii="Arial" w:hAnsi="Arial" w:cs="Arial"/>
                <w:sz w:val="22"/>
                <w:szCs w:val="22"/>
              </w:rPr>
              <w:t xml:space="preserve">Stručná definice: </w:t>
            </w:r>
          </w:p>
        </w:tc>
        <w:tc>
          <w:tcPr>
            <w:tcW w:w="6486" w:type="dxa"/>
          </w:tcPr>
          <w:p w14:paraId="5EDD4745" w14:textId="77777777" w:rsidR="00D97F70" w:rsidRPr="0042453B" w:rsidRDefault="00D97F70" w:rsidP="00642448">
            <w:pPr>
              <w:spacing w:line="276" w:lineRule="auto"/>
              <w:jc w:val="both"/>
              <w:rPr>
                <w:rFonts w:ascii="Arial" w:hAnsi="Arial" w:cs="Arial"/>
                <w:sz w:val="22"/>
                <w:szCs w:val="22"/>
              </w:rPr>
            </w:pPr>
            <w:r>
              <w:rPr>
                <w:rFonts w:ascii="Arial" w:hAnsi="Arial" w:cs="Arial"/>
                <w:sz w:val="22"/>
                <w:szCs w:val="22"/>
              </w:rPr>
              <w:t>Sleduje výstupy vyhodnocování analýzy koherence politik v</w:t>
            </w:r>
            <w:r w:rsidR="00B36224">
              <w:rPr>
                <w:rFonts w:ascii="Arial" w:hAnsi="Arial" w:cs="Arial"/>
                <w:sz w:val="22"/>
                <w:szCs w:val="22"/>
              </w:rPr>
              <w:t> </w:t>
            </w:r>
            <w:r>
              <w:rPr>
                <w:rFonts w:ascii="Arial" w:hAnsi="Arial" w:cs="Arial"/>
                <w:sz w:val="22"/>
                <w:szCs w:val="22"/>
              </w:rPr>
              <w:t>konkrétních tematických oblastech vymezených v ČR 2030 (</w:t>
            </w:r>
            <w:r w:rsidRPr="009A0B79">
              <w:rPr>
                <w:rFonts w:ascii="Arial" w:hAnsi="Arial" w:cs="Arial"/>
                <w:color w:val="0D0D0D" w:themeColor="text1" w:themeTint="F2"/>
                <w:sz w:val="22"/>
                <w:szCs w:val="22"/>
              </w:rPr>
              <w:t>obchodní politika; sociální a environmentální standardy; společenská odpovědnost firem; duševní vlastnictví; zboží a suroviny; daňová a finanční politika; změna klimatu; energetika; věda výzkum a inovace ve vazbě na změnu klimatu a</w:t>
            </w:r>
            <w:r>
              <w:rPr>
                <w:rFonts w:ascii="Arial" w:hAnsi="Arial" w:cs="Arial"/>
                <w:color w:val="0D0D0D" w:themeColor="text1" w:themeTint="F2"/>
                <w:sz w:val="22"/>
                <w:szCs w:val="22"/>
              </w:rPr>
              <w:t> </w:t>
            </w:r>
            <w:r w:rsidRPr="009A0B79">
              <w:rPr>
                <w:rFonts w:ascii="Arial" w:hAnsi="Arial" w:cs="Arial"/>
                <w:color w:val="0D0D0D" w:themeColor="text1" w:themeTint="F2"/>
                <w:sz w:val="22"/>
                <w:szCs w:val="22"/>
              </w:rPr>
              <w:t>potravinov</w:t>
            </w:r>
            <w:r w:rsidR="00B36224">
              <w:rPr>
                <w:rFonts w:ascii="Arial" w:hAnsi="Arial" w:cs="Arial"/>
                <w:color w:val="0D0D0D" w:themeColor="text1" w:themeTint="F2"/>
                <w:sz w:val="22"/>
                <w:szCs w:val="22"/>
              </w:rPr>
              <w:t>é</w:t>
            </w:r>
            <w:r w:rsidRPr="009A0B79">
              <w:rPr>
                <w:rFonts w:ascii="Arial" w:hAnsi="Arial" w:cs="Arial"/>
                <w:color w:val="0D0D0D" w:themeColor="text1" w:themeTint="F2"/>
                <w:sz w:val="22"/>
                <w:szCs w:val="22"/>
              </w:rPr>
              <w:t xml:space="preserve"> </w:t>
            </w:r>
            <w:r w:rsidR="00B36224">
              <w:rPr>
                <w:rFonts w:ascii="Arial" w:hAnsi="Arial" w:cs="Arial"/>
                <w:color w:val="0D0D0D" w:themeColor="text1" w:themeTint="F2"/>
                <w:sz w:val="22"/>
                <w:szCs w:val="22"/>
              </w:rPr>
              <w:t>za</w:t>
            </w:r>
            <w:r w:rsidRPr="009A0B79">
              <w:rPr>
                <w:rFonts w:ascii="Arial" w:hAnsi="Arial" w:cs="Arial"/>
                <w:color w:val="0D0D0D" w:themeColor="text1" w:themeTint="F2"/>
                <w:sz w:val="22"/>
                <w:szCs w:val="22"/>
              </w:rPr>
              <w:t>bezpeč</w:t>
            </w:r>
            <w:r w:rsidR="00B36224">
              <w:rPr>
                <w:rFonts w:ascii="Arial" w:hAnsi="Arial" w:cs="Arial"/>
                <w:color w:val="0D0D0D" w:themeColor="text1" w:themeTint="F2"/>
                <w:sz w:val="22"/>
                <w:szCs w:val="22"/>
              </w:rPr>
              <w:t>ení</w:t>
            </w:r>
            <w:r w:rsidRPr="009A0B79">
              <w:rPr>
                <w:rFonts w:ascii="Arial" w:hAnsi="Arial" w:cs="Arial"/>
                <w:color w:val="0D0D0D" w:themeColor="text1" w:themeTint="F2"/>
                <w:sz w:val="22"/>
                <w:szCs w:val="22"/>
              </w:rPr>
              <w:t>; potravi</w:t>
            </w:r>
            <w:r>
              <w:rPr>
                <w:rFonts w:ascii="Arial" w:hAnsi="Arial" w:cs="Arial"/>
                <w:color w:val="0D0D0D" w:themeColor="text1" w:themeTint="F2"/>
                <w:sz w:val="22"/>
                <w:szCs w:val="22"/>
              </w:rPr>
              <w:t>nov</w:t>
            </w:r>
            <w:r w:rsidR="00B36224">
              <w:rPr>
                <w:rFonts w:ascii="Arial" w:hAnsi="Arial" w:cs="Arial"/>
                <w:color w:val="0D0D0D" w:themeColor="text1" w:themeTint="F2"/>
                <w:sz w:val="22"/>
                <w:szCs w:val="22"/>
              </w:rPr>
              <w:t>é</w:t>
            </w:r>
            <w:r>
              <w:rPr>
                <w:rFonts w:ascii="Arial" w:hAnsi="Arial" w:cs="Arial"/>
                <w:color w:val="0D0D0D" w:themeColor="text1" w:themeTint="F2"/>
                <w:sz w:val="22"/>
                <w:szCs w:val="22"/>
              </w:rPr>
              <w:t xml:space="preserve"> </w:t>
            </w:r>
            <w:r w:rsidR="00B36224">
              <w:rPr>
                <w:rFonts w:ascii="Arial" w:hAnsi="Arial" w:cs="Arial"/>
                <w:color w:val="0D0D0D" w:themeColor="text1" w:themeTint="F2"/>
                <w:sz w:val="22"/>
                <w:szCs w:val="22"/>
              </w:rPr>
              <w:t xml:space="preserve">zabezpečení </w:t>
            </w:r>
            <w:r>
              <w:rPr>
                <w:rFonts w:ascii="Arial" w:hAnsi="Arial" w:cs="Arial"/>
                <w:color w:val="0D0D0D" w:themeColor="text1" w:themeTint="F2"/>
                <w:sz w:val="22"/>
                <w:szCs w:val="22"/>
              </w:rPr>
              <w:t>v </w:t>
            </w:r>
            <w:r w:rsidRPr="009A0B79">
              <w:rPr>
                <w:rFonts w:ascii="Arial" w:hAnsi="Arial" w:cs="Arial"/>
                <w:color w:val="0D0D0D" w:themeColor="text1" w:themeTint="F2"/>
                <w:sz w:val="22"/>
                <w:szCs w:val="22"/>
              </w:rPr>
              <w:t xml:space="preserve">rozvojové politice Evropské unie; společná zemědělská politika Evropské unie; migrace; omezování odlivu mozků; </w:t>
            </w:r>
            <w:proofErr w:type="spellStart"/>
            <w:r w:rsidRPr="009A0B79">
              <w:rPr>
                <w:rFonts w:ascii="Arial" w:hAnsi="Arial" w:cs="Arial"/>
                <w:color w:val="0D0D0D" w:themeColor="text1" w:themeTint="F2"/>
                <w:sz w:val="22"/>
                <w:szCs w:val="22"/>
              </w:rPr>
              <w:t>remitence</w:t>
            </w:r>
            <w:proofErr w:type="spellEnd"/>
            <w:r w:rsidRPr="009A0B79">
              <w:rPr>
                <w:rFonts w:ascii="Arial" w:hAnsi="Arial" w:cs="Arial"/>
                <w:color w:val="0D0D0D" w:themeColor="text1" w:themeTint="F2"/>
                <w:sz w:val="22"/>
                <w:szCs w:val="22"/>
              </w:rPr>
              <w:t>; bezpečnost; biodiverzita; rea</w:t>
            </w:r>
            <w:r w:rsidR="0015417B">
              <w:rPr>
                <w:rFonts w:ascii="Arial" w:hAnsi="Arial" w:cs="Arial"/>
                <w:color w:val="0D0D0D" w:themeColor="text1" w:themeTint="F2"/>
                <w:sz w:val="22"/>
                <w:szCs w:val="22"/>
              </w:rPr>
              <w:t>kce na konflikty a selhávající či křehké</w:t>
            </w:r>
            <w:r w:rsidRPr="009A0B79">
              <w:rPr>
                <w:rFonts w:ascii="Arial" w:hAnsi="Arial" w:cs="Arial"/>
                <w:color w:val="0D0D0D" w:themeColor="text1" w:themeTint="F2"/>
                <w:sz w:val="22"/>
                <w:szCs w:val="22"/>
              </w:rPr>
              <w:t xml:space="preserve"> státy</w:t>
            </w:r>
            <w:r>
              <w:rPr>
                <w:rFonts w:ascii="Arial" w:hAnsi="Arial" w:cs="Arial"/>
                <w:sz w:val="22"/>
                <w:szCs w:val="22"/>
              </w:rPr>
              <w:t xml:space="preserve">). </w:t>
            </w:r>
          </w:p>
        </w:tc>
      </w:tr>
      <w:tr w:rsidR="00D97F70" w:rsidRPr="0042453B" w14:paraId="08DC7DEB" w14:textId="77777777" w:rsidTr="00741C7D">
        <w:tc>
          <w:tcPr>
            <w:tcW w:w="2802" w:type="dxa"/>
          </w:tcPr>
          <w:p w14:paraId="3AB20D9A" w14:textId="77777777" w:rsidR="00D97F70" w:rsidRPr="0042453B" w:rsidRDefault="00D97F70" w:rsidP="00C51B65">
            <w:pPr>
              <w:spacing w:line="276" w:lineRule="auto"/>
              <w:jc w:val="both"/>
              <w:rPr>
                <w:rFonts w:ascii="Arial" w:hAnsi="Arial" w:cs="Arial"/>
                <w:sz w:val="22"/>
                <w:szCs w:val="22"/>
              </w:rPr>
            </w:pPr>
            <w:r w:rsidRPr="0042453B">
              <w:rPr>
                <w:rFonts w:ascii="Arial" w:hAnsi="Arial" w:cs="Arial"/>
                <w:sz w:val="22"/>
                <w:szCs w:val="22"/>
              </w:rPr>
              <w:t>Jednotka:</w:t>
            </w:r>
          </w:p>
        </w:tc>
        <w:tc>
          <w:tcPr>
            <w:tcW w:w="6486" w:type="dxa"/>
          </w:tcPr>
          <w:p w14:paraId="5BC0A73C" w14:textId="77777777" w:rsidR="00D97F70" w:rsidRPr="0042453B" w:rsidRDefault="00D97F70" w:rsidP="00642448">
            <w:pPr>
              <w:spacing w:line="276" w:lineRule="auto"/>
              <w:jc w:val="both"/>
              <w:rPr>
                <w:rFonts w:ascii="Arial" w:hAnsi="Arial" w:cs="Arial"/>
                <w:sz w:val="22"/>
                <w:szCs w:val="22"/>
              </w:rPr>
            </w:pPr>
            <w:r>
              <w:rPr>
                <w:rFonts w:ascii="Arial" w:hAnsi="Arial" w:cs="Arial"/>
                <w:sz w:val="22"/>
                <w:szCs w:val="22"/>
              </w:rPr>
              <w:t xml:space="preserve">Seznam tematických oblastí, které prošly analýzou koherence politik; seznam analytických výstupů. </w:t>
            </w:r>
          </w:p>
        </w:tc>
      </w:tr>
      <w:tr w:rsidR="00D97F70" w:rsidRPr="0042453B" w14:paraId="491C6402" w14:textId="77777777" w:rsidTr="00741C7D">
        <w:tc>
          <w:tcPr>
            <w:tcW w:w="2802" w:type="dxa"/>
          </w:tcPr>
          <w:p w14:paraId="0DD7610A" w14:textId="77777777" w:rsidR="00D97F70" w:rsidRPr="0042453B" w:rsidRDefault="00D97F70" w:rsidP="00C51B65">
            <w:pPr>
              <w:spacing w:line="276" w:lineRule="auto"/>
              <w:jc w:val="both"/>
              <w:rPr>
                <w:rFonts w:ascii="Arial" w:hAnsi="Arial" w:cs="Arial"/>
                <w:sz w:val="22"/>
                <w:szCs w:val="22"/>
              </w:rPr>
            </w:pPr>
            <w:r w:rsidRPr="0042453B">
              <w:rPr>
                <w:rFonts w:ascii="Arial" w:hAnsi="Arial" w:cs="Arial"/>
                <w:sz w:val="22"/>
                <w:szCs w:val="22"/>
              </w:rPr>
              <w:t xml:space="preserve">Gestor: </w:t>
            </w:r>
          </w:p>
        </w:tc>
        <w:tc>
          <w:tcPr>
            <w:tcW w:w="6486" w:type="dxa"/>
          </w:tcPr>
          <w:p w14:paraId="1AB266BF" w14:textId="77777777" w:rsidR="00D97F70" w:rsidRPr="0042453B" w:rsidRDefault="00D97F70" w:rsidP="00642448">
            <w:pPr>
              <w:spacing w:line="276" w:lineRule="auto"/>
              <w:jc w:val="both"/>
              <w:rPr>
                <w:rFonts w:ascii="Arial" w:hAnsi="Arial" w:cs="Arial"/>
                <w:sz w:val="22"/>
                <w:szCs w:val="22"/>
              </w:rPr>
            </w:pPr>
            <w:r>
              <w:rPr>
                <w:rFonts w:ascii="Arial" w:hAnsi="Arial" w:cs="Arial"/>
                <w:sz w:val="22"/>
                <w:szCs w:val="22"/>
              </w:rPr>
              <w:t>Ú</w:t>
            </w:r>
            <w:r w:rsidR="00323046">
              <w:rPr>
                <w:rFonts w:ascii="Arial" w:hAnsi="Arial" w:cs="Arial"/>
                <w:sz w:val="22"/>
                <w:szCs w:val="22"/>
              </w:rPr>
              <w:t>řad vlády</w:t>
            </w:r>
          </w:p>
        </w:tc>
      </w:tr>
      <w:tr w:rsidR="00D97F70" w:rsidRPr="0042453B" w14:paraId="2C13F06F" w14:textId="77777777" w:rsidTr="00741C7D">
        <w:tc>
          <w:tcPr>
            <w:tcW w:w="2802" w:type="dxa"/>
          </w:tcPr>
          <w:p w14:paraId="61358A86" w14:textId="77777777" w:rsidR="00D97F70" w:rsidRPr="0042453B" w:rsidRDefault="00D97F70" w:rsidP="00C51B65">
            <w:pPr>
              <w:spacing w:line="276" w:lineRule="auto"/>
              <w:jc w:val="both"/>
              <w:rPr>
                <w:rFonts w:ascii="Arial" w:hAnsi="Arial" w:cs="Arial"/>
                <w:sz w:val="22"/>
                <w:szCs w:val="22"/>
              </w:rPr>
            </w:pPr>
            <w:r w:rsidRPr="0042453B">
              <w:rPr>
                <w:rFonts w:ascii="Arial" w:hAnsi="Arial" w:cs="Arial"/>
                <w:sz w:val="22"/>
                <w:szCs w:val="22"/>
              </w:rPr>
              <w:t xml:space="preserve">Význam indikátoru: </w:t>
            </w:r>
          </w:p>
        </w:tc>
        <w:tc>
          <w:tcPr>
            <w:tcW w:w="6486" w:type="dxa"/>
          </w:tcPr>
          <w:p w14:paraId="5E1022CD" w14:textId="77777777" w:rsidR="00D97F70" w:rsidRPr="0042453B" w:rsidRDefault="00D97F70" w:rsidP="00642448">
            <w:pPr>
              <w:spacing w:line="276" w:lineRule="auto"/>
              <w:jc w:val="both"/>
              <w:rPr>
                <w:rFonts w:ascii="Arial" w:hAnsi="Arial" w:cs="Arial"/>
                <w:sz w:val="22"/>
                <w:szCs w:val="22"/>
              </w:rPr>
            </w:pPr>
            <w:r>
              <w:rPr>
                <w:rFonts w:ascii="Arial" w:hAnsi="Arial" w:cs="Arial"/>
                <w:sz w:val="22"/>
                <w:szCs w:val="22"/>
              </w:rPr>
              <w:t xml:space="preserve">Indikátor pomáhá sledovat, je-li sledování koherence politik nástrojem, který je ve státní správě aktivně využíván. </w:t>
            </w:r>
          </w:p>
        </w:tc>
      </w:tr>
      <w:tr w:rsidR="00D97F70" w:rsidRPr="0042453B" w14:paraId="7E849450" w14:textId="77777777" w:rsidTr="00741C7D">
        <w:tc>
          <w:tcPr>
            <w:tcW w:w="2802" w:type="dxa"/>
          </w:tcPr>
          <w:p w14:paraId="13FBA3A0" w14:textId="77777777" w:rsidR="00D97F70" w:rsidRPr="0042453B" w:rsidRDefault="00D97F70" w:rsidP="00C51B65">
            <w:pPr>
              <w:spacing w:line="276" w:lineRule="auto"/>
              <w:jc w:val="both"/>
              <w:rPr>
                <w:rFonts w:ascii="Arial" w:hAnsi="Arial" w:cs="Arial"/>
                <w:sz w:val="22"/>
                <w:szCs w:val="22"/>
              </w:rPr>
            </w:pPr>
            <w:r w:rsidRPr="0042453B">
              <w:rPr>
                <w:rFonts w:ascii="Arial" w:hAnsi="Arial" w:cs="Arial"/>
                <w:sz w:val="22"/>
                <w:szCs w:val="22"/>
              </w:rPr>
              <w:t xml:space="preserve">Časová řada: </w:t>
            </w:r>
          </w:p>
        </w:tc>
        <w:tc>
          <w:tcPr>
            <w:tcW w:w="6486" w:type="dxa"/>
          </w:tcPr>
          <w:p w14:paraId="37C0E7AC" w14:textId="77777777" w:rsidR="00D97F70" w:rsidRPr="0042453B" w:rsidRDefault="00323046" w:rsidP="00642448">
            <w:pPr>
              <w:spacing w:line="276" w:lineRule="auto"/>
              <w:jc w:val="both"/>
              <w:rPr>
                <w:rFonts w:ascii="Arial" w:hAnsi="Arial" w:cs="Arial"/>
                <w:sz w:val="22"/>
                <w:szCs w:val="22"/>
              </w:rPr>
            </w:pPr>
            <w:r>
              <w:rPr>
                <w:rFonts w:ascii="Arial" w:hAnsi="Arial" w:cs="Arial"/>
                <w:sz w:val="22"/>
                <w:szCs w:val="22"/>
                <w:lang w:eastAsia="en-US"/>
              </w:rPr>
              <w:t>-</w:t>
            </w:r>
            <w:r w:rsidR="00D97F70">
              <w:rPr>
                <w:rFonts w:ascii="Arial" w:hAnsi="Arial" w:cs="Arial"/>
                <w:sz w:val="22"/>
                <w:szCs w:val="22"/>
                <w:lang w:eastAsia="en-US"/>
              </w:rPr>
              <w:t xml:space="preserve"> </w:t>
            </w:r>
          </w:p>
        </w:tc>
      </w:tr>
      <w:tr w:rsidR="00D97F70" w:rsidRPr="0042453B" w14:paraId="20D1244C" w14:textId="77777777" w:rsidTr="00741C7D">
        <w:tc>
          <w:tcPr>
            <w:tcW w:w="2802" w:type="dxa"/>
          </w:tcPr>
          <w:p w14:paraId="3F3AB14E" w14:textId="77777777" w:rsidR="00D97F70" w:rsidRPr="0042453B" w:rsidRDefault="00D97F70" w:rsidP="00C51B65">
            <w:pPr>
              <w:spacing w:line="276" w:lineRule="auto"/>
              <w:jc w:val="both"/>
              <w:rPr>
                <w:rFonts w:ascii="Arial" w:hAnsi="Arial" w:cs="Arial"/>
                <w:sz w:val="22"/>
                <w:szCs w:val="22"/>
              </w:rPr>
            </w:pPr>
            <w:r w:rsidRPr="0042453B">
              <w:rPr>
                <w:rFonts w:ascii="Arial" w:hAnsi="Arial" w:cs="Arial"/>
                <w:sz w:val="22"/>
                <w:szCs w:val="22"/>
              </w:rPr>
              <w:t xml:space="preserve">Frekvence výstupu: </w:t>
            </w:r>
          </w:p>
        </w:tc>
        <w:tc>
          <w:tcPr>
            <w:tcW w:w="6486" w:type="dxa"/>
          </w:tcPr>
          <w:p w14:paraId="49B0DB12" w14:textId="77777777" w:rsidR="00D97F70" w:rsidRPr="0042453B" w:rsidRDefault="00323046" w:rsidP="00642448">
            <w:pPr>
              <w:spacing w:line="276" w:lineRule="auto"/>
              <w:jc w:val="both"/>
              <w:rPr>
                <w:rFonts w:ascii="Arial" w:hAnsi="Arial" w:cs="Arial"/>
                <w:sz w:val="22"/>
                <w:szCs w:val="22"/>
              </w:rPr>
            </w:pPr>
            <w:r>
              <w:rPr>
                <w:rFonts w:ascii="Arial" w:hAnsi="Arial" w:cs="Arial"/>
                <w:sz w:val="22"/>
                <w:szCs w:val="22"/>
                <w:lang w:eastAsia="en-US"/>
              </w:rPr>
              <w:t>Ročně</w:t>
            </w:r>
          </w:p>
        </w:tc>
      </w:tr>
      <w:tr w:rsidR="00D97F70" w:rsidRPr="0042453B" w14:paraId="7D12D49F" w14:textId="77777777" w:rsidTr="00741C7D">
        <w:trPr>
          <w:trHeight w:val="70"/>
        </w:trPr>
        <w:tc>
          <w:tcPr>
            <w:tcW w:w="2802" w:type="dxa"/>
          </w:tcPr>
          <w:p w14:paraId="126A3A86" w14:textId="77777777" w:rsidR="00D97F70" w:rsidRPr="0042453B" w:rsidRDefault="00D97F70" w:rsidP="00C51B65">
            <w:pPr>
              <w:spacing w:line="276" w:lineRule="auto"/>
              <w:jc w:val="both"/>
              <w:rPr>
                <w:rFonts w:ascii="Arial" w:hAnsi="Arial" w:cs="Arial"/>
                <w:sz w:val="22"/>
                <w:szCs w:val="22"/>
              </w:rPr>
            </w:pPr>
            <w:r w:rsidRPr="0042453B">
              <w:rPr>
                <w:rFonts w:ascii="Arial" w:hAnsi="Arial" w:cs="Arial"/>
                <w:sz w:val="22"/>
                <w:szCs w:val="22"/>
              </w:rPr>
              <w:t xml:space="preserve">Členění indikátoru: </w:t>
            </w:r>
          </w:p>
        </w:tc>
        <w:tc>
          <w:tcPr>
            <w:tcW w:w="6486" w:type="dxa"/>
          </w:tcPr>
          <w:p w14:paraId="1053E207" w14:textId="77777777" w:rsidR="00D97F70" w:rsidRPr="0042453B" w:rsidRDefault="00D97F70" w:rsidP="00C51B65">
            <w:pPr>
              <w:spacing w:line="276" w:lineRule="auto"/>
              <w:jc w:val="both"/>
              <w:rPr>
                <w:rFonts w:ascii="Arial" w:hAnsi="Arial" w:cs="Arial"/>
                <w:sz w:val="22"/>
                <w:szCs w:val="22"/>
              </w:rPr>
            </w:pPr>
            <w:r w:rsidRPr="0042453B">
              <w:rPr>
                <w:rFonts w:ascii="Arial" w:hAnsi="Arial" w:cs="Arial"/>
                <w:sz w:val="22"/>
                <w:szCs w:val="22"/>
                <w:lang w:eastAsia="en-US"/>
              </w:rPr>
              <w:t>-</w:t>
            </w:r>
            <w:r>
              <w:rPr>
                <w:rFonts w:ascii="Arial" w:hAnsi="Arial" w:cs="Arial"/>
                <w:sz w:val="22"/>
                <w:szCs w:val="22"/>
                <w:lang w:eastAsia="en-US"/>
              </w:rPr>
              <w:t xml:space="preserve"> </w:t>
            </w:r>
          </w:p>
        </w:tc>
      </w:tr>
      <w:tr w:rsidR="00D97F70" w:rsidRPr="00BA1A47" w14:paraId="028D96D8" w14:textId="77777777" w:rsidTr="00741C7D">
        <w:trPr>
          <w:trHeight w:val="70"/>
        </w:trPr>
        <w:tc>
          <w:tcPr>
            <w:tcW w:w="2802" w:type="dxa"/>
          </w:tcPr>
          <w:p w14:paraId="5673CCCC" w14:textId="77777777" w:rsidR="00D97F70" w:rsidRPr="00BA1A47" w:rsidRDefault="00D97F70" w:rsidP="00C51B65">
            <w:pPr>
              <w:spacing w:line="276" w:lineRule="auto"/>
              <w:jc w:val="both"/>
              <w:rPr>
                <w:rFonts w:ascii="Arial" w:hAnsi="Arial" w:cs="Arial"/>
                <w:sz w:val="22"/>
                <w:szCs w:val="22"/>
              </w:rPr>
            </w:pPr>
            <w:r w:rsidRPr="00BA1A47">
              <w:rPr>
                <w:rFonts w:ascii="Arial" w:hAnsi="Arial" w:cs="Arial"/>
                <w:sz w:val="22"/>
                <w:szCs w:val="22"/>
              </w:rPr>
              <w:t>Mezinárodní srovnání:</w:t>
            </w:r>
          </w:p>
        </w:tc>
        <w:tc>
          <w:tcPr>
            <w:tcW w:w="6486" w:type="dxa"/>
          </w:tcPr>
          <w:p w14:paraId="3384A3D3" w14:textId="77777777" w:rsidR="00D97F70" w:rsidRPr="00BA1A47" w:rsidRDefault="00323046" w:rsidP="00C51B65">
            <w:pPr>
              <w:spacing w:line="276" w:lineRule="auto"/>
              <w:jc w:val="both"/>
              <w:rPr>
                <w:rFonts w:ascii="Arial" w:hAnsi="Arial" w:cs="Arial"/>
                <w:sz w:val="22"/>
                <w:szCs w:val="22"/>
                <w:lang w:eastAsia="en-US"/>
              </w:rPr>
            </w:pPr>
            <w:r>
              <w:rPr>
                <w:rFonts w:ascii="Arial" w:hAnsi="Arial" w:cs="Arial"/>
                <w:sz w:val="22"/>
                <w:szCs w:val="22"/>
                <w:lang w:eastAsia="en-US"/>
              </w:rPr>
              <w:t>-</w:t>
            </w:r>
          </w:p>
        </w:tc>
      </w:tr>
    </w:tbl>
    <w:p w14:paraId="0CE090FF" w14:textId="77777777" w:rsidR="00D97F70" w:rsidRPr="00BA1A47" w:rsidRDefault="00D97F70" w:rsidP="00C51B65">
      <w:pPr>
        <w:tabs>
          <w:tab w:val="left" w:pos="567"/>
        </w:tabs>
        <w:spacing w:line="276" w:lineRule="auto"/>
        <w:contextualSpacing/>
        <w:jc w:val="both"/>
        <w:rPr>
          <w:rFonts w:ascii="Arial" w:eastAsia="Calibri" w:hAnsi="Arial" w:cs="Arial"/>
          <w:noProof/>
          <w:sz w:val="22"/>
          <w:szCs w:val="22"/>
          <w:lang w:eastAsia="en-US"/>
        </w:rPr>
      </w:pPr>
    </w:p>
    <w:p w14:paraId="1E2746C8" w14:textId="77777777" w:rsidR="00D97F70" w:rsidRPr="00323046" w:rsidRDefault="00D97F70" w:rsidP="00642448">
      <w:pPr>
        <w:pStyle w:val="r2030podcle"/>
        <w:numPr>
          <w:ilvl w:val="1"/>
          <w:numId w:val="17"/>
        </w:numPr>
        <w:ind w:left="567" w:hanging="425"/>
        <w:rPr>
          <w:rFonts w:eastAsia="Calibri"/>
          <w:lang w:eastAsia="en-US"/>
        </w:rPr>
      </w:pPr>
      <w:r w:rsidRPr="00323046">
        <w:rPr>
          <w:rFonts w:eastAsia="Calibri"/>
          <w:lang w:eastAsia="en-US"/>
        </w:rPr>
        <w:t xml:space="preserve">Česká republika aktivně prosazuje sledování a naplňování koherence politik na úrovni Evropské unie, ve vnějších politikách Evropské unie a na globální úrovni. </w:t>
      </w:r>
    </w:p>
    <w:tbl>
      <w:tblPr>
        <w:tblStyle w:val="Mkatabulky"/>
        <w:tblW w:w="0" w:type="auto"/>
        <w:tblLook w:val="04A0" w:firstRow="1" w:lastRow="0" w:firstColumn="1" w:lastColumn="0" w:noHBand="0" w:noVBand="1"/>
      </w:tblPr>
      <w:tblGrid>
        <w:gridCol w:w="2802"/>
        <w:gridCol w:w="6486"/>
      </w:tblGrid>
      <w:tr w:rsidR="00D97F70" w:rsidRPr="0042453B" w14:paraId="32488394" w14:textId="77777777" w:rsidTr="00741C7D">
        <w:tc>
          <w:tcPr>
            <w:tcW w:w="2802" w:type="dxa"/>
          </w:tcPr>
          <w:p w14:paraId="63D31D58" w14:textId="77777777" w:rsidR="00D97F70" w:rsidRPr="0042453B" w:rsidRDefault="00D97F70" w:rsidP="00323046">
            <w:pPr>
              <w:spacing w:line="276" w:lineRule="auto"/>
              <w:rPr>
                <w:rFonts w:ascii="Arial" w:hAnsi="Arial" w:cs="Arial"/>
                <w:sz w:val="22"/>
                <w:szCs w:val="22"/>
              </w:rPr>
            </w:pPr>
            <w:r w:rsidRPr="0042453B">
              <w:rPr>
                <w:rFonts w:ascii="Arial" w:hAnsi="Arial" w:cs="Arial"/>
                <w:sz w:val="22"/>
                <w:szCs w:val="22"/>
              </w:rPr>
              <w:t xml:space="preserve">Název a označení indikátoru: </w:t>
            </w:r>
          </w:p>
        </w:tc>
        <w:tc>
          <w:tcPr>
            <w:tcW w:w="6486" w:type="dxa"/>
          </w:tcPr>
          <w:p w14:paraId="35199A7D" w14:textId="77777777" w:rsidR="00D97F70" w:rsidRPr="00642448" w:rsidRDefault="006465FF" w:rsidP="00C91095">
            <w:pPr>
              <w:pStyle w:val="r2030nelovan"/>
              <w:rPr>
                <w:rFonts w:eastAsia="Arial"/>
                <w:b/>
              </w:rPr>
            </w:pPr>
            <w:r w:rsidRPr="00642448">
              <w:rPr>
                <w:b/>
              </w:rPr>
              <w:t>22</w:t>
            </w:r>
            <w:r w:rsidR="00BA1A47" w:rsidRPr="00642448">
              <w:rPr>
                <w:b/>
              </w:rPr>
              <w:t xml:space="preserve">.3.1 </w:t>
            </w:r>
            <w:r w:rsidR="00197167" w:rsidRPr="00642448">
              <w:rPr>
                <w:b/>
              </w:rPr>
              <w:t xml:space="preserve">Zapojení České republiky do mezinárodních </w:t>
            </w:r>
            <w:r w:rsidR="00A55A53" w:rsidRPr="00642448">
              <w:rPr>
                <w:b/>
              </w:rPr>
              <w:t>p</w:t>
            </w:r>
            <w:r w:rsidR="00197167" w:rsidRPr="00642448">
              <w:rPr>
                <w:b/>
              </w:rPr>
              <w:t>latforem na e</w:t>
            </w:r>
            <w:r w:rsidR="00D97F70" w:rsidRPr="00642448">
              <w:rPr>
                <w:b/>
              </w:rPr>
              <w:t xml:space="preserve">vropské a globální </w:t>
            </w:r>
            <w:r w:rsidR="00197167" w:rsidRPr="00642448">
              <w:rPr>
                <w:b/>
              </w:rPr>
              <w:t xml:space="preserve">úrovni, kde je projednávána problematika </w:t>
            </w:r>
            <w:r w:rsidR="00D97F70" w:rsidRPr="00642448">
              <w:rPr>
                <w:b/>
              </w:rPr>
              <w:t xml:space="preserve">koherence politik </w:t>
            </w:r>
          </w:p>
        </w:tc>
      </w:tr>
      <w:tr w:rsidR="00323046" w:rsidRPr="0042453B" w14:paraId="536685EA" w14:textId="77777777" w:rsidTr="00741C7D">
        <w:tc>
          <w:tcPr>
            <w:tcW w:w="2802" w:type="dxa"/>
          </w:tcPr>
          <w:p w14:paraId="22EC9A43" w14:textId="77777777" w:rsidR="00323046" w:rsidRPr="0042453B" w:rsidRDefault="00323046" w:rsidP="00323046">
            <w:pPr>
              <w:spacing w:line="276" w:lineRule="auto"/>
              <w:rPr>
                <w:rFonts w:ascii="Arial" w:hAnsi="Arial" w:cs="Arial"/>
                <w:sz w:val="22"/>
                <w:szCs w:val="22"/>
              </w:rPr>
            </w:pPr>
            <w:r w:rsidRPr="0042453B">
              <w:rPr>
                <w:rFonts w:ascii="Arial" w:hAnsi="Arial" w:cs="Arial"/>
                <w:sz w:val="22"/>
                <w:szCs w:val="22"/>
              </w:rPr>
              <w:t xml:space="preserve">Stručná definice: </w:t>
            </w:r>
          </w:p>
        </w:tc>
        <w:tc>
          <w:tcPr>
            <w:tcW w:w="6486" w:type="dxa"/>
          </w:tcPr>
          <w:p w14:paraId="69E6B97B" w14:textId="77777777" w:rsidR="00323046" w:rsidRPr="0042453B" w:rsidRDefault="00A55A53" w:rsidP="00642448">
            <w:pPr>
              <w:spacing w:line="276" w:lineRule="auto"/>
              <w:jc w:val="both"/>
              <w:rPr>
                <w:rFonts w:ascii="Arial" w:hAnsi="Arial" w:cs="Arial"/>
                <w:sz w:val="22"/>
                <w:szCs w:val="22"/>
              </w:rPr>
            </w:pPr>
            <w:r>
              <w:rPr>
                <w:rFonts w:ascii="Arial" w:hAnsi="Arial" w:cs="Arial"/>
                <w:sz w:val="22"/>
                <w:szCs w:val="22"/>
              </w:rPr>
              <w:t xml:space="preserve">Indikátor sleduje, do jaké míry se Česká republika zapojuje do mezinárodních </w:t>
            </w:r>
            <w:r w:rsidR="00DC63A7">
              <w:rPr>
                <w:rFonts w:ascii="Arial" w:hAnsi="Arial" w:cs="Arial"/>
                <w:sz w:val="22"/>
                <w:szCs w:val="22"/>
              </w:rPr>
              <w:t xml:space="preserve">platforem na evropské a globální úrovni </w:t>
            </w:r>
            <w:r>
              <w:rPr>
                <w:rFonts w:ascii="Arial" w:hAnsi="Arial" w:cs="Arial"/>
                <w:sz w:val="22"/>
                <w:szCs w:val="22"/>
              </w:rPr>
              <w:t xml:space="preserve">určených pro sledování </w:t>
            </w:r>
            <w:r w:rsidR="00323046">
              <w:rPr>
                <w:rFonts w:ascii="Arial" w:hAnsi="Arial" w:cs="Arial"/>
                <w:sz w:val="22"/>
                <w:szCs w:val="22"/>
              </w:rPr>
              <w:t xml:space="preserve">koherence politik. </w:t>
            </w:r>
          </w:p>
        </w:tc>
      </w:tr>
      <w:tr w:rsidR="00323046" w:rsidRPr="0042453B" w14:paraId="381375EE" w14:textId="77777777" w:rsidTr="00741C7D">
        <w:tc>
          <w:tcPr>
            <w:tcW w:w="2802" w:type="dxa"/>
          </w:tcPr>
          <w:p w14:paraId="1F2C40DF" w14:textId="77777777" w:rsidR="00323046" w:rsidRPr="0042453B" w:rsidRDefault="00323046" w:rsidP="00323046">
            <w:pPr>
              <w:spacing w:line="276" w:lineRule="auto"/>
              <w:rPr>
                <w:rFonts w:ascii="Arial" w:hAnsi="Arial" w:cs="Arial"/>
                <w:sz w:val="22"/>
                <w:szCs w:val="22"/>
              </w:rPr>
            </w:pPr>
            <w:r w:rsidRPr="0042453B">
              <w:rPr>
                <w:rFonts w:ascii="Arial" w:hAnsi="Arial" w:cs="Arial"/>
                <w:sz w:val="22"/>
                <w:szCs w:val="22"/>
              </w:rPr>
              <w:t>Jednotka:</w:t>
            </w:r>
          </w:p>
        </w:tc>
        <w:tc>
          <w:tcPr>
            <w:tcW w:w="6486" w:type="dxa"/>
          </w:tcPr>
          <w:p w14:paraId="7FC15CD6" w14:textId="77777777" w:rsidR="00323046" w:rsidRPr="0042453B" w:rsidRDefault="0028639E" w:rsidP="00642448">
            <w:pPr>
              <w:spacing w:line="276" w:lineRule="auto"/>
              <w:jc w:val="both"/>
              <w:rPr>
                <w:rFonts w:ascii="Arial" w:hAnsi="Arial" w:cs="Arial"/>
                <w:sz w:val="22"/>
                <w:szCs w:val="22"/>
              </w:rPr>
            </w:pPr>
            <w:r>
              <w:rPr>
                <w:rFonts w:ascii="Arial" w:hAnsi="Arial" w:cs="Arial"/>
                <w:sz w:val="22"/>
                <w:szCs w:val="22"/>
              </w:rPr>
              <w:t xml:space="preserve">Seznam platforem, do kterých je Česká republika zapojena. </w:t>
            </w:r>
          </w:p>
        </w:tc>
      </w:tr>
      <w:tr w:rsidR="00323046" w:rsidRPr="0042453B" w14:paraId="6E843BA1" w14:textId="77777777" w:rsidTr="00741C7D">
        <w:tc>
          <w:tcPr>
            <w:tcW w:w="2802" w:type="dxa"/>
          </w:tcPr>
          <w:p w14:paraId="5D9FEC6C" w14:textId="77777777" w:rsidR="00323046" w:rsidRPr="0042453B" w:rsidRDefault="00323046" w:rsidP="00323046">
            <w:pPr>
              <w:spacing w:line="276" w:lineRule="auto"/>
              <w:rPr>
                <w:rFonts w:ascii="Arial" w:hAnsi="Arial" w:cs="Arial"/>
                <w:sz w:val="22"/>
                <w:szCs w:val="22"/>
              </w:rPr>
            </w:pPr>
            <w:r w:rsidRPr="0042453B">
              <w:rPr>
                <w:rFonts w:ascii="Arial" w:hAnsi="Arial" w:cs="Arial"/>
                <w:sz w:val="22"/>
                <w:szCs w:val="22"/>
              </w:rPr>
              <w:t xml:space="preserve">Gestor: </w:t>
            </w:r>
          </w:p>
        </w:tc>
        <w:tc>
          <w:tcPr>
            <w:tcW w:w="6486" w:type="dxa"/>
          </w:tcPr>
          <w:p w14:paraId="5B3DD794" w14:textId="6D4D6DC0" w:rsidR="00323046" w:rsidRPr="0042453B" w:rsidRDefault="00323046" w:rsidP="00642448">
            <w:pPr>
              <w:spacing w:line="276" w:lineRule="auto"/>
              <w:jc w:val="both"/>
              <w:rPr>
                <w:rFonts w:ascii="Arial" w:hAnsi="Arial" w:cs="Arial"/>
                <w:sz w:val="22"/>
                <w:szCs w:val="22"/>
              </w:rPr>
            </w:pPr>
            <w:r>
              <w:rPr>
                <w:rFonts w:ascii="Arial" w:hAnsi="Arial" w:cs="Arial"/>
                <w:sz w:val="22"/>
                <w:szCs w:val="22"/>
              </w:rPr>
              <w:t>Úřad vlády ve spolupráci s </w:t>
            </w:r>
            <w:r w:rsidR="00F619F4">
              <w:rPr>
                <w:rFonts w:ascii="Arial" w:hAnsi="Arial" w:cs="Arial"/>
                <w:sz w:val="22"/>
                <w:szCs w:val="22"/>
              </w:rPr>
              <w:t>MZV</w:t>
            </w:r>
            <w:r>
              <w:rPr>
                <w:rFonts w:ascii="Arial" w:hAnsi="Arial" w:cs="Arial"/>
                <w:sz w:val="22"/>
                <w:szCs w:val="22"/>
              </w:rPr>
              <w:t xml:space="preserve">  </w:t>
            </w:r>
          </w:p>
        </w:tc>
      </w:tr>
      <w:tr w:rsidR="00323046" w:rsidRPr="0042453B" w14:paraId="511CA45A" w14:textId="77777777" w:rsidTr="00741C7D">
        <w:tc>
          <w:tcPr>
            <w:tcW w:w="2802" w:type="dxa"/>
          </w:tcPr>
          <w:p w14:paraId="61F07AC9" w14:textId="77777777" w:rsidR="00323046" w:rsidRPr="0042453B" w:rsidRDefault="00323046" w:rsidP="00323046">
            <w:pPr>
              <w:spacing w:line="276" w:lineRule="auto"/>
              <w:rPr>
                <w:rFonts w:ascii="Arial" w:hAnsi="Arial" w:cs="Arial"/>
                <w:sz w:val="22"/>
                <w:szCs w:val="22"/>
              </w:rPr>
            </w:pPr>
            <w:r w:rsidRPr="0042453B">
              <w:rPr>
                <w:rFonts w:ascii="Arial" w:hAnsi="Arial" w:cs="Arial"/>
                <w:sz w:val="22"/>
                <w:szCs w:val="22"/>
              </w:rPr>
              <w:t xml:space="preserve">Význam indikátoru: </w:t>
            </w:r>
          </w:p>
        </w:tc>
        <w:tc>
          <w:tcPr>
            <w:tcW w:w="6486" w:type="dxa"/>
          </w:tcPr>
          <w:p w14:paraId="61A34F0E" w14:textId="77777777" w:rsidR="00323046" w:rsidRPr="0042453B" w:rsidRDefault="0028639E" w:rsidP="00642448">
            <w:pPr>
              <w:spacing w:line="276" w:lineRule="auto"/>
              <w:jc w:val="both"/>
              <w:rPr>
                <w:rFonts w:ascii="Arial" w:hAnsi="Arial" w:cs="Arial"/>
                <w:sz w:val="22"/>
                <w:szCs w:val="22"/>
              </w:rPr>
            </w:pPr>
            <w:r>
              <w:rPr>
                <w:rFonts w:ascii="Arial" w:hAnsi="Arial" w:cs="Arial"/>
                <w:sz w:val="22"/>
                <w:szCs w:val="22"/>
              </w:rPr>
              <w:t xml:space="preserve">Účast České republiky v platformách, které se věnují </w:t>
            </w:r>
            <w:r w:rsidR="00323046">
              <w:rPr>
                <w:rFonts w:ascii="Arial" w:hAnsi="Arial" w:cs="Arial"/>
                <w:sz w:val="22"/>
                <w:szCs w:val="22"/>
              </w:rPr>
              <w:t>koherenc</w:t>
            </w:r>
            <w:r>
              <w:rPr>
                <w:rFonts w:ascii="Arial" w:hAnsi="Arial" w:cs="Arial"/>
                <w:sz w:val="22"/>
                <w:szCs w:val="22"/>
              </w:rPr>
              <w:t>i</w:t>
            </w:r>
            <w:r w:rsidR="00323046">
              <w:rPr>
                <w:rFonts w:ascii="Arial" w:hAnsi="Arial" w:cs="Arial"/>
                <w:sz w:val="22"/>
                <w:szCs w:val="22"/>
              </w:rPr>
              <w:t xml:space="preserve"> politik je jedním ze základních předpokladů </w:t>
            </w:r>
            <w:r w:rsidR="003A7BE4">
              <w:rPr>
                <w:rFonts w:ascii="Arial" w:hAnsi="Arial" w:cs="Arial"/>
                <w:sz w:val="22"/>
                <w:szCs w:val="22"/>
              </w:rPr>
              <w:t xml:space="preserve">napomáhajících </w:t>
            </w:r>
            <w:r w:rsidR="00323046">
              <w:rPr>
                <w:rFonts w:ascii="Arial" w:hAnsi="Arial" w:cs="Arial"/>
                <w:sz w:val="22"/>
                <w:szCs w:val="22"/>
              </w:rPr>
              <w:t xml:space="preserve">k prosazení sledování a naplňování koherence politik na úrovni Evropské unie, ve vnějších politikách EU a na globální úrovni. </w:t>
            </w:r>
          </w:p>
        </w:tc>
      </w:tr>
      <w:tr w:rsidR="00323046" w:rsidRPr="0042453B" w14:paraId="66720CF8" w14:textId="77777777" w:rsidTr="00741C7D">
        <w:tc>
          <w:tcPr>
            <w:tcW w:w="2802" w:type="dxa"/>
          </w:tcPr>
          <w:p w14:paraId="52D9E97C" w14:textId="77777777" w:rsidR="00323046" w:rsidRPr="0042453B" w:rsidRDefault="00323046" w:rsidP="00323046">
            <w:pPr>
              <w:spacing w:line="276" w:lineRule="auto"/>
              <w:rPr>
                <w:rFonts w:ascii="Arial" w:hAnsi="Arial" w:cs="Arial"/>
                <w:sz w:val="22"/>
                <w:szCs w:val="22"/>
              </w:rPr>
            </w:pPr>
            <w:r w:rsidRPr="0042453B">
              <w:rPr>
                <w:rFonts w:ascii="Arial" w:hAnsi="Arial" w:cs="Arial"/>
                <w:sz w:val="22"/>
                <w:szCs w:val="22"/>
              </w:rPr>
              <w:t xml:space="preserve">Časová řada: </w:t>
            </w:r>
          </w:p>
        </w:tc>
        <w:tc>
          <w:tcPr>
            <w:tcW w:w="6486" w:type="dxa"/>
          </w:tcPr>
          <w:p w14:paraId="0CDF1D41" w14:textId="77777777" w:rsidR="00323046" w:rsidRPr="0042453B" w:rsidRDefault="00323046" w:rsidP="00323046">
            <w:pPr>
              <w:spacing w:line="276" w:lineRule="auto"/>
              <w:rPr>
                <w:rFonts w:ascii="Arial" w:hAnsi="Arial" w:cs="Arial"/>
                <w:sz w:val="22"/>
                <w:szCs w:val="22"/>
              </w:rPr>
            </w:pPr>
            <w:r>
              <w:rPr>
                <w:rFonts w:ascii="Arial" w:hAnsi="Arial" w:cs="Arial"/>
                <w:sz w:val="22"/>
                <w:szCs w:val="22"/>
                <w:lang w:eastAsia="en-US"/>
              </w:rPr>
              <w:t xml:space="preserve">- </w:t>
            </w:r>
          </w:p>
        </w:tc>
      </w:tr>
      <w:tr w:rsidR="00323046" w:rsidRPr="0042453B" w14:paraId="55DD0925" w14:textId="77777777" w:rsidTr="00741C7D">
        <w:tc>
          <w:tcPr>
            <w:tcW w:w="2802" w:type="dxa"/>
          </w:tcPr>
          <w:p w14:paraId="40687570" w14:textId="77777777" w:rsidR="00323046" w:rsidRPr="0042453B" w:rsidRDefault="00323046" w:rsidP="00323046">
            <w:pPr>
              <w:spacing w:line="276" w:lineRule="auto"/>
              <w:rPr>
                <w:rFonts w:ascii="Arial" w:hAnsi="Arial" w:cs="Arial"/>
                <w:sz w:val="22"/>
                <w:szCs w:val="22"/>
              </w:rPr>
            </w:pPr>
            <w:r w:rsidRPr="0042453B">
              <w:rPr>
                <w:rFonts w:ascii="Arial" w:hAnsi="Arial" w:cs="Arial"/>
                <w:sz w:val="22"/>
                <w:szCs w:val="22"/>
              </w:rPr>
              <w:t xml:space="preserve">Frekvence výstupu: </w:t>
            </w:r>
          </w:p>
        </w:tc>
        <w:tc>
          <w:tcPr>
            <w:tcW w:w="6486" w:type="dxa"/>
          </w:tcPr>
          <w:p w14:paraId="026E2062" w14:textId="77777777" w:rsidR="00323046" w:rsidRPr="0042453B" w:rsidRDefault="00323046" w:rsidP="00323046">
            <w:pPr>
              <w:spacing w:line="276" w:lineRule="auto"/>
              <w:rPr>
                <w:rFonts w:ascii="Arial" w:hAnsi="Arial" w:cs="Arial"/>
                <w:sz w:val="22"/>
                <w:szCs w:val="22"/>
              </w:rPr>
            </w:pPr>
            <w:r>
              <w:rPr>
                <w:rFonts w:ascii="Arial" w:hAnsi="Arial" w:cs="Arial"/>
                <w:sz w:val="22"/>
                <w:szCs w:val="22"/>
                <w:lang w:eastAsia="en-US"/>
              </w:rPr>
              <w:t>R</w:t>
            </w:r>
            <w:r w:rsidRPr="0042453B">
              <w:rPr>
                <w:rFonts w:ascii="Arial" w:hAnsi="Arial" w:cs="Arial"/>
                <w:sz w:val="22"/>
                <w:szCs w:val="22"/>
                <w:lang w:eastAsia="en-US"/>
              </w:rPr>
              <w:t>očně</w:t>
            </w:r>
          </w:p>
        </w:tc>
      </w:tr>
      <w:tr w:rsidR="00323046" w:rsidRPr="0042453B" w14:paraId="35F9C3B6" w14:textId="77777777" w:rsidTr="00741C7D">
        <w:trPr>
          <w:trHeight w:val="70"/>
        </w:trPr>
        <w:tc>
          <w:tcPr>
            <w:tcW w:w="2802" w:type="dxa"/>
          </w:tcPr>
          <w:p w14:paraId="1BB4BD78" w14:textId="77777777" w:rsidR="00323046" w:rsidRPr="0042453B" w:rsidRDefault="00323046" w:rsidP="00323046">
            <w:pPr>
              <w:spacing w:line="276" w:lineRule="auto"/>
              <w:rPr>
                <w:rFonts w:ascii="Arial" w:hAnsi="Arial" w:cs="Arial"/>
                <w:sz w:val="22"/>
                <w:szCs w:val="22"/>
              </w:rPr>
            </w:pPr>
            <w:r w:rsidRPr="0042453B">
              <w:rPr>
                <w:rFonts w:ascii="Arial" w:hAnsi="Arial" w:cs="Arial"/>
                <w:sz w:val="22"/>
                <w:szCs w:val="22"/>
              </w:rPr>
              <w:t xml:space="preserve">Členění indikátoru: </w:t>
            </w:r>
          </w:p>
        </w:tc>
        <w:tc>
          <w:tcPr>
            <w:tcW w:w="6486" w:type="dxa"/>
          </w:tcPr>
          <w:p w14:paraId="7FD553B8" w14:textId="77777777" w:rsidR="00323046" w:rsidRPr="0042453B" w:rsidRDefault="00323046" w:rsidP="00323046">
            <w:pPr>
              <w:spacing w:line="276" w:lineRule="auto"/>
              <w:rPr>
                <w:rFonts w:ascii="Arial" w:hAnsi="Arial" w:cs="Arial"/>
                <w:sz w:val="22"/>
                <w:szCs w:val="22"/>
              </w:rPr>
            </w:pPr>
            <w:r w:rsidRPr="0042453B">
              <w:rPr>
                <w:rFonts w:ascii="Arial" w:hAnsi="Arial" w:cs="Arial"/>
                <w:sz w:val="22"/>
                <w:szCs w:val="22"/>
                <w:lang w:eastAsia="en-US"/>
              </w:rPr>
              <w:t>-</w:t>
            </w:r>
          </w:p>
        </w:tc>
      </w:tr>
      <w:tr w:rsidR="00323046" w:rsidRPr="0042453B" w14:paraId="0EBFA7FF" w14:textId="77777777" w:rsidTr="00741C7D">
        <w:trPr>
          <w:trHeight w:val="70"/>
        </w:trPr>
        <w:tc>
          <w:tcPr>
            <w:tcW w:w="2802" w:type="dxa"/>
          </w:tcPr>
          <w:p w14:paraId="49D5FF59" w14:textId="77777777" w:rsidR="00323046" w:rsidRPr="0042453B" w:rsidRDefault="00323046" w:rsidP="00323046">
            <w:pPr>
              <w:spacing w:line="276" w:lineRule="auto"/>
              <w:rPr>
                <w:rFonts w:ascii="Arial" w:hAnsi="Arial" w:cs="Arial"/>
                <w:sz w:val="22"/>
                <w:szCs w:val="22"/>
              </w:rPr>
            </w:pPr>
            <w:r w:rsidRPr="0042453B">
              <w:rPr>
                <w:rFonts w:ascii="Arial" w:hAnsi="Arial" w:cs="Arial"/>
                <w:sz w:val="22"/>
                <w:szCs w:val="22"/>
              </w:rPr>
              <w:t>Mezinárodní srovnání:</w:t>
            </w:r>
          </w:p>
        </w:tc>
        <w:tc>
          <w:tcPr>
            <w:tcW w:w="6486" w:type="dxa"/>
          </w:tcPr>
          <w:p w14:paraId="31B1D831" w14:textId="77777777" w:rsidR="00323046" w:rsidRPr="0042453B" w:rsidRDefault="00323046" w:rsidP="00323046">
            <w:pPr>
              <w:spacing w:line="276" w:lineRule="auto"/>
              <w:rPr>
                <w:rFonts w:ascii="Arial" w:hAnsi="Arial" w:cs="Arial"/>
                <w:sz w:val="22"/>
                <w:szCs w:val="22"/>
              </w:rPr>
            </w:pPr>
            <w:r>
              <w:rPr>
                <w:rFonts w:ascii="Arial" w:hAnsi="Arial" w:cs="Arial"/>
                <w:sz w:val="22"/>
                <w:szCs w:val="22"/>
              </w:rPr>
              <w:t>-</w:t>
            </w:r>
          </w:p>
        </w:tc>
      </w:tr>
    </w:tbl>
    <w:p w14:paraId="61DA16BB" w14:textId="16BF2B74" w:rsidR="00146D1C" w:rsidRDefault="00146D1C">
      <w:pPr>
        <w:spacing w:after="200" w:line="276" w:lineRule="auto"/>
        <w:rPr>
          <w:rFonts w:ascii="Arial" w:eastAsiaTheme="majorEastAsia" w:hAnsi="Arial" w:cs="Arial"/>
          <w:b/>
          <w:bCs/>
          <w:kern w:val="32"/>
          <w:sz w:val="28"/>
          <w:szCs w:val="32"/>
          <w:lang w:eastAsia="en-US"/>
        </w:rPr>
      </w:pPr>
      <w:r>
        <w:br w:type="page"/>
      </w:r>
    </w:p>
    <w:p w14:paraId="699C8D18" w14:textId="06D5B34F" w:rsidR="00F261A3" w:rsidRDefault="00F261A3" w:rsidP="00FB7FCA">
      <w:pPr>
        <w:pStyle w:val="Nadpis1"/>
      </w:pPr>
      <w:bookmarkStart w:id="6" w:name="_Toc476663540"/>
      <w:r>
        <w:lastRenderedPageBreak/>
        <w:t>Dobré vládnutí</w:t>
      </w:r>
      <w:bookmarkEnd w:id="6"/>
      <w:r>
        <w:t xml:space="preserve"> </w:t>
      </w:r>
    </w:p>
    <w:p w14:paraId="35DDB90C" w14:textId="20FD9A14" w:rsidR="00F261A3" w:rsidRDefault="00F261A3" w:rsidP="00F261A3">
      <w:pPr>
        <w:spacing w:line="276" w:lineRule="auto"/>
        <w:jc w:val="both"/>
        <w:rPr>
          <w:rFonts w:ascii="Arial" w:hAnsi="Arial" w:cs="Arial"/>
          <w:color w:val="000000"/>
          <w:sz w:val="22"/>
          <w:szCs w:val="22"/>
        </w:rPr>
      </w:pPr>
      <w:r>
        <w:rPr>
          <w:rFonts w:ascii="Arial" w:hAnsi="Arial" w:cs="Arial"/>
          <w:color w:val="000000"/>
          <w:sz w:val="22"/>
          <w:szCs w:val="22"/>
        </w:rPr>
        <w:t>Dosahování většiny cílů v</w:t>
      </w:r>
      <w:r w:rsidR="00537984">
        <w:rPr>
          <w:rFonts w:ascii="Arial" w:hAnsi="Arial" w:cs="Arial"/>
          <w:color w:val="000000"/>
          <w:sz w:val="22"/>
          <w:szCs w:val="22"/>
        </w:rPr>
        <w:t xml:space="preserve"> klíčové </w:t>
      </w:r>
      <w:r>
        <w:rPr>
          <w:rFonts w:ascii="Arial" w:hAnsi="Arial" w:cs="Arial"/>
          <w:color w:val="000000"/>
          <w:sz w:val="22"/>
          <w:szCs w:val="22"/>
        </w:rPr>
        <w:t xml:space="preserve">oblasti </w:t>
      </w:r>
      <w:r w:rsidR="00537984">
        <w:rPr>
          <w:rFonts w:ascii="Arial" w:hAnsi="Arial" w:cs="Arial"/>
          <w:color w:val="000000"/>
          <w:sz w:val="22"/>
          <w:szCs w:val="22"/>
        </w:rPr>
        <w:t xml:space="preserve">Dobré </w:t>
      </w:r>
      <w:r>
        <w:rPr>
          <w:rFonts w:ascii="Arial" w:hAnsi="Arial" w:cs="Arial"/>
          <w:color w:val="000000"/>
          <w:sz w:val="22"/>
          <w:szCs w:val="22"/>
        </w:rPr>
        <w:t xml:space="preserve">vládnutí nelze dobře měřit za pomoci jedné proměnné. </w:t>
      </w:r>
      <w:r w:rsidR="00537984">
        <w:rPr>
          <w:rFonts w:ascii="Arial" w:hAnsi="Arial" w:cs="Arial"/>
          <w:color w:val="000000"/>
          <w:sz w:val="22"/>
          <w:szCs w:val="22"/>
        </w:rPr>
        <w:t xml:space="preserve">Zvolené skupiny indikátorů proto </w:t>
      </w:r>
      <w:proofErr w:type="spellStart"/>
      <w:r w:rsidR="00537984">
        <w:rPr>
          <w:rFonts w:ascii="Arial" w:hAnsi="Arial" w:cs="Arial"/>
          <w:color w:val="000000"/>
          <w:sz w:val="22"/>
          <w:szCs w:val="22"/>
        </w:rPr>
        <w:t>časo</w:t>
      </w:r>
      <w:proofErr w:type="spellEnd"/>
      <w:r w:rsidR="00537984">
        <w:rPr>
          <w:rFonts w:ascii="Arial" w:hAnsi="Arial" w:cs="Arial"/>
          <w:color w:val="000000"/>
          <w:sz w:val="22"/>
          <w:szCs w:val="22"/>
        </w:rPr>
        <w:t xml:space="preserve"> postihují pouze určitý výsek daného cíle, </w:t>
      </w:r>
      <w:r>
        <w:rPr>
          <w:rFonts w:ascii="Arial" w:hAnsi="Arial" w:cs="Arial"/>
          <w:color w:val="000000"/>
          <w:sz w:val="22"/>
          <w:szCs w:val="22"/>
        </w:rPr>
        <w:t>např. proto, že právě tento výsek může dát důležitý impuls celé oblasti</w:t>
      </w:r>
      <w:r w:rsidR="00537984">
        <w:rPr>
          <w:rFonts w:ascii="Arial" w:hAnsi="Arial" w:cs="Arial"/>
          <w:color w:val="000000"/>
          <w:sz w:val="22"/>
          <w:szCs w:val="22"/>
        </w:rPr>
        <w:t>.</w:t>
      </w:r>
    </w:p>
    <w:p w14:paraId="1610C758" w14:textId="77777777" w:rsidR="00F261A3" w:rsidRDefault="00F261A3" w:rsidP="00F261A3">
      <w:pPr>
        <w:spacing w:line="276" w:lineRule="auto"/>
        <w:jc w:val="both"/>
        <w:rPr>
          <w:rFonts w:ascii="Arial" w:hAnsi="Arial" w:cs="Arial"/>
          <w:color w:val="000000"/>
          <w:sz w:val="22"/>
          <w:szCs w:val="22"/>
        </w:rPr>
      </w:pPr>
    </w:p>
    <w:p w14:paraId="1CBC4779" w14:textId="0C411961" w:rsidR="00F261A3" w:rsidRDefault="00F261A3" w:rsidP="00F261A3">
      <w:pPr>
        <w:spacing w:line="276" w:lineRule="auto"/>
        <w:jc w:val="both"/>
        <w:rPr>
          <w:rFonts w:ascii="Arial" w:hAnsi="Arial" w:cs="Arial"/>
          <w:color w:val="000000"/>
          <w:sz w:val="22"/>
          <w:szCs w:val="22"/>
        </w:rPr>
      </w:pPr>
      <w:r>
        <w:rPr>
          <w:rFonts w:ascii="Arial" w:hAnsi="Arial" w:cs="Arial"/>
          <w:color w:val="000000"/>
          <w:sz w:val="22"/>
          <w:szCs w:val="22"/>
        </w:rPr>
        <w:t>Kvantifikovatelné výsledky</w:t>
      </w:r>
      <w:r w:rsidR="00537984">
        <w:rPr>
          <w:rFonts w:ascii="Arial" w:hAnsi="Arial" w:cs="Arial"/>
          <w:color w:val="000000"/>
          <w:sz w:val="22"/>
          <w:szCs w:val="22"/>
        </w:rPr>
        <w:t xml:space="preserve"> a</w:t>
      </w:r>
      <w:r>
        <w:rPr>
          <w:rFonts w:ascii="Arial" w:hAnsi="Arial" w:cs="Arial"/>
          <w:color w:val="000000"/>
          <w:sz w:val="22"/>
          <w:szCs w:val="22"/>
        </w:rPr>
        <w:t xml:space="preserve"> výstupy</w:t>
      </w:r>
      <w:r w:rsidR="00936045">
        <w:rPr>
          <w:rFonts w:ascii="Arial" w:hAnsi="Arial" w:cs="Arial"/>
          <w:color w:val="000000"/>
          <w:sz w:val="22"/>
          <w:szCs w:val="22"/>
        </w:rPr>
        <w:t xml:space="preserve"> </w:t>
      </w:r>
      <w:r>
        <w:rPr>
          <w:rFonts w:ascii="Arial" w:hAnsi="Arial" w:cs="Arial"/>
          <w:color w:val="000000"/>
          <w:sz w:val="22"/>
          <w:szCs w:val="22"/>
        </w:rPr>
        <w:t xml:space="preserve">nejsou v řadě případů ty, které nás zajímají především. </w:t>
      </w:r>
      <w:r w:rsidR="0024168B">
        <w:rPr>
          <w:rFonts w:ascii="Arial" w:hAnsi="Arial" w:cs="Arial"/>
          <w:color w:val="000000"/>
          <w:sz w:val="22"/>
          <w:szCs w:val="22"/>
        </w:rPr>
        <w:t xml:space="preserve">Zvolené kvantitativní indikátory proto postihují také kvalitativní aspekt daného jevu, popř. u nich má podstatný význam i sama kvantita. </w:t>
      </w:r>
    </w:p>
    <w:p w14:paraId="7E0EB1E3" w14:textId="77777777" w:rsidR="00F261A3" w:rsidRDefault="00F261A3" w:rsidP="00F261A3">
      <w:pPr>
        <w:spacing w:line="276" w:lineRule="auto"/>
        <w:jc w:val="both"/>
        <w:rPr>
          <w:rFonts w:ascii="Arial" w:hAnsi="Arial" w:cs="Arial"/>
          <w:color w:val="000000"/>
          <w:sz w:val="22"/>
          <w:szCs w:val="22"/>
        </w:rPr>
      </w:pPr>
    </w:p>
    <w:p w14:paraId="14CB55DE" w14:textId="05C1244F" w:rsidR="00F261A3" w:rsidRDefault="00F261A3" w:rsidP="00F261A3">
      <w:pPr>
        <w:spacing w:line="276" w:lineRule="auto"/>
        <w:jc w:val="both"/>
        <w:rPr>
          <w:rFonts w:ascii="Arial" w:hAnsi="Arial" w:cs="Arial"/>
          <w:color w:val="000000"/>
          <w:sz w:val="22"/>
          <w:szCs w:val="22"/>
        </w:rPr>
      </w:pPr>
      <w:r>
        <w:rPr>
          <w:rFonts w:ascii="Arial" w:hAnsi="Arial" w:cs="Arial"/>
          <w:color w:val="000000"/>
          <w:sz w:val="22"/>
          <w:szCs w:val="22"/>
        </w:rPr>
        <w:t>Indikátory se budou během let postupně měnit</w:t>
      </w:r>
      <w:r w:rsidR="00A61D66">
        <w:rPr>
          <w:rFonts w:ascii="Arial" w:hAnsi="Arial" w:cs="Arial"/>
          <w:color w:val="000000"/>
          <w:sz w:val="22"/>
          <w:szCs w:val="22"/>
        </w:rPr>
        <w:t xml:space="preserve"> </w:t>
      </w:r>
      <w:r w:rsidR="0024168B">
        <w:rPr>
          <w:rFonts w:ascii="Arial" w:hAnsi="Arial" w:cs="Arial"/>
          <w:color w:val="000000"/>
          <w:sz w:val="22"/>
          <w:szCs w:val="22"/>
        </w:rPr>
        <w:t>v souladu s tvorbou</w:t>
      </w:r>
      <w:r>
        <w:rPr>
          <w:rFonts w:ascii="Arial" w:hAnsi="Arial" w:cs="Arial"/>
          <w:color w:val="000000"/>
          <w:sz w:val="22"/>
          <w:szCs w:val="22"/>
        </w:rPr>
        <w:t xml:space="preserve"> konkrétní</w:t>
      </w:r>
      <w:r w:rsidR="0024168B">
        <w:rPr>
          <w:rFonts w:ascii="Arial" w:hAnsi="Arial" w:cs="Arial"/>
          <w:color w:val="000000"/>
          <w:sz w:val="22"/>
          <w:szCs w:val="22"/>
        </w:rPr>
        <w:t>ch</w:t>
      </w:r>
      <w:r>
        <w:rPr>
          <w:rFonts w:ascii="Arial" w:hAnsi="Arial" w:cs="Arial"/>
          <w:color w:val="000000"/>
          <w:sz w:val="22"/>
          <w:szCs w:val="22"/>
        </w:rPr>
        <w:t xml:space="preserve"> opatření v </w:t>
      </w:r>
      <w:r w:rsidR="0024168B">
        <w:rPr>
          <w:rFonts w:ascii="Arial" w:hAnsi="Arial" w:cs="Arial"/>
          <w:color w:val="000000"/>
          <w:sz w:val="22"/>
          <w:szCs w:val="22"/>
        </w:rPr>
        <w:t xml:space="preserve"> rámci procesu implementace</w:t>
      </w:r>
      <w:r>
        <w:rPr>
          <w:rFonts w:ascii="Arial" w:hAnsi="Arial" w:cs="Arial"/>
          <w:color w:val="000000"/>
          <w:sz w:val="22"/>
          <w:szCs w:val="22"/>
        </w:rPr>
        <w:t xml:space="preserve"> </w:t>
      </w:r>
      <w:r w:rsidR="000965BD" w:rsidRPr="00936045">
        <w:rPr>
          <w:rFonts w:ascii="Arial" w:hAnsi="Arial" w:cs="Arial"/>
          <w:i/>
          <w:color w:val="000000"/>
          <w:sz w:val="22"/>
          <w:szCs w:val="22"/>
        </w:rPr>
        <w:t>České republiky 2030</w:t>
      </w:r>
      <w:r>
        <w:rPr>
          <w:rFonts w:ascii="Arial" w:hAnsi="Arial" w:cs="Arial"/>
          <w:color w:val="000000"/>
          <w:sz w:val="22"/>
          <w:szCs w:val="22"/>
        </w:rPr>
        <w:t xml:space="preserve">, s vytvářením strategických materiálů nižších úrovní a </w:t>
      </w:r>
      <w:r w:rsidR="0024168B">
        <w:rPr>
          <w:rFonts w:ascii="Arial" w:hAnsi="Arial" w:cs="Arial"/>
          <w:color w:val="000000"/>
          <w:sz w:val="22"/>
          <w:szCs w:val="22"/>
        </w:rPr>
        <w:t>s naplňováním či úpravou specifických cílů</w:t>
      </w:r>
      <w:r>
        <w:rPr>
          <w:rFonts w:ascii="Arial" w:hAnsi="Arial" w:cs="Arial"/>
          <w:color w:val="000000"/>
          <w:sz w:val="22"/>
          <w:szCs w:val="22"/>
        </w:rPr>
        <w:t>.</w:t>
      </w:r>
      <w:r w:rsidR="00692933">
        <w:rPr>
          <w:rFonts w:ascii="Arial" w:hAnsi="Arial" w:cs="Arial"/>
          <w:color w:val="000000"/>
          <w:sz w:val="22"/>
          <w:szCs w:val="22"/>
        </w:rPr>
        <w:t xml:space="preserve"> </w:t>
      </w:r>
      <w:r w:rsidR="00692933" w:rsidRPr="001E606F">
        <w:rPr>
          <w:rFonts w:ascii="Arial" w:hAnsi="Arial" w:cs="Arial"/>
          <w:color w:val="000000"/>
          <w:sz w:val="22"/>
          <w:szCs w:val="22"/>
        </w:rPr>
        <w:t>(V aktuální indikátorové sadě mohou být příkladem indikátory Strategického rámce rozvoje veřejné správy</w:t>
      </w:r>
      <w:r w:rsidR="00692933">
        <w:rPr>
          <w:rFonts w:ascii="Arial" w:hAnsi="Arial" w:cs="Arial"/>
          <w:color w:val="000000"/>
          <w:sz w:val="22"/>
          <w:szCs w:val="22"/>
        </w:rPr>
        <w:t>, které po roce 2020 již nemusí být sledovány a místo nich mohou být indikátory jiné, nebo sice tytéž, ale jako součást jiných záměrů a strategických materiálů nižší úrovně</w:t>
      </w:r>
      <w:r w:rsidR="00692933" w:rsidRPr="001E606F">
        <w:rPr>
          <w:rFonts w:ascii="Arial" w:hAnsi="Arial" w:cs="Arial"/>
          <w:color w:val="000000"/>
          <w:sz w:val="22"/>
          <w:szCs w:val="22"/>
        </w:rPr>
        <w:t>.)</w:t>
      </w:r>
    </w:p>
    <w:p w14:paraId="57A9D7A0" w14:textId="77777777" w:rsidR="00F261A3" w:rsidRDefault="00F261A3" w:rsidP="00F261A3">
      <w:pPr>
        <w:spacing w:line="276" w:lineRule="auto"/>
        <w:jc w:val="both"/>
        <w:rPr>
          <w:rFonts w:ascii="Arial" w:hAnsi="Arial" w:cs="Arial"/>
          <w:color w:val="000000"/>
          <w:sz w:val="22"/>
          <w:szCs w:val="22"/>
        </w:rPr>
      </w:pPr>
    </w:p>
    <w:p w14:paraId="29C1F4E3" w14:textId="5D9A9675" w:rsidR="00F261A3" w:rsidRDefault="00F261A3" w:rsidP="00F261A3">
      <w:pPr>
        <w:spacing w:line="276" w:lineRule="auto"/>
        <w:jc w:val="both"/>
        <w:rPr>
          <w:rFonts w:ascii="Arial" w:hAnsi="Arial" w:cs="Arial"/>
          <w:color w:val="000000"/>
          <w:sz w:val="22"/>
          <w:szCs w:val="22"/>
        </w:rPr>
      </w:pPr>
      <w:r>
        <w:rPr>
          <w:rFonts w:ascii="Arial" w:hAnsi="Arial" w:cs="Arial"/>
          <w:color w:val="000000"/>
          <w:sz w:val="22"/>
          <w:szCs w:val="22"/>
        </w:rPr>
        <w:t xml:space="preserve">Obecně klademe v práci s indikátory důraz na proces, který by měl mít charakter participativní a </w:t>
      </w:r>
      <w:proofErr w:type="spellStart"/>
      <w:r>
        <w:rPr>
          <w:rFonts w:ascii="Arial" w:hAnsi="Arial" w:cs="Arial"/>
          <w:color w:val="000000"/>
          <w:sz w:val="22"/>
          <w:szCs w:val="22"/>
        </w:rPr>
        <w:t>deliberativní</w:t>
      </w:r>
      <w:proofErr w:type="spellEnd"/>
      <w:r>
        <w:rPr>
          <w:rFonts w:ascii="Arial" w:hAnsi="Arial" w:cs="Arial"/>
          <w:color w:val="000000"/>
          <w:sz w:val="22"/>
          <w:szCs w:val="22"/>
        </w:rPr>
        <w:t xml:space="preserve">: síť aktérů, kteří jsou v dané oblasti zainteresovaní a kteří se scházejí, aby diskutovali své zkušenosti a sdíleli informace relevantní </w:t>
      </w:r>
      <w:r w:rsidR="00A61D66">
        <w:rPr>
          <w:rFonts w:ascii="Arial" w:hAnsi="Arial" w:cs="Arial"/>
          <w:color w:val="000000"/>
          <w:sz w:val="22"/>
          <w:szCs w:val="22"/>
        </w:rPr>
        <w:t xml:space="preserve">pro </w:t>
      </w:r>
      <w:r>
        <w:rPr>
          <w:rFonts w:ascii="Arial" w:hAnsi="Arial" w:cs="Arial"/>
          <w:color w:val="000000"/>
          <w:sz w:val="22"/>
          <w:szCs w:val="22"/>
        </w:rPr>
        <w:t>naplňování cílů. Indikátory představují pouze základní kostru a nebudou nikdy stát samostatně, bez kontextu.</w:t>
      </w:r>
    </w:p>
    <w:p w14:paraId="10DC6130" w14:textId="77777777" w:rsidR="00F261A3" w:rsidRDefault="00F261A3" w:rsidP="00F261A3">
      <w:pPr>
        <w:spacing w:line="276" w:lineRule="auto"/>
        <w:jc w:val="both"/>
        <w:rPr>
          <w:rFonts w:ascii="Arial" w:hAnsi="Arial" w:cs="Arial"/>
          <w:color w:val="000000"/>
          <w:sz w:val="22"/>
          <w:szCs w:val="22"/>
        </w:rPr>
      </w:pPr>
    </w:p>
    <w:p w14:paraId="7189352B" w14:textId="77777777" w:rsidR="00F261A3" w:rsidRDefault="00F261A3" w:rsidP="00A61D66">
      <w:pPr>
        <w:pStyle w:val="r2030cle"/>
        <w:numPr>
          <w:ilvl w:val="0"/>
          <w:numId w:val="17"/>
        </w:numPr>
        <w:ind w:left="567" w:hanging="425"/>
        <w:jc w:val="both"/>
        <w:rPr>
          <w:rFonts w:eastAsiaTheme="minorHAnsi"/>
          <w:lang w:eastAsia="en-US"/>
        </w:rPr>
      </w:pPr>
      <w:r>
        <w:rPr>
          <w:rFonts w:eastAsiaTheme="minorHAnsi"/>
          <w:lang w:eastAsia="en-US"/>
        </w:rPr>
        <w:t>Tvůrci veřejných politik mají znalosti a dovednosti, které jim umožňují plnohodnotnou účast ve veřejné rozpravě.</w:t>
      </w:r>
    </w:p>
    <w:p w14:paraId="37C99E72" w14:textId="77777777" w:rsidR="00F261A3" w:rsidRDefault="00F261A3" w:rsidP="001731DC">
      <w:pPr>
        <w:pStyle w:val="r2030podcle"/>
        <w:numPr>
          <w:ilvl w:val="1"/>
          <w:numId w:val="17"/>
        </w:numPr>
        <w:ind w:left="567" w:hanging="425"/>
        <w:jc w:val="both"/>
      </w:pPr>
      <w:r>
        <w:t xml:space="preserve">Systém vzdělávání zaměstnanců a zaměstnankyň veřejné správy reálně rozvine koncepční uvažování a zprostředkuje nejnovější </w:t>
      </w:r>
      <w:r>
        <w:rPr>
          <w:bCs/>
        </w:rPr>
        <w:t>vědecké poznatky, kontakt se zkušenostmi z jiných zemí a vhled do způsobu, jak s těmito poznatky kriticky pracovat.</w:t>
      </w:r>
    </w:p>
    <w:tbl>
      <w:tblPr>
        <w:tblStyle w:val="Mkatabulky"/>
        <w:tblW w:w="0" w:type="auto"/>
        <w:tblLook w:val="04A0" w:firstRow="1" w:lastRow="0" w:firstColumn="1" w:lastColumn="0" w:noHBand="0" w:noVBand="1"/>
      </w:tblPr>
      <w:tblGrid>
        <w:gridCol w:w="2802"/>
        <w:gridCol w:w="6486"/>
      </w:tblGrid>
      <w:tr w:rsidR="00F261A3" w14:paraId="35ECC476"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4CD03D93"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Název a označení indikátoru: </w:t>
            </w:r>
          </w:p>
        </w:tc>
        <w:tc>
          <w:tcPr>
            <w:tcW w:w="6486" w:type="dxa"/>
            <w:tcBorders>
              <w:top w:val="single" w:sz="4" w:space="0" w:color="auto"/>
              <w:left w:val="single" w:sz="4" w:space="0" w:color="auto"/>
              <w:bottom w:val="single" w:sz="4" w:space="0" w:color="auto"/>
              <w:right w:val="single" w:sz="4" w:space="0" w:color="auto"/>
            </w:tcBorders>
            <w:hideMark/>
          </w:tcPr>
          <w:p w14:paraId="6BD71926" w14:textId="45C5F6A8" w:rsidR="00F261A3" w:rsidRDefault="00F261A3" w:rsidP="00642448">
            <w:pPr>
              <w:spacing w:line="276" w:lineRule="auto"/>
              <w:jc w:val="both"/>
              <w:rPr>
                <w:rFonts w:ascii="Arial" w:hAnsi="Arial" w:cs="Arial"/>
                <w:b/>
                <w:sz w:val="22"/>
                <w:szCs w:val="22"/>
                <w:lang w:eastAsia="en-US"/>
              </w:rPr>
            </w:pPr>
            <w:r>
              <w:rPr>
                <w:rFonts w:ascii="Arial" w:hAnsi="Arial" w:cs="Arial"/>
                <w:b/>
                <w:sz w:val="22"/>
                <w:szCs w:val="22"/>
                <w:lang w:eastAsia="en-US"/>
              </w:rPr>
              <w:t>23.1.1 Počet projektů realizovaných správními úřady v oblasti vzdělávání a v oblasti tvorby nových nebo úpravy stávajících vnitřních systémů vzdělávání či koncepcí/strategií vzdělávání</w:t>
            </w:r>
          </w:p>
        </w:tc>
      </w:tr>
      <w:tr w:rsidR="00F261A3" w14:paraId="0A52BB20"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5739ADDF"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Stručná definice: </w:t>
            </w:r>
          </w:p>
        </w:tc>
        <w:tc>
          <w:tcPr>
            <w:tcW w:w="6486" w:type="dxa"/>
            <w:tcBorders>
              <w:top w:val="single" w:sz="4" w:space="0" w:color="auto"/>
              <w:left w:val="single" w:sz="4" w:space="0" w:color="auto"/>
              <w:bottom w:val="single" w:sz="4" w:space="0" w:color="auto"/>
              <w:right w:val="single" w:sz="4" w:space="0" w:color="auto"/>
            </w:tcBorders>
          </w:tcPr>
          <w:p w14:paraId="5AD01708"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Indikátor 4.2.4. SRRVS: „Počet projektů realizovaných správními úřady v oblasti vzdělávání a v oblasti tvorby nových nebo úpravy stávajících vnitřních systémů vzdělávání či koncepcí/strategií vzdělávání. Definice: Nejméně 1 realizovaný projekt v oblasti vzdělávání a v oblasti tvorby nových nebo úpravy stávajících vnitřních systémů vzdělávání či koncepcí/strategií vzdělávání.“</w:t>
            </w:r>
          </w:p>
          <w:p w14:paraId="7C1071A2" w14:textId="77777777" w:rsidR="00F261A3" w:rsidRDefault="00F261A3" w:rsidP="00642448">
            <w:pPr>
              <w:spacing w:line="276" w:lineRule="auto"/>
              <w:jc w:val="both"/>
              <w:rPr>
                <w:rFonts w:ascii="Arial" w:hAnsi="Arial" w:cs="Arial"/>
                <w:sz w:val="22"/>
                <w:szCs w:val="22"/>
                <w:lang w:eastAsia="en-US"/>
              </w:rPr>
            </w:pPr>
          </w:p>
          <w:p w14:paraId="1DE44AFD" w14:textId="7268D5BC"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 xml:space="preserve">Kvalitativní aspekt: struktura vzdělávacích projektů </w:t>
            </w:r>
            <w:r w:rsidR="000965BD">
              <w:rPr>
                <w:rFonts w:ascii="Arial" w:hAnsi="Arial" w:cs="Arial"/>
                <w:sz w:val="22"/>
                <w:szCs w:val="22"/>
                <w:lang w:eastAsia="en-US"/>
              </w:rPr>
              <w:t>a význam prvků uvedených ve specifickém cíli</w:t>
            </w:r>
            <w:r w:rsidR="001A2883">
              <w:rPr>
                <w:rFonts w:ascii="Arial" w:hAnsi="Arial" w:cs="Arial"/>
                <w:sz w:val="22"/>
                <w:szCs w:val="22"/>
                <w:lang w:eastAsia="en-US"/>
              </w:rPr>
              <w:t xml:space="preserve"> 23</w:t>
            </w:r>
            <w:r w:rsidR="000965BD">
              <w:rPr>
                <w:rFonts w:ascii="Arial" w:hAnsi="Arial" w:cs="Arial"/>
                <w:sz w:val="22"/>
                <w:szCs w:val="22"/>
                <w:lang w:eastAsia="en-US"/>
              </w:rPr>
              <w:t>.1</w:t>
            </w:r>
            <w:r>
              <w:rPr>
                <w:rFonts w:ascii="Arial" w:hAnsi="Arial" w:cs="Arial"/>
                <w:sz w:val="22"/>
                <w:szCs w:val="22"/>
                <w:lang w:eastAsia="en-US"/>
              </w:rPr>
              <w:t xml:space="preserve"> v těchto projektech; následná evidence kursů určitého typu, počtu lidí, kteří se jich zúčastnili a především způsobu, jak se poznatky z kursu </w:t>
            </w:r>
            <w:r>
              <w:rPr>
                <w:rFonts w:ascii="Arial" w:hAnsi="Arial" w:cs="Arial"/>
                <w:sz w:val="22"/>
                <w:szCs w:val="22"/>
                <w:lang w:eastAsia="en-US"/>
              </w:rPr>
              <w:lastRenderedPageBreak/>
              <w:t xml:space="preserve">promítly do práce správních úřadů (údaje evidované úřady dle služebního předpisu </w:t>
            </w:r>
            <w:r w:rsidR="007A2332">
              <w:rPr>
                <w:rFonts w:ascii="Arial" w:hAnsi="Arial" w:cs="Arial"/>
                <w:sz w:val="22"/>
                <w:szCs w:val="22"/>
                <w:lang w:eastAsia="en-US"/>
              </w:rPr>
              <w:t>náměstka ministra vnitra pro státní službu</w:t>
            </w:r>
            <w:r>
              <w:rPr>
                <w:rFonts w:ascii="Arial" w:hAnsi="Arial" w:cs="Arial"/>
                <w:sz w:val="22"/>
                <w:szCs w:val="22"/>
                <w:lang w:eastAsia="en-US"/>
              </w:rPr>
              <w:t xml:space="preserve"> 9/2015). </w:t>
            </w:r>
          </w:p>
          <w:p w14:paraId="5A1D9E8E" w14:textId="77777777" w:rsidR="00F261A3" w:rsidRDefault="00F261A3" w:rsidP="00642448">
            <w:pPr>
              <w:spacing w:line="276" w:lineRule="auto"/>
              <w:jc w:val="both"/>
              <w:rPr>
                <w:rFonts w:ascii="Arial" w:hAnsi="Arial" w:cs="Arial"/>
                <w:sz w:val="22"/>
                <w:szCs w:val="22"/>
                <w:lang w:eastAsia="en-US"/>
              </w:rPr>
            </w:pPr>
          </w:p>
          <w:p w14:paraId="3D5894D6"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 xml:space="preserve">Pokud půjde o projekty </w:t>
            </w:r>
            <w:r w:rsidR="00FA6CB1">
              <w:rPr>
                <w:rFonts w:ascii="Arial" w:hAnsi="Arial" w:cs="Arial"/>
                <w:sz w:val="22"/>
                <w:szCs w:val="22"/>
                <w:lang w:eastAsia="en-US"/>
              </w:rPr>
              <w:t>v OPZ, spolupráce s Ministerstvem</w:t>
            </w:r>
            <w:r>
              <w:rPr>
                <w:rFonts w:ascii="Arial" w:hAnsi="Arial" w:cs="Arial"/>
                <w:sz w:val="22"/>
                <w:szCs w:val="22"/>
                <w:lang w:eastAsia="en-US"/>
              </w:rPr>
              <w:t xml:space="preserve"> práce a sociálních věcí.</w:t>
            </w:r>
          </w:p>
        </w:tc>
      </w:tr>
      <w:tr w:rsidR="00F261A3" w14:paraId="52AE50BC"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22E164E3"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lastRenderedPageBreak/>
              <w:t>Jednotka:</w:t>
            </w:r>
          </w:p>
        </w:tc>
        <w:tc>
          <w:tcPr>
            <w:tcW w:w="6486" w:type="dxa"/>
            <w:tcBorders>
              <w:top w:val="single" w:sz="4" w:space="0" w:color="auto"/>
              <w:left w:val="single" w:sz="4" w:space="0" w:color="auto"/>
              <w:bottom w:val="single" w:sz="4" w:space="0" w:color="auto"/>
              <w:right w:val="single" w:sz="4" w:space="0" w:color="auto"/>
            </w:tcBorders>
            <w:hideMark/>
          </w:tcPr>
          <w:p w14:paraId="3BE81D06"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Počet</w:t>
            </w:r>
          </w:p>
        </w:tc>
      </w:tr>
      <w:tr w:rsidR="00F261A3" w14:paraId="5B73D595"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045C292C"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Gestor: </w:t>
            </w:r>
          </w:p>
        </w:tc>
        <w:tc>
          <w:tcPr>
            <w:tcW w:w="6486" w:type="dxa"/>
            <w:tcBorders>
              <w:top w:val="single" w:sz="4" w:space="0" w:color="auto"/>
              <w:left w:val="single" w:sz="4" w:space="0" w:color="auto"/>
              <w:bottom w:val="single" w:sz="4" w:space="0" w:color="auto"/>
              <w:right w:val="single" w:sz="4" w:space="0" w:color="auto"/>
            </w:tcBorders>
            <w:hideMark/>
          </w:tcPr>
          <w:p w14:paraId="5EA42D89"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Ministerstvo vnitra</w:t>
            </w:r>
          </w:p>
        </w:tc>
      </w:tr>
      <w:tr w:rsidR="00F261A3" w14:paraId="4B1E89A4"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05D595CA"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Význam indikátoru: </w:t>
            </w:r>
          </w:p>
        </w:tc>
        <w:tc>
          <w:tcPr>
            <w:tcW w:w="6486" w:type="dxa"/>
            <w:tcBorders>
              <w:top w:val="single" w:sz="4" w:space="0" w:color="auto"/>
              <w:left w:val="single" w:sz="4" w:space="0" w:color="auto"/>
              <w:bottom w:val="single" w:sz="4" w:space="0" w:color="auto"/>
              <w:right w:val="single" w:sz="4" w:space="0" w:color="auto"/>
            </w:tcBorders>
            <w:hideMark/>
          </w:tcPr>
          <w:p w14:paraId="6DE025FF"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Dlouhodobá efektivita vládnutí: Předpoklad efektu dobře nastavených vzdělávacích systémů na znalosti a dovednosti nutné pro dobrou tvorbu veřejných politik.</w:t>
            </w:r>
          </w:p>
        </w:tc>
      </w:tr>
      <w:tr w:rsidR="00F261A3" w14:paraId="79F9393B"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6D9348E5"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Časová řada: </w:t>
            </w:r>
          </w:p>
        </w:tc>
        <w:tc>
          <w:tcPr>
            <w:tcW w:w="6486" w:type="dxa"/>
            <w:tcBorders>
              <w:top w:val="single" w:sz="4" w:space="0" w:color="auto"/>
              <w:left w:val="single" w:sz="4" w:space="0" w:color="auto"/>
              <w:bottom w:val="single" w:sz="4" w:space="0" w:color="auto"/>
              <w:right w:val="single" w:sz="4" w:space="0" w:color="auto"/>
            </w:tcBorders>
            <w:hideMark/>
          </w:tcPr>
          <w:p w14:paraId="46605DBF"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Od roku 2017 (zpráva o stavu vzdělávání zaměstnanců, která bude - dle Výroční správy o stavu veřejné správy v ČR v roce 2015 - předkládána každoročně vládě), resp. 2018 (evaluační zpráva personálních procesů Ministerstva vnitra)</w:t>
            </w:r>
          </w:p>
        </w:tc>
      </w:tr>
      <w:tr w:rsidR="00F261A3" w14:paraId="35D6FE25"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69158C42"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Frekvence výstupu: </w:t>
            </w:r>
          </w:p>
        </w:tc>
        <w:tc>
          <w:tcPr>
            <w:tcW w:w="6486" w:type="dxa"/>
            <w:tcBorders>
              <w:top w:val="single" w:sz="4" w:space="0" w:color="auto"/>
              <w:left w:val="single" w:sz="4" w:space="0" w:color="auto"/>
              <w:bottom w:val="single" w:sz="4" w:space="0" w:color="auto"/>
              <w:right w:val="single" w:sz="4" w:space="0" w:color="auto"/>
            </w:tcBorders>
            <w:hideMark/>
          </w:tcPr>
          <w:p w14:paraId="7AB2BBAE" w14:textId="10E0A5FE" w:rsidR="00F261A3" w:rsidRDefault="000965BD" w:rsidP="00642448">
            <w:pPr>
              <w:spacing w:line="276" w:lineRule="auto"/>
              <w:jc w:val="both"/>
              <w:rPr>
                <w:rFonts w:ascii="Arial" w:hAnsi="Arial" w:cs="Arial"/>
                <w:sz w:val="22"/>
                <w:szCs w:val="22"/>
                <w:lang w:eastAsia="en-US"/>
              </w:rPr>
            </w:pPr>
            <w:r>
              <w:rPr>
                <w:rFonts w:ascii="Arial" w:hAnsi="Arial" w:cs="Arial"/>
                <w:sz w:val="22"/>
                <w:szCs w:val="22"/>
                <w:lang w:eastAsia="en-US"/>
              </w:rPr>
              <w:t>Každý rok, resp. Jednou</w:t>
            </w:r>
            <w:r w:rsidR="00F261A3">
              <w:rPr>
                <w:rFonts w:ascii="Arial" w:hAnsi="Arial" w:cs="Arial"/>
                <w:sz w:val="22"/>
                <w:szCs w:val="22"/>
                <w:lang w:eastAsia="en-US"/>
              </w:rPr>
              <w:t xml:space="preserve"> za 2 roky </w:t>
            </w:r>
          </w:p>
        </w:tc>
      </w:tr>
      <w:tr w:rsidR="00F261A3" w14:paraId="73300FE4" w14:textId="77777777" w:rsidTr="0062345D">
        <w:trPr>
          <w:trHeight w:val="70"/>
        </w:trPr>
        <w:tc>
          <w:tcPr>
            <w:tcW w:w="2802" w:type="dxa"/>
            <w:tcBorders>
              <w:top w:val="single" w:sz="4" w:space="0" w:color="auto"/>
              <w:left w:val="single" w:sz="4" w:space="0" w:color="auto"/>
              <w:bottom w:val="single" w:sz="4" w:space="0" w:color="auto"/>
              <w:right w:val="single" w:sz="4" w:space="0" w:color="auto"/>
            </w:tcBorders>
            <w:hideMark/>
          </w:tcPr>
          <w:p w14:paraId="13E095B4"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Členění indikátoru: </w:t>
            </w:r>
          </w:p>
        </w:tc>
        <w:tc>
          <w:tcPr>
            <w:tcW w:w="6486" w:type="dxa"/>
            <w:tcBorders>
              <w:top w:val="single" w:sz="4" w:space="0" w:color="auto"/>
              <w:left w:val="single" w:sz="4" w:space="0" w:color="auto"/>
              <w:bottom w:val="single" w:sz="4" w:space="0" w:color="auto"/>
              <w:right w:val="single" w:sz="4" w:space="0" w:color="auto"/>
            </w:tcBorders>
            <w:hideMark/>
          </w:tcPr>
          <w:p w14:paraId="29DBE013"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w:t>
            </w:r>
          </w:p>
        </w:tc>
      </w:tr>
      <w:tr w:rsidR="00F261A3" w14:paraId="0208219C" w14:textId="77777777" w:rsidTr="0062345D">
        <w:trPr>
          <w:trHeight w:val="70"/>
        </w:trPr>
        <w:tc>
          <w:tcPr>
            <w:tcW w:w="2802" w:type="dxa"/>
            <w:tcBorders>
              <w:top w:val="single" w:sz="4" w:space="0" w:color="auto"/>
              <w:left w:val="single" w:sz="4" w:space="0" w:color="auto"/>
              <w:bottom w:val="single" w:sz="4" w:space="0" w:color="auto"/>
              <w:right w:val="single" w:sz="4" w:space="0" w:color="auto"/>
            </w:tcBorders>
            <w:hideMark/>
          </w:tcPr>
          <w:p w14:paraId="15DE999D"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Mezinárodní srovnání:</w:t>
            </w:r>
          </w:p>
        </w:tc>
        <w:tc>
          <w:tcPr>
            <w:tcW w:w="6486" w:type="dxa"/>
            <w:tcBorders>
              <w:top w:val="single" w:sz="4" w:space="0" w:color="auto"/>
              <w:left w:val="single" w:sz="4" w:space="0" w:color="auto"/>
              <w:bottom w:val="single" w:sz="4" w:space="0" w:color="auto"/>
              <w:right w:val="single" w:sz="4" w:space="0" w:color="auto"/>
            </w:tcBorders>
            <w:hideMark/>
          </w:tcPr>
          <w:p w14:paraId="17B7D236"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w:t>
            </w:r>
          </w:p>
        </w:tc>
      </w:tr>
    </w:tbl>
    <w:p w14:paraId="0CFE15CC" w14:textId="77777777" w:rsidR="00F261A3" w:rsidRDefault="00F261A3" w:rsidP="00F261A3">
      <w:pPr>
        <w:spacing w:line="276" w:lineRule="auto"/>
        <w:rPr>
          <w:rFonts w:ascii="Arial" w:eastAsiaTheme="minorHAnsi" w:hAnsi="Arial" w:cs="Arial"/>
          <w:bCs/>
          <w:sz w:val="22"/>
          <w:szCs w:val="22"/>
          <w:lang w:eastAsia="en-US"/>
        </w:rPr>
      </w:pPr>
    </w:p>
    <w:tbl>
      <w:tblPr>
        <w:tblStyle w:val="Mkatabulky"/>
        <w:tblW w:w="0" w:type="auto"/>
        <w:tblLook w:val="04A0" w:firstRow="1" w:lastRow="0" w:firstColumn="1" w:lastColumn="0" w:noHBand="0" w:noVBand="1"/>
      </w:tblPr>
      <w:tblGrid>
        <w:gridCol w:w="2802"/>
        <w:gridCol w:w="6486"/>
      </w:tblGrid>
      <w:tr w:rsidR="00F261A3" w14:paraId="4EC8CA3A"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0A96E877"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Název a označení indikátoru: </w:t>
            </w:r>
          </w:p>
        </w:tc>
        <w:tc>
          <w:tcPr>
            <w:tcW w:w="6486" w:type="dxa"/>
            <w:tcBorders>
              <w:top w:val="single" w:sz="4" w:space="0" w:color="auto"/>
              <w:left w:val="single" w:sz="4" w:space="0" w:color="auto"/>
              <w:bottom w:val="single" w:sz="4" w:space="0" w:color="auto"/>
              <w:right w:val="single" w:sz="4" w:space="0" w:color="auto"/>
            </w:tcBorders>
            <w:hideMark/>
          </w:tcPr>
          <w:p w14:paraId="5A60CDEC" w14:textId="77777777" w:rsidR="00F261A3" w:rsidRDefault="00F261A3" w:rsidP="00642448">
            <w:pPr>
              <w:spacing w:line="276" w:lineRule="auto"/>
              <w:jc w:val="both"/>
              <w:rPr>
                <w:rFonts w:ascii="Arial" w:hAnsi="Arial" w:cs="Arial"/>
                <w:b/>
                <w:sz w:val="22"/>
                <w:szCs w:val="22"/>
                <w:lang w:eastAsia="en-US"/>
              </w:rPr>
            </w:pPr>
            <w:r>
              <w:rPr>
                <w:rFonts w:ascii="Arial" w:hAnsi="Arial" w:cs="Arial"/>
                <w:b/>
                <w:sz w:val="22"/>
                <w:szCs w:val="22"/>
                <w:lang w:eastAsia="en-US"/>
              </w:rPr>
              <w:t>23.1.2 Počet projektů realizovaných územními samosprávnými celky v oblasti vzdělávání zaměstnanců a rozvoje lidských zdrojů</w:t>
            </w:r>
          </w:p>
        </w:tc>
      </w:tr>
      <w:tr w:rsidR="00F261A3" w14:paraId="45AD22B9"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0802F0CF"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Stručná definice: </w:t>
            </w:r>
          </w:p>
        </w:tc>
        <w:tc>
          <w:tcPr>
            <w:tcW w:w="6486" w:type="dxa"/>
            <w:tcBorders>
              <w:top w:val="single" w:sz="4" w:space="0" w:color="auto"/>
              <w:left w:val="single" w:sz="4" w:space="0" w:color="auto"/>
              <w:bottom w:val="single" w:sz="4" w:space="0" w:color="auto"/>
              <w:right w:val="single" w:sz="4" w:space="0" w:color="auto"/>
            </w:tcBorders>
          </w:tcPr>
          <w:p w14:paraId="73DCF197" w14:textId="24B5A730"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 xml:space="preserve">Indikátor 4.3.2. </w:t>
            </w:r>
            <w:r w:rsidR="000965BD">
              <w:rPr>
                <w:rFonts w:ascii="Arial" w:hAnsi="Arial" w:cs="Arial"/>
                <w:sz w:val="22"/>
                <w:szCs w:val="22"/>
                <w:lang w:eastAsia="en-US"/>
              </w:rPr>
              <w:t>SRRVS</w:t>
            </w:r>
            <w:r>
              <w:rPr>
                <w:rFonts w:ascii="Arial" w:hAnsi="Arial" w:cs="Arial"/>
                <w:sz w:val="22"/>
                <w:szCs w:val="22"/>
                <w:lang w:eastAsia="en-US"/>
              </w:rPr>
              <w:t>: „Počet projektů realizovaných územními samosprávnými celky v oblasti vzdělávání zaměstnanců a rozvoje lidských zdrojů. Definice: Nejméně 10 realizovaných projektů územních samosprávných celků v oblasti vzdělávání zaměstnanců a rozvoje lidských zdrojů ÚSC.“</w:t>
            </w:r>
          </w:p>
          <w:p w14:paraId="7E2D1720" w14:textId="77777777" w:rsidR="00F261A3" w:rsidRDefault="00F261A3" w:rsidP="00642448">
            <w:pPr>
              <w:spacing w:line="276" w:lineRule="auto"/>
              <w:jc w:val="both"/>
              <w:rPr>
                <w:rFonts w:ascii="Arial" w:hAnsi="Arial" w:cs="Arial"/>
                <w:sz w:val="22"/>
                <w:szCs w:val="22"/>
                <w:lang w:eastAsia="en-US"/>
              </w:rPr>
            </w:pPr>
          </w:p>
          <w:p w14:paraId="22DD2EC6" w14:textId="30D2A4FF"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 xml:space="preserve">Kvalitativní aspekt: struktura vzdělávacích projektů </w:t>
            </w:r>
            <w:r w:rsidR="000965BD">
              <w:rPr>
                <w:rFonts w:ascii="Arial" w:hAnsi="Arial" w:cs="Arial"/>
                <w:sz w:val="22"/>
                <w:szCs w:val="22"/>
                <w:lang w:eastAsia="en-US"/>
              </w:rPr>
              <w:t>a význam prvků uvedených ve specifickém cíli</w:t>
            </w:r>
            <w:r w:rsidR="001A2883">
              <w:rPr>
                <w:rFonts w:ascii="Arial" w:hAnsi="Arial" w:cs="Arial"/>
                <w:sz w:val="22"/>
                <w:szCs w:val="22"/>
                <w:lang w:eastAsia="en-US"/>
              </w:rPr>
              <w:t xml:space="preserve"> </w:t>
            </w:r>
            <w:proofErr w:type="gramStart"/>
            <w:r w:rsidR="001A2883">
              <w:rPr>
                <w:rFonts w:ascii="Arial" w:hAnsi="Arial" w:cs="Arial"/>
                <w:sz w:val="22"/>
                <w:szCs w:val="22"/>
                <w:lang w:eastAsia="en-US"/>
              </w:rPr>
              <w:t>23</w:t>
            </w:r>
            <w:r>
              <w:rPr>
                <w:rFonts w:ascii="Arial" w:hAnsi="Arial" w:cs="Arial"/>
                <w:sz w:val="22"/>
                <w:szCs w:val="22"/>
                <w:lang w:eastAsia="en-US"/>
              </w:rPr>
              <w:t>.1. v těchto</w:t>
            </w:r>
            <w:proofErr w:type="gramEnd"/>
            <w:r>
              <w:rPr>
                <w:rFonts w:ascii="Arial" w:hAnsi="Arial" w:cs="Arial"/>
                <w:sz w:val="22"/>
                <w:szCs w:val="22"/>
                <w:lang w:eastAsia="en-US"/>
              </w:rPr>
              <w:t xml:space="preserve"> projektech; následná evidence kursů určitého typu, počtu lidí, kteří se jich zúčastnili a především způsobu, jak se poznatky z kursu promítly do práce územních samosprávných celků. </w:t>
            </w:r>
          </w:p>
          <w:p w14:paraId="1A58170E" w14:textId="77777777" w:rsidR="00F261A3" w:rsidRDefault="00F261A3" w:rsidP="00642448">
            <w:pPr>
              <w:spacing w:line="276" w:lineRule="auto"/>
              <w:jc w:val="both"/>
              <w:rPr>
                <w:rFonts w:ascii="Arial" w:hAnsi="Arial" w:cs="Arial"/>
                <w:sz w:val="22"/>
                <w:szCs w:val="22"/>
                <w:lang w:eastAsia="en-US"/>
              </w:rPr>
            </w:pPr>
          </w:p>
          <w:p w14:paraId="4079459C"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Pokud půjde o projekty v OPZ, spolupráce s Ministerstvem práce a sociálních věcí.</w:t>
            </w:r>
          </w:p>
          <w:p w14:paraId="07703D21" w14:textId="77777777" w:rsidR="00F261A3" w:rsidRDefault="00F261A3" w:rsidP="00642448">
            <w:pPr>
              <w:spacing w:line="276" w:lineRule="auto"/>
              <w:jc w:val="both"/>
              <w:rPr>
                <w:rFonts w:ascii="Arial" w:hAnsi="Arial" w:cs="Arial"/>
                <w:sz w:val="22"/>
                <w:szCs w:val="22"/>
                <w:lang w:eastAsia="en-US"/>
              </w:rPr>
            </w:pPr>
          </w:p>
          <w:p w14:paraId="77E5CB17"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Pro územní samosprávné celky nejsou však tyto projekty ani evidence kursů povinná.</w:t>
            </w:r>
          </w:p>
        </w:tc>
      </w:tr>
      <w:tr w:rsidR="00F261A3" w14:paraId="6F644D22"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1E19E64E"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Jednotka:</w:t>
            </w:r>
          </w:p>
        </w:tc>
        <w:tc>
          <w:tcPr>
            <w:tcW w:w="6486" w:type="dxa"/>
            <w:tcBorders>
              <w:top w:val="single" w:sz="4" w:space="0" w:color="auto"/>
              <w:left w:val="single" w:sz="4" w:space="0" w:color="auto"/>
              <w:bottom w:val="single" w:sz="4" w:space="0" w:color="auto"/>
              <w:right w:val="single" w:sz="4" w:space="0" w:color="auto"/>
            </w:tcBorders>
            <w:hideMark/>
          </w:tcPr>
          <w:p w14:paraId="62A502AB"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Počet</w:t>
            </w:r>
          </w:p>
        </w:tc>
      </w:tr>
      <w:tr w:rsidR="00F261A3" w14:paraId="7BAB7359"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75F00A95"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Gestor: </w:t>
            </w:r>
          </w:p>
        </w:tc>
        <w:tc>
          <w:tcPr>
            <w:tcW w:w="6486" w:type="dxa"/>
            <w:tcBorders>
              <w:top w:val="single" w:sz="4" w:space="0" w:color="auto"/>
              <w:left w:val="single" w:sz="4" w:space="0" w:color="auto"/>
              <w:bottom w:val="single" w:sz="4" w:space="0" w:color="auto"/>
              <w:right w:val="single" w:sz="4" w:space="0" w:color="auto"/>
            </w:tcBorders>
            <w:hideMark/>
          </w:tcPr>
          <w:p w14:paraId="14D2F270"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Ministerstvo vnitra</w:t>
            </w:r>
          </w:p>
        </w:tc>
      </w:tr>
      <w:tr w:rsidR="00F261A3" w14:paraId="1971EDED"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7B75142A"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Význam indikátoru: </w:t>
            </w:r>
          </w:p>
        </w:tc>
        <w:tc>
          <w:tcPr>
            <w:tcW w:w="6486" w:type="dxa"/>
            <w:tcBorders>
              <w:top w:val="single" w:sz="4" w:space="0" w:color="auto"/>
              <w:left w:val="single" w:sz="4" w:space="0" w:color="auto"/>
              <w:bottom w:val="single" w:sz="4" w:space="0" w:color="auto"/>
              <w:right w:val="single" w:sz="4" w:space="0" w:color="auto"/>
            </w:tcBorders>
            <w:hideMark/>
          </w:tcPr>
          <w:p w14:paraId="559392C2"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 xml:space="preserve">Dlouhodobá efektivita vládnutí: Předpoklad efektu dobře nastavených vzdělávacích systémů na znalosti a dovednosti nutné pro dobrou tvorbu veřejných politik. </w:t>
            </w:r>
          </w:p>
        </w:tc>
      </w:tr>
      <w:tr w:rsidR="00F261A3" w14:paraId="3D363C79"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42C16195"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Časová řada: </w:t>
            </w:r>
          </w:p>
        </w:tc>
        <w:tc>
          <w:tcPr>
            <w:tcW w:w="6486" w:type="dxa"/>
            <w:tcBorders>
              <w:top w:val="single" w:sz="4" w:space="0" w:color="auto"/>
              <w:left w:val="single" w:sz="4" w:space="0" w:color="auto"/>
              <w:bottom w:val="single" w:sz="4" w:space="0" w:color="auto"/>
              <w:right w:val="single" w:sz="4" w:space="0" w:color="auto"/>
            </w:tcBorders>
            <w:hideMark/>
          </w:tcPr>
          <w:p w14:paraId="0FC96BB8"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Od roku 2017 resp. 2020</w:t>
            </w:r>
          </w:p>
        </w:tc>
      </w:tr>
      <w:tr w:rsidR="00F261A3" w14:paraId="6B16D4DB"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64BAC47F"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Frekvence výstupu: </w:t>
            </w:r>
          </w:p>
        </w:tc>
        <w:tc>
          <w:tcPr>
            <w:tcW w:w="6486" w:type="dxa"/>
            <w:tcBorders>
              <w:top w:val="single" w:sz="4" w:space="0" w:color="auto"/>
              <w:left w:val="single" w:sz="4" w:space="0" w:color="auto"/>
              <w:bottom w:val="single" w:sz="4" w:space="0" w:color="auto"/>
              <w:right w:val="single" w:sz="4" w:space="0" w:color="auto"/>
            </w:tcBorders>
            <w:hideMark/>
          </w:tcPr>
          <w:p w14:paraId="6C113478"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Ročně</w:t>
            </w:r>
          </w:p>
        </w:tc>
      </w:tr>
      <w:tr w:rsidR="00F261A3" w14:paraId="5E5E86BE" w14:textId="77777777" w:rsidTr="0062345D">
        <w:trPr>
          <w:trHeight w:val="70"/>
        </w:trPr>
        <w:tc>
          <w:tcPr>
            <w:tcW w:w="2802" w:type="dxa"/>
            <w:tcBorders>
              <w:top w:val="single" w:sz="4" w:space="0" w:color="auto"/>
              <w:left w:val="single" w:sz="4" w:space="0" w:color="auto"/>
              <w:bottom w:val="single" w:sz="4" w:space="0" w:color="auto"/>
              <w:right w:val="single" w:sz="4" w:space="0" w:color="auto"/>
            </w:tcBorders>
            <w:hideMark/>
          </w:tcPr>
          <w:p w14:paraId="65F0B9BC"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lastRenderedPageBreak/>
              <w:t xml:space="preserve">Členění indikátoru: </w:t>
            </w:r>
          </w:p>
        </w:tc>
        <w:tc>
          <w:tcPr>
            <w:tcW w:w="6486" w:type="dxa"/>
            <w:tcBorders>
              <w:top w:val="single" w:sz="4" w:space="0" w:color="auto"/>
              <w:left w:val="single" w:sz="4" w:space="0" w:color="auto"/>
              <w:bottom w:val="single" w:sz="4" w:space="0" w:color="auto"/>
              <w:right w:val="single" w:sz="4" w:space="0" w:color="auto"/>
            </w:tcBorders>
            <w:hideMark/>
          </w:tcPr>
          <w:p w14:paraId="5F125BF4"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w:t>
            </w:r>
          </w:p>
        </w:tc>
      </w:tr>
      <w:tr w:rsidR="00F261A3" w14:paraId="2912270B" w14:textId="77777777" w:rsidTr="0062345D">
        <w:trPr>
          <w:trHeight w:val="70"/>
        </w:trPr>
        <w:tc>
          <w:tcPr>
            <w:tcW w:w="2802" w:type="dxa"/>
            <w:tcBorders>
              <w:top w:val="single" w:sz="4" w:space="0" w:color="auto"/>
              <w:left w:val="single" w:sz="4" w:space="0" w:color="auto"/>
              <w:bottom w:val="single" w:sz="4" w:space="0" w:color="auto"/>
              <w:right w:val="single" w:sz="4" w:space="0" w:color="auto"/>
            </w:tcBorders>
            <w:hideMark/>
          </w:tcPr>
          <w:p w14:paraId="6B63FE76"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Mezinárodní srovnání:</w:t>
            </w:r>
          </w:p>
        </w:tc>
        <w:tc>
          <w:tcPr>
            <w:tcW w:w="6486" w:type="dxa"/>
            <w:tcBorders>
              <w:top w:val="single" w:sz="4" w:space="0" w:color="auto"/>
              <w:left w:val="single" w:sz="4" w:space="0" w:color="auto"/>
              <w:bottom w:val="single" w:sz="4" w:space="0" w:color="auto"/>
              <w:right w:val="single" w:sz="4" w:space="0" w:color="auto"/>
            </w:tcBorders>
            <w:hideMark/>
          </w:tcPr>
          <w:p w14:paraId="7625F418"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w:t>
            </w:r>
          </w:p>
        </w:tc>
      </w:tr>
    </w:tbl>
    <w:p w14:paraId="3870A13F" w14:textId="77777777" w:rsidR="00F261A3" w:rsidRDefault="00F261A3" w:rsidP="00F261A3">
      <w:pPr>
        <w:spacing w:line="276" w:lineRule="auto"/>
        <w:ind w:left="720"/>
        <w:contextualSpacing/>
        <w:rPr>
          <w:rFonts w:ascii="Arial" w:eastAsiaTheme="minorHAnsi" w:hAnsi="Arial" w:cs="Arial"/>
          <w:sz w:val="22"/>
          <w:szCs w:val="22"/>
          <w:lang w:eastAsia="en-US"/>
        </w:rPr>
      </w:pPr>
    </w:p>
    <w:tbl>
      <w:tblPr>
        <w:tblStyle w:val="Mkatabulky"/>
        <w:tblW w:w="0" w:type="auto"/>
        <w:tblLook w:val="04A0" w:firstRow="1" w:lastRow="0" w:firstColumn="1" w:lastColumn="0" w:noHBand="0" w:noVBand="1"/>
      </w:tblPr>
      <w:tblGrid>
        <w:gridCol w:w="2802"/>
        <w:gridCol w:w="6486"/>
      </w:tblGrid>
      <w:tr w:rsidR="00F261A3" w14:paraId="2611A7D4"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53E6B5F8"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Název a označení indikátoru: </w:t>
            </w:r>
          </w:p>
        </w:tc>
        <w:tc>
          <w:tcPr>
            <w:tcW w:w="6486" w:type="dxa"/>
            <w:tcBorders>
              <w:top w:val="single" w:sz="4" w:space="0" w:color="auto"/>
              <w:left w:val="single" w:sz="4" w:space="0" w:color="auto"/>
              <w:bottom w:val="single" w:sz="4" w:space="0" w:color="auto"/>
              <w:right w:val="single" w:sz="4" w:space="0" w:color="auto"/>
            </w:tcBorders>
            <w:hideMark/>
          </w:tcPr>
          <w:p w14:paraId="54DFBAE4" w14:textId="77777777" w:rsidR="00F261A3" w:rsidRDefault="00F261A3" w:rsidP="00642448">
            <w:pPr>
              <w:spacing w:line="276" w:lineRule="auto"/>
              <w:jc w:val="both"/>
              <w:rPr>
                <w:rFonts w:ascii="Arial" w:hAnsi="Arial" w:cs="Arial"/>
                <w:b/>
                <w:sz w:val="22"/>
                <w:szCs w:val="22"/>
                <w:lang w:eastAsia="en-US"/>
              </w:rPr>
            </w:pPr>
            <w:r>
              <w:rPr>
                <w:rFonts w:ascii="Arial" w:hAnsi="Arial" w:cs="Arial"/>
                <w:b/>
                <w:sz w:val="22"/>
                <w:szCs w:val="22"/>
                <w:lang w:eastAsia="en-US"/>
              </w:rPr>
              <w:t>23.1.3 Počet úředníků proškolených v oblasti strategické práce</w:t>
            </w:r>
          </w:p>
        </w:tc>
      </w:tr>
      <w:tr w:rsidR="00F261A3" w14:paraId="786F835F"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0E60322E"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Stručná definice: </w:t>
            </w:r>
          </w:p>
        </w:tc>
        <w:tc>
          <w:tcPr>
            <w:tcW w:w="6486" w:type="dxa"/>
            <w:tcBorders>
              <w:top w:val="single" w:sz="4" w:space="0" w:color="auto"/>
              <w:left w:val="single" w:sz="4" w:space="0" w:color="auto"/>
              <w:bottom w:val="single" w:sz="4" w:space="0" w:color="auto"/>
              <w:right w:val="single" w:sz="4" w:space="0" w:color="auto"/>
            </w:tcBorders>
            <w:hideMark/>
          </w:tcPr>
          <w:p w14:paraId="1B71D11A" w14:textId="6EACBA85"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 xml:space="preserve">Indikátor </w:t>
            </w:r>
            <w:proofErr w:type="gramStart"/>
            <w:r>
              <w:rPr>
                <w:rFonts w:ascii="Arial" w:hAnsi="Arial" w:cs="Arial"/>
                <w:sz w:val="22"/>
                <w:szCs w:val="22"/>
                <w:lang w:eastAsia="en-US"/>
              </w:rPr>
              <w:t>1.3.20</w:t>
            </w:r>
            <w:proofErr w:type="gramEnd"/>
            <w:r>
              <w:rPr>
                <w:rFonts w:ascii="Arial" w:hAnsi="Arial" w:cs="Arial"/>
                <w:sz w:val="22"/>
                <w:szCs w:val="22"/>
                <w:lang w:eastAsia="en-US"/>
              </w:rPr>
              <w:t xml:space="preserve">. </w:t>
            </w:r>
            <w:r w:rsidR="000965BD">
              <w:rPr>
                <w:rFonts w:ascii="Arial" w:hAnsi="Arial" w:cs="Arial"/>
                <w:sz w:val="22"/>
                <w:szCs w:val="22"/>
                <w:lang w:eastAsia="en-US"/>
              </w:rPr>
              <w:t>SRRVS</w:t>
            </w:r>
            <w:r w:rsidRPr="009E5DC0">
              <w:rPr>
                <w:rFonts w:ascii="Arial" w:hAnsi="Arial" w:cs="Arial"/>
                <w:sz w:val="22"/>
                <w:szCs w:val="22"/>
                <w:lang w:eastAsia="en-US"/>
              </w:rPr>
              <w:t xml:space="preserve"> </w:t>
            </w:r>
            <w:r>
              <w:rPr>
                <w:rFonts w:ascii="Arial" w:hAnsi="Arial" w:cs="Arial"/>
                <w:sz w:val="22"/>
                <w:szCs w:val="22"/>
                <w:lang w:eastAsia="en-US"/>
              </w:rPr>
              <w:t xml:space="preserve">„Počet úředníků proškolených v oblasti strategické práce. Definice: Počet úředníků, kteří absolvují výukový program na strategickou práci ve veřejné správě. Kromě počtu účastníků bude sledována i kvalita výukových modulů - od všech účastníků bude sbírána zpětná vazba v podobě dotazníku zohledňující mj. i využitelnost poznatků pro praxi.“ </w:t>
            </w:r>
          </w:p>
        </w:tc>
      </w:tr>
      <w:tr w:rsidR="00F261A3" w14:paraId="525C9251"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690FC4CD"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Jednotka:</w:t>
            </w:r>
          </w:p>
        </w:tc>
        <w:tc>
          <w:tcPr>
            <w:tcW w:w="6486" w:type="dxa"/>
            <w:tcBorders>
              <w:top w:val="single" w:sz="4" w:space="0" w:color="auto"/>
              <w:left w:val="single" w:sz="4" w:space="0" w:color="auto"/>
              <w:bottom w:val="single" w:sz="4" w:space="0" w:color="auto"/>
              <w:right w:val="single" w:sz="4" w:space="0" w:color="auto"/>
            </w:tcBorders>
            <w:hideMark/>
          </w:tcPr>
          <w:p w14:paraId="1CFDDEE4"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Počet</w:t>
            </w:r>
          </w:p>
        </w:tc>
      </w:tr>
      <w:tr w:rsidR="00F261A3" w14:paraId="5661570A"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4465FDD3"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Gestor: </w:t>
            </w:r>
          </w:p>
        </w:tc>
        <w:tc>
          <w:tcPr>
            <w:tcW w:w="6486" w:type="dxa"/>
            <w:tcBorders>
              <w:top w:val="single" w:sz="4" w:space="0" w:color="auto"/>
              <w:left w:val="single" w:sz="4" w:space="0" w:color="auto"/>
              <w:bottom w:val="single" w:sz="4" w:space="0" w:color="auto"/>
              <w:right w:val="single" w:sz="4" w:space="0" w:color="auto"/>
            </w:tcBorders>
            <w:hideMark/>
          </w:tcPr>
          <w:p w14:paraId="17C75DAC"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Ministerstvo pro místní rozvoj</w:t>
            </w:r>
          </w:p>
        </w:tc>
      </w:tr>
      <w:tr w:rsidR="00F261A3" w14:paraId="2F09B0D3"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6F550661"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Význam indikátoru: </w:t>
            </w:r>
          </w:p>
        </w:tc>
        <w:tc>
          <w:tcPr>
            <w:tcW w:w="6486" w:type="dxa"/>
            <w:tcBorders>
              <w:top w:val="single" w:sz="4" w:space="0" w:color="auto"/>
              <w:left w:val="single" w:sz="4" w:space="0" w:color="auto"/>
              <w:bottom w:val="single" w:sz="4" w:space="0" w:color="auto"/>
              <w:right w:val="single" w:sz="4" w:space="0" w:color="auto"/>
            </w:tcBorders>
            <w:hideMark/>
          </w:tcPr>
          <w:p w14:paraId="2BE298B9"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 xml:space="preserve">Dlouhodobá efektivita vládnutí: Předpoklad efektu určitého typu znalostí a dovedností pro dobrou tvorbu veřejných politik. </w:t>
            </w:r>
          </w:p>
        </w:tc>
      </w:tr>
      <w:tr w:rsidR="00F261A3" w14:paraId="508DEBDE"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21D14A4C"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Časová řada: </w:t>
            </w:r>
          </w:p>
        </w:tc>
        <w:tc>
          <w:tcPr>
            <w:tcW w:w="6486" w:type="dxa"/>
            <w:tcBorders>
              <w:top w:val="single" w:sz="4" w:space="0" w:color="auto"/>
              <w:left w:val="single" w:sz="4" w:space="0" w:color="auto"/>
              <w:bottom w:val="single" w:sz="4" w:space="0" w:color="auto"/>
              <w:right w:val="single" w:sz="4" w:space="0" w:color="auto"/>
            </w:tcBorders>
            <w:hideMark/>
          </w:tcPr>
          <w:p w14:paraId="751C0F90"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Od roku 2017</w:t>
            </w:r>
          </w:p>
        </w:tc>
      </w:tr>
      <w:tr w:rsidR="00F261A3" w14:paraId="5C2BBA4A"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6F9E747E"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Frekvence výstupu: </w:t>
            </w:r>
          </w:p>
        </w:tc>
        <w:tc>
          <w:tcPr>
            <w:tcW w:w="6486" w:type="dxa"/>
            <w:tcBorders>
              <w:top w:val="single" w:sz="4" w:space="0" w:color="auto"/>
              <w:left w:val="single" w:sz="4" w:space="0" w:color="auto"/>
              <w:bottom w:val="single" w:sz="4" w:space="0" w:color="auto"/>
              <w:right w:val="single" w:sz="4" w:space="0" w:color="auto"/>
            </w:tcBorders>
            <w:hideMark/>
          </w:tcPr>
          <w:p w14:paraId="2CE8059A"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Ročně</w:t>
            </w:r>
          </w:p>
        </w:tc>
      </w:tr>
      <w:tr w:rsidR="00F261A3" w14:paraId="35DD315C" w14:textId="77777777" w:rsidTr="0062345D">
        <w:trPr>
          <w:trHeight w:val="70"/>
        </w:trPr>
        <w:tc>
          <w:tcPr>
            <w:tcW w:w="2802" w:type="dxa"/>
            <w:tcBorders>
              <w:top w:val="single" w:sz="4" w:space="0" w:color="auto"/>
              <w:left w:val="single" w:sz="4" w:space="0" w:color="auto"/>
              <w:bottom w:val="single" w:sz="4" w:space="0" w:color="auto"/>
              <w:right w:val="single" w:sz="4" w:space="0" w:color="auto"/>
            </w:tcBorders>
            <w:hideMark/>
          </w:tcPr>
          <w:p w14:paraId="14967E74"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Členění indikátoru: </w:t>
            </w:r>
          </w:p>
        </w:tc>
        <w:tc>
          <w:tcPr>
            <w:tcW w:w="6486" w:type="dxa"/>
            <w:tcBorders>
              <w:top w:val="single" w:sz="4" w:space="0" w:color="auto"/>
              <w:left w:val="single" w:sz="4" w:space="0" w:color="auto"/>
              <w:bottom w:val="single" w:sz="4" w:space="0" w:color="auto"/>
              <w:right w:val="single" w:sz="4" w:space="0" w:color="auto"/>
            </w:tcBorders>
            <w:hideMark/>
          </w:tcPr>
          <w:p w14:paraId="6C7DEC40"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w:t>
            </w:r>
          </w:p>
        </w:tc>
      </w:tr>
      <w:tr w:rsidR="00F261A3" w14:paraId="28ABF09C" w14:textId="77777777" w:rsidTr="0062345D">
        <w:trPr>
          <w:trHeight w:val="70"/>
        </w:trPr>
        <w:tc>
          <w:tcPr>
            <w:tcW w:w="2802" w:type="dxa"/>
            <w:tcBorders>
              <w:top w:val="single" w:sz="4" w:space="0" w:color="auto"/>
              <w:left w:val="single" w:sz="4" w:space="0" w:color="auto"/>
              <w:bottom w:val="single" w:sz="4" w:space="0" w:color="auto"/>
              <w:right w:val="single" w:sz="4" w:space="0" w:color="auto"/>
            </w:tcBorders>
            <w:hideMark/>
          </w:tcPr>
          <w:p w14:paraId="01BB75A9"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Mezinárodní srovnání:</w:t>
            </w:r>
          </w:p>
        </w:tc>
        <w:tc>
          <w:tcPr>
            <w:tcW w:w="6486" w:type="dxa"/>
            <w:tcBorders>
              <w:top w:val="single" w:sz="4" w:space="0" w:color="auto"/>
              <w:left w:val="single" w:sz="4" w:space="0" w:color="auto"/>
              <w:bottom w:val="single" w:sz="4" w:space="0" w:color="auto"/>
              <w:right w:val="single" w:sz="4" w:space="0" w:color="auto"/>
            </w:tcBorders>
            <w:hideMark/>
          </w:tcPr>
          <w:p w14:paraId="0F9D82B4"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w:t>
            </w:r>
          </w:p>
        </w:tc>
      </w:tr>
    </w:tbl>
    <w:p w14:paraId="673A6A82" w14:textId="77777777" w:rsidR="00F261A3" w:rsidRDefault="00F261A3" w:rsidP="00F261A3">
      <w:pPr>
        <w:spacing w:line="276" w:lineRule="auto"/>
        <w:ind w:left="720"/>
        <w:contextualSpacing/>
        <w:rPr>
          <w:rFonts w:ascii="Arial" w:eastAsiaTheme="minorHAnsi" w:hAnsi="Arial" w:cs="Arial"/>
          <w:sz w:val="22"/>
          <w:szCs w:val="22"/>
          <w:lang w:eastAsia="en-US"/>
        </w:rPr>
      </w:pPr>
    </w:p>
    <w:p w14:paraId="4714F543" w14:textId="77777777" w:rsidR="00F261A3" w:rsidRDefault="00F261A3" w:rsidP="001731DC">
      <w:pPr>
        <w:pStyle w:val="r2030podcle"/>
        <w:numPr>
          <w:ilvl w:val="1"/>
          <w:numId w:val="17"/>
        </w:numPr>
        <w:spacing w:before="0"/>
        <w:ind w:left="567" w:hanging="425"/>
        <w:jc w:val="both"/>
      </w:pPr>
      <w:r>
        <w:t>Systém vzdělávání poskytovaný veřejnými vzdělávacími institucemi zajistí rozvoj participativních a deliberativních dovedností občanů a občanek</w:t>
      </w:r>
      <w:r w:rsidR="00FA6CB1">
        <w:t>.</w:t>
      </w:r>
    </w:p>
    <w:tbl>
      <w:tblPr>
        <w:tblStyle w:val="Mkatabulky"/>
        <w:tblW w:w="0" w:type="auto"/>
        <w:tblLook w:val="04A0" w:firstRow="1" w:lastRow="0" w:firstColumn="1" w:lastColumn="0" w:noHBand="0" w:noVBand="1"/>
      </w:tblPr>
      <w:tblGrid>
        <w:gridCol w:w="2802"/>
        <w:gridCol w:w="6486"/>
      </w:tblGrid>
      <w:tr w:rsidR="00F261A3" w14:paraId="41BFF8A6"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0A11E4BC" w14:textId="6B9B572F"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Název a označení indikátoru</w:t>
            </w:r>
            <w:r w:rsidR="00927504">
              <w:rPr>
                <w:rFonts w:ascii="Arial" w:hAnsi="Arial" w:cs="Arial"/>
                <w:sz w:val="22"/>
                <w:szCs w:val="22"/>
                <w:lang w:eastAsia="en-US"/>
              </w:rPr>
              <w:t>:</w:t>
            </w:r>
          </w:p>
        </w:tc>
        <w:tc>
          <w:tcPr>
            <w:tcW w:w="6486" w:type="dxa"/>
            <w:tcBorders>
              <w:top w:val="single" w:sz="4" w:space="0" w:color="auto"/>
              <w:left w:val="single" w:sz="4" w:space="0" w:color="auto"/>
              <w:bottom w:val="single" w:sz="4" w:space="0" w:color="auto"/>
              <w:right w:val="single" w:sz="4" w:space="0" w:color="auto"/>
            </w:tcBorders>
            <w:hideMark/>
          </w:tcPr>
          <w:p w14:paraId="6B80A828" w14:textId="77777777" w:rsidR="00F261A3" w:rsidRDefault="00F261A3" w:rsidP="0062345D">
            <w:pPr>
              <w:spacing w:line="276" w:lineRule="auto"/>
              <w:rPr>
                <w:rFonts w:ascii="Arial" w:hAnsi="Arial" w:cs="Arial"/>
                <w:b/>
                <w:sz w:val="22"/>
                <w:szCs w:val="22"/>
                <w:lang w:eastAsia="en-US"/>
              </w:rPr>
            </w:pPr>
            <w:r>
              <w:rPr>
                <w:rFonts w:ascii="Arial" w:hAnsi="Arial" w:cs="Arial"/>
                <w:b/>
                <w:sz w:val="22"/>
                <w:szCs w:val="22"/>
                <w:lang w:eastAsia="en-US"/>
              </w:rPr>
              <w:t>23.2.1 Počet realizátorů MA21</w:t>
            </w:r>
          </w:p>
        </w:tc>
      </w:tr>
      <w:tr w:rsidR="00F261A3" w14:paraId="48F3A9A9"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7CB2C45B"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Stručná definice: </w:t>
            </w:r>
          </w:p>
        </w:tc>
        <w:tc>
          <w:tcPr>
            <w:tcW w:w="6486" w:type="dxa"/>
            <w:tcBorders>
              <w:top w:val="single" w:sz="4" w:space="0" w:color="auto"/>
              <w:left w:val="single" w:sz="4" w:space="0" w:color="auto"/>
              <w:bottom w:val="single" w:sz="4" w:space="0" w:color="auto"/>
              <w:right w:val="single" w:sz="4" w:space="0" w:color="auto"/>
            </w:tcBorders>
          </w:tcPr>
          <w:p w14:paraId="7123BEE8"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Počet municipalit zapojený do MA21 podle jednotlivých kategorií (A-D).</w:t>
            </w:r>
          </w:p>
          <w:p w14:paraId="035FC132" w14:textId="77777777" w:rsidR="00F261A3" w:rsidRDefault="00F261A3" w:rsidP="00642448">
            <w:pPr>
              <w:spacing w:line="276" w:lineRule="auto"/>
              <w:jc w:val="both"/>
              <w:rPr>
                <w:rFonts w:ascii="Arial" w:hAnsi="Arial" w:cs="Arial"/>
                <w:sz w:val="22"/>
                <w:szCs w:val="22"/>
                <w:lang w:eastAsia="en-US"/>
              </w:rPr>
            </w:pPr>
          </w:p>
          <w:p w14:paraId="0B8358D5"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Kvalitativní aspekt: informace z kontrol a hodnocení PS MA21.</w:t>
            </w:r>
          </w:p>
        </w:tc>
      </w:tr>
      <w:tr w:rsidR="00F261A3" w14:paraId="671DE8C5"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46C0A0C5"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Jednotka:</w:t>
            </w:r>
          </w:p>
        </w:tc>
        <w:tc>
          <w:tcPr>
            <w:tcW w:w="6486" w:type="dxa"/>
            <w:tcBorders>
              <w:top w:val="single" w:sz="4" w:space="0" w:color="auto"/>
              <w:left w:val="single" w:sz="4" w:space="0" w:color="auto"/>
              <w:bottom w:val="single" w:sz="4" w:space="0" w:color="auto"/>
              <w:right w:val="single" w:sz="4" w:space="0" w:color="auto"/>
            </w:tcBorders>
            <w:hideMark/>
          </w:tcPr>
          <w:p w14:paraId="66E48061"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Počet</w:t>
            </w:r>
          </w:p>
        </w:tc>
      </w:tr>
      <w:tr w:rsidR="00F261A3" w14:paraId="474E1A67"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0177BE1D"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Gestor: </w:t>
            </w:r>
          </w:p>
        </w:tc>
        <w:tc>
          <w:tcPr>
            <w:tcW w:w="6486" w:type="dxa"/>
            <w:tcBorders>
              <w:top w:val="single" w:sz="4" w:space="0" w:color="auto"/>
              <w:left w:val="single" w:sz="4" w:space="0" w:color="auto"/>
              <w:bottom w:val="single" w:sz="4" w:space="0" w:color="auto"/>
              <w:right w:val="single" w:sz="4" w:space="0" w:color="auto"/>
            </w:tcBorders>
            <w:hideMark/>
          </w:tcPr>
          <w:p w14:paraId="69C50B44"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Ministerstvo životního prostředí</w:t>
            </w:r>
          </w:p>
        </w:tc>
      </w:tr>
      <w:tr w:rsidR="00F261A3" w14:paraId="61E0CA35"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1A57B989"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Význam indikátoru: </w:t>
            </w:r>
          </w:p>
        </w:tc>
        <w:tc>
          <w:tcPr>
            <w:tcW w:w="6486" w:type="dxa"/>
            <w:tcBorders>
              <w:top w:val="single" w:sz="4" w:space="0" w:color="auto"/>
              <w:left w:val="single" w:sz="4" w:space="0" w:color="auto"/>
              <w:bottom w:val="single" w:sz="4" w:space="0" w:color="auto"/>
              <w:right w:val="single" w:sz="4" w:space="0" w:color="auto"/>
            </w:tcBorders>
            <w:hideMark/>
          </w:tcPr>
          <w:p w14:paraId="327587A0" w14:textId="77777777" w:rsidR="00F261A3" w:rsidRDefault="00F261A3" w:rsidP="00642448">
            <w:pPr>
              <w:autoSpaceDE w:val="0"/>
              <w:autoSpaceDN w:val="0"/>
              <w:adjustRightInd w:val="0"/>
              <w:spacing w:line="276" w:lineRule="auto"/>
              <w:jc w:val="both"/>
              <w:rPr>
                <w:rFonts w:ascii="Arial" w:hAnsi="Arial" w:cs="Arial"/>
                <w:sz w:val="22"/>
                <w:szCs w:val="22"/>
                <w:lang w:eastAsia="en-US"/>
              </w:rPr>
            </w:pPr>
            <w:r>
              <w:rPr>
                <w:rFonts w:ascii="Arial" w:hAnsi="Arial" w:cs="Arial"/>
                <w:sz w:val="22"/>
                <w:szCs w:val="22"/>
                <w:lang w:eastAsia="en-US"/>
              </w:rPr>
              <w:t>Demokratičnost vládnutí, dlouhodobá efektivita vládnutí: Participace, deliberace a spolupráce sektorů jsou podmínkou realizace MA21 ve všech kategoriích.</w:t>
            </w:r>
          </w:p>
        </w:tc>
      </w:tr>
      <w:tr w:rsidR="00F261A3" w14:paraId="35C4C642"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07BA3F3B"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Časová řada: </w:t>
            </w:r>
          </w:p>
        </w:tc>
        <w:tc>
          <w:tcPr>
            <w:tcW w:w="6486" w:type="dxa"/>
            <w:tcBorders>
              <w:top w:val="single" w:sz="4" w:space="0" w:color="auto"/>
              <w:left w:val="single" w:sz="4" w:space="0" w:color="auto"/>
              <w:bottom w:val="single" w:sz="4" w:space="0" w:color="auto"/>
              <w:right w:val="single" w:sz="4" w:space="0" w:color="auto"/>
            </w:tcBorders>
            <w:hideMark/>
          </w:tcPr>
          <w:p w14:paraId="0F186419"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Od roku 2006, resp. 2010</w:t>
            </w:r>
          </w:p>
        </w:tc>
      </w:tr>
      <w:tr w:rsidR="00F261A3" w14:paraId="6CD09394"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58F6AE23"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Frekvence výstupu: </w:t>
            </w:r>
          </w:p>
        </w:tc>
        <w:tc>
          <w:tcPr>
            <w:tcW w:w="6486" w:type="dxa"/>
            <w:tcBorders>
              <w:top w:val="single" w:sz="4" w:space="0" w:color="auto"/>
              <w:left w:val="single" w:sz="4" w:space="0" w:color="auto"/>
              <w:bottom w:val="single" w:sz="4" w:space="0" w:color="auto"/>
              <w:right w:val="single" w:sz="4" w:space="0" w:color="auto"/>
            </w:tcBorders>
            <w:hideMark/>
          </w:tcPr>
          <w:p w14:paraId="0A835E98"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Ročně</w:t>
            </w:r>
          </w:p>
        </w:tc>
      </w:tr>
      <w:tr w:rsidR="00F261A3" w14:paraId="7D597B76" w14:textId="77777777" w:rsidTr="0062345D">
        <w:trPr>
          <w:trHeight w:val="70"/>
        </w:trPr>
        <w:tc>
          <w:tcPr>
            <w:tcW w:w="2802" w:type="dxa"/>
            <w:tcBorders>
              <w:top w:val="single" w:sz="4" w:space="0" w:color="auto"/>
              <w:left w:val="single" w:sz="4" w:space="0" w:color="auto"/>
              <w:bottom w:val="single" w:sz="4" w:space="0" w:color="auto"/>
              <w:right w:val="single" w:sz="4" w:space="0" w:color="auto"/>
            </w:tcBorders>
            <w:hideMark/>
          </w:tcPr>
          <w:p w14:paraId="18BA94F8"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Členění indikátoru: </w:t>
            </w:r>
          </w:p>
        </w:tc>
        <w:tc>
          <w:tcPr>
            <w:tcW w:w="6486" w:type="dxa"/>
            <w:tcBorders>
              <w:top w:val="single" w:sz="4" w:space="0" w:color="auto"/>
              <w:left w:val="single" w:sz="4" w:space="0" w:color="auto"/>
              <w:bottom w:val="single" w:sz="4" w:space="0" w:color="auto"/>
              <w:right w:val="single" w:sz="4" w:space="0" w:color="auto"/>
            </w:tcBorders>
            <w:hideMark/>
          </w:tcPr>
          <w:p w14:paraId="48F1BFD7"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w:t>
            </w:r>
          </w:p>
        </w:tc>
      </w:tr>
      <w:tr w:rsidR="00F261A3" w14:paraId="06B1B5EB" w14:textId="77777777" w:rsidTr="0062345D">
        <w:trPr>
          <w:trHeight w:val="70"/>
        </w:trPr>
        <w:tc>
          <w:tcPr>
            <w:tcW w:w="2802" w:type="dxa"/>
            <w:tcBorders>
              <w:top w:val="single" w:sz="4" w:space="0" w:color="auto"/>
              <w:left w:val="single" w:sz="4" w:space="0" w:color="auto"/>
              <w:bottom w:val="single" w:sz="4" w:space="0" w:color="auto"/>
              <w:right w:val="single" w:sz="4" w:space="0" w:color="auto"/>
            </w:tcBorders>
            <w:hideMark/>
          </w:tcPr>
          <w:p w14:paraId="6CE24E55"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Mezinárodní srovnání:</w:t>
            </w:r>
          </w:p>
        </w:tc>
        <w:tc>
          <w:tcPr>
            <w:tcW w:w="6486" w:type="dxa"/>
            <w:tcBorders>
              <w:top w:val="single" w:sz="4" w:space="0" w:color="auto"/>
              <w:left w:val="single" w:sz="4" w:space="0" w:color="auto"/>
              <w:bottom w:val="single" w:sz="4" w:space="0" w:color="auto"/>
              <w:right w:val="single" w:sz="4" w:space="0" w:color="auto"/>
            </w:tcBorders>
            <w:hideMark/>
          </w:tcPr>
          <w:p w14:paraId="40E40572"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w:t>
            </w:r>
          </w:p>
        </w:tc>
      </w:tr>
    </w:tbl>
    <w:p w14:paraId="1AE18E8C" w14:textId="7566B1C4" w:rsidR="00692933" w:rsidRDefault="00F261A3" w:rsidP="001731DC">
      <w:pPr>
        <w:pStyle w:val="r2030podcle"/>
        <w:numPr>
          <w:ilvl w:val="1"/>
          <w:numId w:val="17"/>
        </w:numPr>
        <w:ind w:left="567" w:hanging="425"/>
        <w:jc w:val="both"/>
      </w:pPr>
      <w:r>
        <w:t>Státní systém podpory orientovaného a aplikovaného výzkumu zajistí soustavný příliv poznatků a inovací demokratičnosti a dlouhodobé efektivity vládnutí</w:t>
      </w:r>
      <w:r w:rsidR="00FA6CB1">
        <w:t>.</w:t>
      </w:r>
      <w:r w:rsidR="00AB09CE">
        <w:t xml:space="preserve"> </w:t>
      </w:r>
    </w:p>
    <w:tbl>
      <w:tblPr>
        <w:tblStyle w:val="Mkatabulky"/>
        <w:tblW w:w="0" w:type="auto"/>
        <w:shd w:val="pct10" w:color="auto" w:fill="auto"/>
        <w:tblLook w:val="04A0" w:firstRow="1" w:lastRow="0" w:firstColumn="1" w:lastColumn="0" w:noHBand="0" w:noVBand="1"/>
      </w:tblPr>
      <w:tblGrid>
        <w:gridCol w:w="2802"/>
        <w:gridCol w:w="6486"/>
      </w:tblGrid>
      <w:tr w:rsidR="00F261A3" w14:paraId="49B851D8" w14:textId="77777777" w:rsidTr="00AB09CE">
        <w:tc>
          <w:tcPr>
            <w:tcW w:w="2802" w:type="dxa"/>
            <w:shd w:val="pct10" w:color="auto" w:fill="auto"/>
          </w:tcPr>
          <w:p w14:paraId="15DE6800" w14:textId="76F2FAEF"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Název a označení indikátoru: </w:t>
            </w:r>
          </w:p>
        </w:tc>
        <w:tc>
          <w:tcPr>
            <w:tcW w:w="6486" w:type="dxa"/>
            <w:shd w:val="pct10" w:color="auto" w:fill="auto"/>
          </w:tcPr>
          <w:p w14:paraId="104888E4" w14:textId="5253133B" w:rsidR="00F261A3" w:rsidRPr="00AB09CE" w:rsidRDefault="00F261A3" w:rsidP="00AB09CE">
            <w:pPr>
              <w:spacing w:line="276" w:lineRule="auto"/>
              <w:rPr>
                <w:rFonts w:ascii="Arial" w:hAnsi="Arial" w:cs="Arial"/>
                <w:b/>
                <w:sz w:val="22"/>
                <w:szCs w:val="22"/>
                <w:lang w:eastAsia="en-US"/>
              </w:rPr>
            </w:pPr>
            <w:r>
              <w:rPr>
                <w:rFonts w:ascii="Arial" w:hAnsi="Arial" w:cs="Arial"/>
                <w:b/>
                <w:sz w:val="22"/>
                <w:szCs w:val="22"/>
                <w:lang w:eastAsia="en-US"/>
              </w:rPr>
              <w:t xml:space="preserve">23.3.1 </w:t>
            </w:r>
            <w:r w:rsidR="00AB09CE">
              <w:rPr>
                <w:rFonts w:ascii="Arial" w:hAnsi="Arial" w:cs="Arial"/>
                <w:b/>
                <w:sz w:val="22"/>
                <w:szCs w:val="22"/>
                <w:lang w:eastAsia="en-US"/>
              </w:rPr>
              <w:t>Hodnocení výzkumných organizací</w:t>
            </w:r>
          </w:p>
        </w:tc>
      </w:tr>
      <w:tr w:rsidR="00F261A3" w14:paraId="53E5CA59" w14:textId="77777777" w:rsidTr="00AB09CE">
        <w:tc>
          <w:tcPr>
            <w:tcW w:w="2802" w:type="dxa"/>
            <w:shd w:val="pct10" w:color="auto" w:fill="auto"/>
          </w:tcPr>
          <w:p w14:paraId="3F289C18" w14:textId="34F5ABF0"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lastRenderedPageBreak/>
              <w:t xml:space="preserve">Stručná definice: </w:t>
            </w:r>
          </w:p>
        </w:tc>
        <w:tc>
          <w:tcPr>
            <w:tcW w:w="6486" w:type="dxa"/>
            <w:shd w:val="pct10" w:color="auto" w:fill="auto"/>
          </w:tcPr>
          <w:p w14:paraId="13F90948" w14:textId="6145566C" w:rsidR="00F261A3" w:rsidRDefault="00F261A3" w:rsidP="00510B5A">
            <w:pPr>
              <w:spacing w:line="276" w:lineRule="auto"/>
              <w:rPr>
                <w:rFonts w:ascii="Arial" w:hAnsi="Arial" w:cs="Arial"/>
                <w:sz w:val="22"/>
                <w:szCs w:val="22"/>
                <w:lang w:eastAsia="en-US"/>
              </w:rPr>
            </w:pPr>
            <w:r>
              <w:rPr>
                <w:rFonts w:ascii="Arial" w:hAnsi="Arial" w:cs="Arial"/>
                <w:sz w:val="22"/>
                <w:szCs w:val="22"/>
                <w:lang w:eastAsia="en-US"/>
              </w:rPr>
              <w:t xml:space="preserve">Indikátor bude vytvořen ve spolupráci </w:t>
            </w:r>
            <w:r w:rsidR="00510B5A">
              <w:rPr>
                <w:rFonts w:ascii="Arial" w:hAnsi="Arial" w:cs="Arial"/>
                <w:sz w:val="22"/>
                <w:szCs w:val="22"/>
                <w:lang w:eastAsia="en-US"/>
              </w:rPr>
              <w:t>Odboru</w:t>
            </w:r>
            <w:r>
              <w:rPr>
                <w:rFonts w:ascii="Arial" w:hAnsi="Arial" w:cs="Arial"/>
                <w:sz w:val="22"/>
                <w:szCs w:val="22"/>
                <w:lang w:eastAsia="en-US"/>
              </w:rPr>
              <w:t xml:space="preserve"> pro udržitelný rozvoj Úřadu vlády a Sekce Úřadu vlády pro vědu, výzkum a inovace do konce </w:t>
            </w:r>
            <w:r w:rsidR="00FC62BC">
              <w:rPr>
                <w:rFonts w:ascii="Arial" w:hAnsi="Arial" w:cs="Arial"/>
                <w:sz w:val="22"/>
                <w:szCs w:val="22"/>
                <w:lang w:eastAsia="en-US"/>
              </w:rPr>
              <w:t>roku</w:t>
            </w:r>
            <w:r>
              <w:rPr>
                <w:rFonts w:ascii="Arial" w:hAnsi="Arial" w:cs="Arial"/>
                <w:sz w:val="22"/>
                <w:szCs w:val="22"/>
                <w:lang w:eastAsia="en-US"/>
              </w:rPr>
              <w:t xml:space="preserve"> 2017; jedním z podkladů diskuse bude </w:t>
            </w:r>
            <w:r w:rsidR="00510B5A" w:rsidRPr="003D5A5F">
              <w:rPr>
                <w:rFonts w:ascii="Arial" w:hAnsi="Arial" w:cs="Arial"/>
                <w:i/>
                <w:sz w:val="22"/>
                <w:szCs w:val="22"/>
              </w:rPr>
              <w:t>Metodika hodnocení výzkumných organizací a hodnocení programů účelové podpory výzkumu, vývoje a inovací</w:t>
            </w:r>
            <w:r w:rsidR="00510B5A">
              <w:rPr>
                <w:rFonts w:ascii="Arial" w:hAnsi="Arial" w:cs="Arial"/>
                <w:sz w:val="22"/>
                <w:szCs w:val="22"/>
              </w:rPr>
              <w:t xml:space="preserve"> </w:t>
            </w:r>
            <w:r w:rsidR="00510B5A" w:rsidRPr="003D5A5F">
              <w:rPr>
                <w:rFonts w:ascii="Arial" w:hAnsi="Arial" w:cs="Arial"/>
                <w:sz w:val="22"/>
                <w:szCs w:val="22"/>
              </w:rPr>
              <w:t>(2017)</w:t>
            </w:r>
            <w:r w:rsidR="00510B5A">
              <w:rPr>
                <w:rFonts w:ascii="Arial" w:hAnsi="Arial" w:cs="Arial"/>
                <w:sz w:val="22"/>
                <w:szCs w:val="22"/>
              </w:rPr>
              <w:t>.</w:t>
            </w:r>
          </w:p>
        </w:tc>
      </w:tr>
      <w:tr w:rsidR="00F261A3" w14:paraId="50F2DDA6" w14:textId="77777777" w:rsidTr="00AB09CE">
        <w:tc>
          <w:tcPr>
            <w:tcW w:w="2802" w:type="dxa"/>
            <w:shd w:val="pct10" w:color="auto" w:fill="auto"/>
          </w:tcPr>
          <w:p w14:paraId="3190A534" w14:textId="4FD1E7A2"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Jednotka:</w:t>
            </w:r>
          </w:p>
        </w:tc>
        <w:tc>
          <w:tcPr>
            <w:tcW w:w="6486" w:type="dxa"/>
            <w:shd w:val="pct10" w:color="auto" w:fill="auto"/>
          </w:tcPr>
          <w:p w14:paraId="151E92CF" w14:textId="77777777" w:rsidR="00F261A3" w:rsidRDefault="00F261A3" w:rsidP="0062345D">
            <w:pPr>
              <w:spacing w:line="276" w:lineRule="auto"/>
              <w:rPr>
                <w:rFonts w:ascii="Arial" w:hAnsi="Arial" w:cs="Arial"/>
                <w:sz w:val="22"/>
                <w:szCs w:val="22"/>
                <w:lang w:eastAsia="en-US"/>
              </w:rPr>
            </w:pPr>
          </w:p>
        </w:tc>
      </w:tr>
      <w:tr w:rsidR="00F261A3" w14:paraId="46E9F9FA" w14:textId="77777777" w:rsidTr="00AB09CE">
        <w:tc>
          <w:tcPr>
            <w:tcW w:w="2802" w:type="dxa"/>
            <w:shd w:val="pct10" w:color="auto" w:fill="auto"/>
          </w:tcPr>
          <w:p w14:paraId="102E09F7" w14:textId="42B01CB3"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Gestor: </w:t>
            </w:r>
          </w:p>
        </w:tc>
        <w:tc>
          <w:tcPr>
            <w:tcW w:w="6486" w:type="dxa"/>
            <w:shd w:val="pct10" w:color="auto" w:fill="auto"/>
          </w:tcPr>
          <w:p w14:paraId="51410858" w14:textId="77777777" w:rsidR="00F261A3" w:rsidRDefault="00F261A3" w:rsidP="0062345D">
            <w:pPr>
              <w:rPr>
                <w:rFonts w:ascii="Arial" w:hAnsi="Arial" w:cs="Arial"/>
                <w:sz w:val="22"/>
                <w:szCs w:val="22"/>
                <w:lang w:eastAsia="en-US"/>
              </w:rPr>
            </w:pPr>
          </w:p>
        </w:tc>
      </w:tr>
      <w:tr w:rsidR="00F261A3" w14:paraId="66C3D2BE" w14:textId="77777777" w:rsidTr="00AB09CE">
        <w:tc>
          <w:tcPr>
            <w:tcW w:w="2802" w:type="dxa"/>
            <w:shd w:val="pct10" w:color="auto" w:fill="auto"/>
          </w:tcPr>
          <w:p w14:paraId="1927B5C7" w14:textId="084DDC1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Význam indikátoru: </w:t>
            </w:r>
          </w:p>
        </w:tc>
        <w:tc>
          <w:tcPr>
            <w:tcW w:w="6486" w:type="dxa"/>
            <w:shd w:val="pct10" w:color="auto" w:fill="auto"/>
          </w:tcPr>
          <w:p w14:paraId="2375517C" w14:textId="212E4D07" w:rsidR="00F261A3" w:rsidRDefault="00F261A3" w:rsidP="0062345D">
            <w:pPr>
              <w:autoSpaceDE w:val="0"/>
              <w:autoSpaceDN w:val="0"/>
              <w:adjustRightInd w:val="0"/>
              <w:spacing w:line="276" w:lineRule="auto"/>
              <w:rPr>
                <w:rFonts w:ascii="Arial" w:hAnsi="Arial" w:cs="Arial"/>
                <w:sz w:val="22"/>
                <w:szCs w:val="22"/>
                <w:lang w:eastAsia="en-US"/>
              </w:rPr>
            </w:pPr>
            <w:r>
              <w:rPr>
                <w:rFonts w:ascii="Arial" w:hAnsi="Arial" w:cs="Arial"/>
                <w:sz w:val="22"/>
                <w:szCs w:val="22"/>
                <w:lang w:eastAsia="en-US"/>
              </w:rPr>
              <w:t>Demokratičnost vládnutí, dlouhodobá efektivita vládnutí: Příliv poznatků a inovací relevantních demokratičnosti a/nebo dlouhodobé efektivitě vládnutí.</w:t>
            </w:r>
          </w:p>
        </w:tc>
      </w:tr>
      <w:tr w:rsidR="00F261A3" w14:paraId="2984A64D" w14:textId="77777777" w:rsidTr="00AB09CE">
        <w:tc>
          <w:tcPr>
            <w:tcW w:w="2802" w:type="dxa"/>
            <w:shd w:val="pct10" w:color="auto" w:fill="auto"/>
          </w:tcPr>
          <w:p w14:paraId="0178B4EB" w14:textId="2E0109F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Časová řada: </w:t>
            </w:r>
          </w:p>
        </w:tc>
        <w:tc>
          <w:tcPr>
            <w:tcW w:w="6486" w:type="dxa"/>
            <w:shd w:val="pct10" w:color="auto" w:fill="auto"/>
          </w:tcPr>
          <w:p w14:paraId="0EC15272" w14:textId="77777777" w:rsidR="00F261A3" w:rsidRDefault="00F261A3" w:rsidP="0062345D">
            <w:pPr>
              <w:spacing w:line="276" w:lineRule="auto"/>
              <w:rPr>
                <w:rFonts w:ascii="Arial" w:hAnsi="Arial" w:cs="Arial"/>
                <w:sz w:val="22"/>
                <w:szCs w:val="22"/>
                <w:lang w:eastAsia="en-US"/>
              </w:rPr>
            </w:pPr>
          </w:p>
        </w:tc>
      </w:tr>
      <w:tr w:rsidR="00F261A3" w14:paraId="6FDFDCBF" w14:textId="77777777" w:rsidTr="00AB09CE">
        <w:tc>
          <w:tcPr>
            <w:tcW w:w="2802" w:type="dxa"/>
            <w:shd w:val="pct10" w:color="auto" w:fill="auto"/>
          </w:tcPr>
          <w:p w14:paraId="60EC9081" w14:textId="78E817A0"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Frekvence výstupu: </w:t>
            </w:r>
          </w:p>
        </w:tc>
        <w:tc>
          <w:tcPr>
            <w:tcW w:w="6486" w:type="dxa"/>
            <w:shd w:val="pct10" w:color="auto" w:fill="auto"/>
          </w:tcPr>
          <w:p w14:paraId="6E7093B8" w14:textId="77777777" w:rsidR="00F261A3" w:rsidRDefault="00F261A3" w:rsidP="0062345D">
            <w:pPr>
              <w:spacing w:line="276" w:lineRule="auto"/>
              <w:rPr>
                <w:rFonts w:ascii="Arial" w:hAnsi="Arial" w:cs="Arial"/>
                <w:sz w:val="22"/>
                <w:szCs w:val="22"/>
                <w:lang w:eastAsia="en-US"/>
              </w:rPr>
            </w:pPr>
          </w:p>
        </w:tc>
      </w:tr>
      <w:tr w:rsidR="00F261A3" w14:paraId="1F3EDE80" w14:textId="77777777" w:rsidTr="00AB09CE">
        <w:trPr>
          <w:trHeight w:val="70"/>
        </w:trPr>
        <w:tc>
          <w:tcPr>
            <w:tcW w:w="2802" w:type="dxa"/>
            <w:shd w:val="pct10" w:color="auto" w:fill="auto"/>
          </w:tcPr>
          <w:p w14:paraId="7A248298" w14:textId="7ADF5F9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Členění indikátoru: </w:t>
            </w:r>
          </w:p>
        </w:tc>
        <w:tc>
          <w:tcPr>
            <w:tcW w:w="6486" w:type="dxa"/>
            <w:shd w:val="pct10" w:color="auto" w:fill="auto"/>
          </w:tcPr>
          <w:p w14:paraId="65B3011F" w14:textId="77777777" w:rsidR="00F261A3" w:rsidRDefault="00F261A3" w:rsidP="0062345D">
            <w:pPr>
              <w:spacing w:line="276" w:lineRule="auto"/>
              <w:rPr>
                <w:rFonts w:ascii="Arial" w:hAnsi="Arial" w:cs="Arial"/>
                <w:sz w:val="22"/>
                <w:szCs w:val="22"/>
                <w:lang w:eastAsia="en-US"/>
              </w:rPr>
            </w:pPr>
          </w:p>
        </w:tc>
      </w:tr>
      <w:tr w:rsidR="00F261A3" w14:paraId="1953DE99" w14:textId="77777777" w:rsidTr="00AB09CE">
        <w:trPr>
          <w:trHeight w:val="70"/>
        </w:trPr>
        <w:tc>
          <w:tcPr>
            <w:tcW w:w="2802" w:type="dxa"/>
            <w:shd w:val="pct10" w:color="auto" w:fill="auto"/>
          </w:tcPr>
          <w:p w14:paraId="49EA9EFA" w14:textId="66631778"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Mezinárodní srovnání:</w:t>
            </w:r>
          </w:p>
        </w:tc>
        <w:tc>
          <w:tcPr>
            <w:tcW w:w="6486" w:type="dxa"/>
            <w:shd w:val="pct10" w:color="auto" w:fill="auto"/>
          </w:tcPr>
          <w:p w14:paraId="48E1CBCA" w14:textId="77777777" w:rsidR="00F261A3" w:rsidRDefault="00F261A3" w:rsidP="0062345D">
            <w:pPr>
              <w:spacing w:line="276" w:lineRule="auto"/>
              <w:rPr>
                <w:rFonts w:ascii="Arial" w:hAnsi="Arial" w:cs="Arial"/>
                <w:sz w:val="22"/>
                <w:szCs w:val="22"/>
                <w:lang w:eastAsia="en-US"/>
              </w:rPr>
            </w:pPr>
          </w:p>
        </w:tc>
      </w:tr>
    </w:tbl>
    <w:p w14:paraId="418F61BC" w14:textId="77777777" w:rsidR="00F261A3" w:rsidRPr="00B876DF" w:rsidRDefault="00F261A3" w:rsidP="0046665E">
      <w:pPr>
        <w:pStyle w:val="r2030cle"/>
        <w:numPr>
          <w:ilvl w:val="0"/>
          <w:numId w:val="17"/>
        </w:numPr>
        <w:ind w:left="567" w:hanging="425"/>
        <w:jc w:val="both"/>
      </w:pPr>
      <w:r w:rsidRPr="00B876DF">
        <w:t xml:space="preserve">Veřejné politiky jsou soudržné ve vztahu k cílům </w:t>
      </w:r>
      <w:r>
        <w:t>strategického</w:t>
      </w:r>
      <w:r w:rsidRPr="00B876DF">
        <w:t xml:space="preserve"> </w:t>
      </w:r>
      <w:r>
        <w:t>rámce</w:t>
      </w:r>
      <w:r w:rsidRPr="00B876DF">
        <w:t xml:space="preserve"> </w:t>
      </w:r>
      <w:r w:rsidRPr="00FA6CB1">
        <w:rPr>
          <w:i/>
        </w:rPr>
        <w:t>Česká republika 2030.</w:t>
      </w:r>
    </w:p>
    <w:p w14:paraId="34A52E15" w14:textId="75632DB5" w:rsidR="00F261A3" w:rsidRDefault="00F261A3" w:rsidP="00846A07">
      <w:pPr>
        <w:pStyle w:val="r2030podcle"/>
        <w:numPr>
          <w:ilvl w:val="1"/>
          <w:numId w:val="17"/>
        </w:numPr>
        <w:ind w:left="567" w:hanging="425"/>
        <w:jc w:val="both"/>
      </w:pPr>
      <w:r>
        <w:t xml:space="preserve">Veřejná správa na všech úrovních bude mít dostatečnou institucionální kapacitu k vytváření soudržných politik (kompetence, personál, finanční prostředky, komunikační kanály </w:t>
      </w:r>
      <w:r w:rsidR="00846A07">
        <w:t>ap</w:t>
      </w:r>
      <w:r>
        <w:t>.)</w:t>
      </w:r>
      <w:r w:rsidR="00FA6CB1">
        <w:t>.</w:t>
      </w:r>
    </w:p>
    <w:tbl>
      <w:tblPr>
        <w:tblStyle w:val="Mkatabulky"/>
        <w:tblW w:w="0" w:type="auto"/>
        <w:tblLook w:val="04A0" w:firstRow="1" w:lastRow="0" w:firstColumn="1" w:lastColumn="0" w:noHBand="0" w:noVBand="1"/>
      </w:tblPr>
      <w:tblGrid>
        <w:gridCol w:w="2802"/>
        <w:gridCol w:w="6486"/>
      </w:tblGrid>
      <w:tr w:rsidR="00F261A3" w14:paraId="54EFDA4E"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3FE5ABBA" w14:textId="67F2E9AB"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Název a označení indikátoru: </w:t>
            </w:r>
          </w:p>
        </w:tc>
        <w:tc>
          <w:tcPr>
            <w:tcW w:w="6486" w:type="dxa"/>
            <w:tcBorders>
              <w:top w:val="single" w:sz="4" w:space="0" w:color="auto"/>
              <w:left w:val="single" w:sz="4" w:space="0" w:color="auto"/>
              <w:bottom w:val="single" w:sz="4" w:space="0" w:color="auto"/>
              <w:right w:val="single" w:sz="4" w:space="0" w:color="auto"/>
            </w:tcBorders>
            <w:hideMark/>
          </w:tcPr>
          <w:p w14:paraId="68F9DF13" w14:textId="6CFB2819" w:rsidR="00F261A3" w:rsidRDefault="00F261A3" w:rsidP="00246D73">
            <w:pPr>
              <w:spacing w:line="276" w:lineRule="auto"/>
              <w:rPr>
                <w:rFonts w:ascii="Arial" w:hAnsi="Arial" w:cs="Arial"/>
                <w:b/>
                <w:sz w:val="22"/>
                <w:szCs w:val="22"/>
                <w:lang w:eastAsia="en-US"/>
              </w:rPr>
            </w:pPr>
            <w:r>
              <w:rPr>
                <w:rFonts w:ascii="Arial" w:hAnsi="Arial" w:cs="Arial"/>
                <w:b/>
                <w:sz w:val="22"/>
                <w:szCs w:val="22"/>
                <w:lang w:eastAsia="en-US"/>
              </w:rPr>
              <w:t xml:space="preserve">24.1.1 </w:t>
            </w:r>
            <w:proofErr w:type="gramStart"/>
            <w:r>
              <w:rPr>
                <w:rFonts w:ascii="Arial" w:hAnsi="Arial" w:cs="Arial"/>
                <w:b/>
                <w:sz w:val="22"/>
                <w:szCs w:val="22"/>
                <w:lang w:eastAsia="en-US"/>
              </w:rPr>
              <w:t xml:space="preserve">Počet </w:t>
            </w:r>
            <w:r w:rsidR="00246D73">
              <w:rPr>
                <w:rFonts w:ascii="Arial" w:hAnsi="Arial" w:cs="Arial"/>
                <w:b/>
                <w:sz w:val="22"/>
                <w:szCs w:val="22"/>
                <w:lang w:eastAsia="en-US"/>
              </w:rPr>
              <w:t xml:space="preserve"> služebních</w:t>
            </w:r>
            <w:proofErr w:type="gramEnd"/>
            <w:r w:rsidR="00246D73">
              <w:rPr>
                <w:rFonts w:ascii="Arial" w:hAnsi="Arial" w:cs="Arial"/>
                <w:b/>
                <w:sz w:val="22"/>
                <w:szCs w:val="22"/>
                <w:lang w:eastAsia="en-US"/>
              </w:rPr>
              <w:t xml:space="preserve"> úřadů </w:t>
            </w:r>
            <w:r>
              <w:rPr>
                <w:rFonts w:ascii="Arial" w:hAnsi="Arial" w:cs="Arial"/>
                <w:b/>
                <w:sz w:val="22"/>
                <w:szCs w:val="22"/>
                <w:lang w:eastAsia="en-US"/>
              </w:rPr>
              <w:t xml:space="preserve">využívajících řízení kvality </w:t>
            </w:r>
          </w:p>
        </w:tc>
      </w:tr>
      <w:tr w:rsidR="00F261A3" w14:paraId="2D971A36"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1096CC96"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Stručná definice: </w:t>
            </w:r>
          </w:p>
        </w:tc>
        <w:tc>
          <w:tcPr>
            <w:tcW w:w="6486" w:type="dxa"/>
            <w:tcBorders>
              <w:top w:val="single" w:sz="4" w:space="0" w:color="auto"/>
              <w:left w:val="single" w:sz="4" w:space="0" w:color="auto"/>
              <w:bottom w:val="single" w:sz="4" w:space="0" w:color="auto"/>
              <w:right w:val="single" w:sz="4" w:space="0" w:color="auto"/>
            </w:tcBorders>
          </w:tcPr>
          <w:p w14:paraId="04335FB3" w14:textId="46653F38" w:rsidR="00F261A3" w:rsidRDefault="00F261A3" w:rsidP="00642448">
            <w:pPr>
              <w:spacing w:line="276" w:lineRule="auto"/>
              <w:jc w:val="both"/>
              <w:rPr>
                <w:rFonts w:ascii="Arial" w:hAnsi="Arial" w:cs="Arial"/>
                <w:sz w:val="22"/>
                <w:szCs w:val="22"/>
                <w:lang w:eastAsia="en-US"/>
              </w:rPr>
            </w:pPr>
            <w:proofErr w:type="gramStart"/>
            <w:r>
              <w:rPr>
                <w:rFonts w:ascii="Arial" w:hAnsi="Arial" w:cs="Arial"/>
                <w:sz w:val="22"/>
                <w:szCs w:val="22"/>
                <w:lang w:eastAsia="en-US"/>
              </w:rPr>
              <w:t xml:space="preserve">Počet </w:t>
            </w:r>
            <w:r w:rsidR="00246D73">
              <w:rPr>
                <w:rFonts w:ascii="Arial" w:hAnsi="Arial" w:cs="Arial"/>
                <w:sz w:val="22"/>
                <w:szCs w:val="22"/>
                <w:lang w:eastAsia="en-US"/>
              </w:rPr>
              <w:t xml:space="preserve"> služebních</w:t>
            </w:r>
            <w:proofErr w:type="gramEnd"/>
            <w:r w:rsidR="00246D73">
              <w:rPr>
                <w:rFonts w:ascii="Arial" w:hAnsi="Arial" w:cs="Arial"/>
                <w:sz w:val="22"/>
                <w:szCs w:val="22"/>
                <w:lang w:eastAsia="en-US"/>
              </w:rPr>
              <w:t xml:space="preserve"> úřadů </w:t>
            </w:r>
            <w:r>
              <w:rPr>
                <w:rFonts w:ascii="Arial" w:hAnsi="Arial" w:cs="Arial"/>
                <w:sz w:val="22"/>
                <w:szCs w:val="22"/>
                <w:lang w:eastAsia="en-US"/>
              </w:rPr>
              <w:t>využívajících řízení kvality</w:t>
            </w:r>
            <w:r w:rsidR="00246D73">
              <w:rPr>
                <w:rFonts w:ascii="Arial" w:hAnsi="Arial" w:cs="Arial"/>
                <w:sz w:val="22"/>
                <w:szCs w:val="22"/>
                <w:lang w:eastAsia="en-US"/>
              </w:rPr>
              <w:t>; současně s počtem také</w:t>
            </w:r>
            <w:r>
              <w:rPr>
                <w:rFonts w:ascii="Arial" w:hAnsi="Arial" w:cs="Arial"/>
                <w:sz w:val="22"/>
                <w:szCs w:val="22"/>
                <w:lang w:eastAsia="en-US"/>
              </w:rPr>
              <w:t xml:space="preserve"> meziroční procentuální nárůst či pokles</w:t>
            </w:r>
            <w:r w:rsidR="00246D73">
              <w:rPr>
                <w:rFonts w:ascii="Arial" w:hAnsi="Arial" w:cs="Arial"/>
                <w:sz w:val="22"/>
                <w:szCs w:val="22"/>
                <w:lang w:eastAsia="en-US"/>
              </w:rPr>
              <w:t xml:space="preserve"> a procentuální podíl na celku,</w:t>
            </w:r>
          </w:p>
          <w:p w14:paraId="41EB1B43" w14:textId="77777777" w:rsidR="00F261A3" w:rsidRDefault="00F261A3" w:rsidP="00642448">
            <w:pPr>
              <w:spacing w:line="276" w:lineRule="auto"/>
              <w:jc w:val="both"/>
              <w:rPr>
                <w:rFonts w:ascii="Arial" w:hAnsi="Arial" w:cs="Arial"/>
                <w:sz w:val="22"/>
                <w:szCs w:val="22"/>
                <w:lang w:eastAsia="en-US"/>
              </w:rPr>
            </w:pPr>
          </w:p>
          <w:p w14:paraId="7381ACE2"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Kvalitativní aspekt: způsob využívání jednotlivých metod a jejich efekty.</w:t>
            </w:r>
          </w:p>
          <w:p w14:paraId="50D2483F" w14:textId="77777777" w:rsidR="00F261A3" w:rsidRDefault="00F261A3" w:rsidP="00642448">
            <w:pPr>
              <w:spacing w:line="276" w:lineRule="auto"/>
              <w:jc w:val="both"/>
              <w:rPr>
                <w:rFonts w:ascii="Arial" w:hAnsi="Arial" w:cs="Arial"/>
                <w:sz w:val="22"/>
                <w:szCs w:val="22"/>
                <w:lang w:eastAsia="en-US"/>
              </w:rPr>
            </w:pPr>
          </w:p>
          <w:p w14:paraId="2E2A7354" w14:textId="5F99B089" w:rsidR="00F261A3" w:rsidRDefault="00246D73" w:rsidP="00642448">
            <w:pPr>
              <w:spacing w:line="276" w:lineRule="auto"/>
              <w:jc w:val="both"/>
              <w:rPr>
                <w:rFonts w:ascii="Arial" w:hAnsi="Arial" w:cs="Arial"/>
                <w:sz w:val="22"/>
                <w:szCs w:val="22"/>
                <w:lang w:eastAsia="en-US"/>
              </w:rPr>
            </w:pPr>
            <w:r>
              <w:rPr>
                <w:rFonts w:ascii="Arial" w:hAnsi="Arial" w:cs="Arial"/>
                <w:sz w:val="22"/>
                <w:szCs w:val="22"/>
                <w:lang w:eastAsia="en-US"/>
              </w:rPr>
              <w:t xml:space="preserve">Údaje získané </w:t>
            </w:r>
            <w:r w:rsidR="00F261A3">
              <w:rPr>
                <w:rFonts w:ascii="Arial" w:hAnsi="Arial" w:cs="Arial"/>
                <w:sz w:val="22"/>
                <w:szCs w:val="22"/>
                <w:lang w:eastAsia="en-US"/>
              </w:rPr>
              <w:t>Ministerstvem vnitra</w:t>
            </w:r>
            <w:r>
              <w:rPr>
                <w:rFonts w:ascii="Arial" w:hAnsi="Arial" w:cs="Arial"/>
                <w:sz w:val="22"/>
                <w:szCs w:val="22"/>
                <w:lang w:eastAsia="en-US"/>
              </w:rPr>
              <w:t xml:space="preserve"> (SSS)</w:t>
            </w:r>
            <w:r w:rsidR="00F261A3">
              <w:rPr>
                <w:rFonts w:ascii="Arial" w:hAnsi="Arial" w:cs="Arial"/>
                <w:sz w:val="22"/>
                <w:szCs w:val="22"/>
                <w:lang w:eastAsia="en-US"/>
              </w:rPr>
              <w:t xml:space="preserve"> v návaznosti na plnění cílů měřených indikátory</w:t>
            </w:r>
            <w:r>
              <w:rPr>
                <w:rFonts w:ascii="Arial" w:hAnsi="Arial" w:cs="Arial"/>
                <w:sz w:val="22"/>
                <w:szCs w:val="22"/>
                <w:lang w:eastAsia="en-US"/>
              </w:rPr>
              <w:t>em</w:t>
            </w:r>
            <w:r w:rsidR="00F261A3">
              <w:rPr>
                <w:rFonts w:ascii="Arial" w:hAnsi="Arial" w:cs="Arial"/>
                <w:sz w:val="22"/>
                <w:szCs w:val="22"/>
                <w:lang w:eastAsia="en-US"/>
              </w:rPr>
              <w:t>1.</w:t>
            </w:r>
            <w:proofErr w:type="gramStart"/>
            <w:r w:rsidR="00F261A3">
              <w:rPr>
                <w:rFonts w:ascii="Arial" w:hAnsi="Arial" w:cs="Arial"/>
                <w:sz w:val="22"/>
                <w:szCs w:val="22"/>
                <w:lang w:eastAsia="en-US"/>
              </w:rPr>
              <w:t xml:space="preserve">3.4. </w:t>
            </w:r>
            <w:r>
              <w:rPr>
                <w:rFonts w:ascii="Arial" w:hAnsi="Arial" w:cs="Arial"/>
                <w:sz w:val="22"/>
                <w:szCs w:val="22"/>
                <w:lang w:eastAsia="en-US"/>
              </w:rPr>
              <w:t>SRRVS</w:t>
            </w:r>
            <w:proofErr w:type="gramEnd"/>
            <w:r w:rsidR="00F261A3">
              <w:rPr>
                <w:rFonts w:ascii="Arial" w:hAnsi="Arial" w:cs="Arial"/>
                <w:sz w:val="22"/>
                <w:szCs w:val="22"/>
                <w:lang w:eastAsia="en-US"/>
              </w:rPr>
              <w:t xml:space="preserve">. „Počet zavedených systémů řízení kvality ve služebních úřadech.“, </w:t>
            </w:r>
          </w:p>
        </w:tc>
      </w:tr>
      <w:tr w:rsidR="00F261A3" w14:paraId="3E6B8980"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18D5420A"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Jednotka:</w:t>
            </w:r>
          </w:p>
        </w:tc>
        <w:tc>
          <w:tcPr>
            <w:tcW w:w="6486" w:type="dxa"/>
            <w:tcBorders>
              <w:top w:val="single" w:sz="4" w:space="0" w:color="auto"/>
              <w:left w:val="single" w:sz="4" w:space="0" w:color="auto"/>
              <w:bottom w:val="single" w:sz="4" w:space="0" w:color="auto"/>
              <w:right w:val="single" w:sz="4" w:space="0" w:color="auto"/>
            </w:tcBorders>
            <w:hideMark/>
          </w:tcPr>
          <w:p w14:paraId="48534ADB"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Počet a podíl</w:t>
            </w:r>
          </w:p>
        </w:tc>
      </w:tr>
      <w:tr w:rsidR="00F261A3" w14:paraId="3C50640D"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3E86DA74"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Gestor: </w:t>
            </w:r>
          </w:p>
        </w:tc>
        <w:tc>
          <w:tcPr>
            <w:tcW w:w="6486" w:type="dxa"/>
            <w:tcBorders>
              <w:top w:val="single" w:sz="4" w:space="0" w:color="auto"/>
              <w:left w:val="single" w:sz="4" w:space="0" w:color="auto"/>
              <w:bottom w:val="single" w:sz="4" w:space="0" w:color="auto"/>
              <w:right w:val="single" w:sz="4" w:space="0" w:color="auto"/>
            </w:tcBorders>
            <w:hideMark/>
          </w:tcPr>
          <w:p w14:paraId="56775DA5" w14:textId="6B29153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Ministerstvo vnitra,</w:t>
            </w:r>
            <w:r w:rsidR="00246D73">
              <w:rPr>
                <w:rFonts w:ascii="Arial" w:hAnsi="Arial" w:cs="Arial"/>
                <w:sz w:val="22"/>
                <w:szCs w:val="22"/>
                <w:lang w:eastAsia="en-US"/>
              </w:rPr>
              <w:t xml:space="preserve"> sekce</w:t>
            </w:r>
            <w:r>
              <w:rPr>
                <w:rFonts w:ascii="Arial" w:hAnsi="Arial" w:cs="Arial"/>
                <w:sz w:val="22"/>
                <w:szCs w:val="22"/>
                <w:lang w:eastAsia="en-US"/>
              </w:rPr>
              <w:t xml:space="preserve"> </w:t>
            </w:r>
          </w:p>
        </w:tc>
      </w:tr>
      <w:tr w:rsidR="00F261A3" w14:paraId="64FDAF53"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731B09C8"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Význam indikátoru: </w:t>
            </w:r>
          </w:p>
        </w:tc>
        <w:tc>
          <w:tcPr>
            <w:tcW w:w="6486" w:type="dxa"/>
            <w:tcBorders>
              <w:top w:val="single" w:sz="4" w:space="0" w:color="auto"/>
              <w:left w:val="single" w:sz="4" w:space="0" w:color="auto"/>
              <w:bottom w:val="single" w:sz="4" w:space="0" w:color="auto"/>
              <w:right w:val="single" w:sz="4" w:space="0" w:color="auto"/>
            </w:tcBorders>
            <w:hideMark/>
          </w:tcPr>
          <w:p w14:paraId="6F532D4C"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Dlouhodobá efektivita vládnutí: Předpoklad, že smyslem většiny forem řízení kvality je určit resp. opakovaně určovat, jaké jsou úkoly instituce, jaký je stav instituce a co je třeba učinit pro to, aby vykonávala své úkoly lépe a co se za tím účelem musí měnit („dělat správné věci správně“).</w:t>
            </w:r>
          </w:p>
        </w:tc>
      </w:tr>
      <w:tr w:rsidR="00F261A3" w14:paraId="06B27136"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733BE096"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Časová řada: </w:t>
            </w:r>
          </w:p>
        </w:tc>
        <w:tc>
          <w:tcPr>
            <w:tcW w:w="6486" w:type="dxa"/>
            <w:tcBorders>
              <w:top w:val="single" w:sz="4" w:space="0" w:color="auto"/>
              <w:left w:val="single" w:sz="4" w:space="0" w:color="auto"/>
              <w:bottom w:val="single" w:sz="4" w:space="0" w:color="auto"/>
              <w:right w:val="single" w:sz="4" w:space="0" w:color="auto"/>
            </w:tcBorders>
            <w:hideMark/>
          </w:tcPr>
          <w:p w14:paraId="5B23C7BC"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Od roku 2016</w:t>
            </w:r>
          </w:p>
        </w:tc>
      </w:tr>
      <w:tr w:rsidR="00F261A3" w14:paraId="4E7B4011"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06ADC60A"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Frekvence výstupu: </w:t>
            </w:r>
          </w:p>
        </w:tc>
        <w:tc>
          <w:tcPr>
            <w:tcW w:w="6486" w:type="dxa"/>
            <w:tcBorders>
              <w:top w:val="single" w:sz="4" w:space="0" w:color="auto"/>
              <w:left w:val="single" w:sz="4" w:space="0" w:color="auto"/>
              <w:bottom w:val="single" w:sz="4" w:space="0" w:color="auto"/>
              <w:right w:val="single" w:sz="4" w:space="0" w:color="auto"/>
            </w:tcBorders>
            <w:hideMark/>
          </w:tcPr>
          <w:p w14:paraId="5393218F"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 xml:space="preserve">Počet a podíl každý rok; kvalitativní údaje souhrnně jednou za 2 roky (první souhrnná zpráva 2020), do té doby výběrově </w:t>
            </w:r>
          </w:p>
        </w:tc>
      </w:tr>
      <w:tr w:rsidR="00F261A3" w14:paraId="0709A6C6" w14:textId="77777777" w:rsidTr="0062345D">
        <w:trPr>
          <w:trHeight w:val="70"/>
        </w:trPr>
        <w:tc>
          <w:tcPr>
            <w:tcW w:w="2802" w:type="dxa"/>
            <w:tcBorders>
              <w:top w:val="single" w:sz="4" w:space="0" w:color="auto"/>
              <w:left w:val="single" w:sz="4" w:space="0" w:color="auto"/>
              <w:bottom w:val="single" w:sz="4" w:space="0" w:color="auto"/>
              <w:right w:val="single" w:sz="4" w:space="0" w:color="auto"/>
            </w:tcBorders>
            <w:hideMark/>
          </w:tcPr>
          <w:p w14:paraId="6955B333"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Členění indikátoru: </w:t>
            </w:r>
          </w:p>
        </w:tc>
        <w:tc>
          <w:tcPr>
            <w:tcW w:w="6486" w:type="dxa"/>
            <w:tcBorders>
              <w:top w:val="single" w:sz="4" w:space="0" w:color="auto"/>
              <w:left w:val="single" w:sz="4" w:space="0" w:color="auto"/>
              <w:bottom w:val="single" w:sz="4" w:space="0" w:color="auto"/>
              <w:right w:val="single" w:sz="4" w:space="0" w:color="auto"/>
            </w:tcBorders>
            <w:hideMark/>
          </w:tcPr>
          <w:p w14:paraId="17C8A25E" w14:textId="221FC5B6"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Služební úřady</w:t>
            </w:r>
            <w:r w:rsidR="00246D73">
              <w:rPr>
                <w:rFonts w:ascii="Arial" w:hAnsi="Arial" w:cs="Arial"/>
                <w:sz w:val="22"/>
                <w:szCs w:val="22"/>
                <w:lang w:eastAsia="en-US"/>
              </w:rPr>
              <w:t xml:space="preserve"> </w:t>
            </w:r>
          </w:p>
        </w:tc>
      </w:tr>
      <w:tr w:rsidR="00F261A3" w14:paraId="6897963D" w14:textId="77777777" w:rsidTr="0062345D">
        <w:trPr>
          <w:trHeight w:val="70"/>
        </w:trPr>
        <w:tc>
          <w:tcPr>
            <w:tcW w:w="2802" w:type="dxa"/>
            <w:tcBorders>
              <w:top w:val="single" w:sz="4" w:space="0" w:color="auto"/>
              <w:left w:val="single" w:sz="4" w:space="0" w:color="auto"/>
              <w:bottom w:val="single" w:sz="4" w:space="0" w:color="auto"/>
              <w:right w:val="single" w:sz="4" w:space="0" w:color="auto"/>
            </w:tcBorders>
            <w:hideMark/>
          </w:tcPr>
          <w:p w14:paraId="184FBD5E"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lastRenderedPageBreak/>
              <w:t>Mezinárodní srovnání:</w:t>
            </w:r>
          </w:p>
        </w:tc>
        <w:tc>
          <w:tcPr>
            <w:tcW w:w="6486" w:type="dxa"/>
            <w:tcBorders>
              <w:top w:val="single" w:sz="4" w:space="0" w:color="auto"/>
              <w:left w:val="single" w:sz="4" w:space="0" w:color="auto"/>
              <w:bottom w:val="single" w:sz="4" w:space="0" w:color="auto"/>
              <w:right w:val="single" w:sz="4" w:space="0" w:color="auto"/>
            </w:tcBorders>
            <w:hideMark/>
          </w:tcPr>
          <w:p w14:paraId="462084E8"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w:t>
            </w:r>
          </w:p>
        </w:tc>
      </w:tr>
    </w:tbl>
    <w:p w14:paraId="6C01B70E" w14:textId="77777777" w:rsidR="00246D73" w:rsidRDefault="00246D73" w:rsidP="0061774A"/>
    <w:tbl>
      <w:tblPr>
        <w:tblStyle w:val="Mkatabulky"/>
        <w:tblW w:w="0" w:type="auto"/>
        <w:tblLook w:val="04A0" w:firstRow="1" w:lastRow="0" w:firstColumn="1" w:lastColumn="0" w:noHBand="0" w:noVBand="1"/>
      </w:tblPr>
      <w:tblGrid>
        <w:gridCol w:w="2802"/>
        <w:gridCol w:w="6486"/>
      </w:tblGrid>
      <w:tr w:rsidR="00ED0F2A" w14:paraId="52209249" w14:textId="77777777" w:rsidTr="00C375C1">
        <w:tc>
          <w:tcPr>
            <w:tcW w:w="2802" w:type="dxa"/>
            <w:hideMark/>
          </w:tcPr>
          <w:p w14:paraId="46063C1C" w14:textId="77777777" w:rsidR="00ED0F2A" w:rsidRDefault="00ED0F2A" w:rsidP="00C375C1">
            <w:pPr>
              <w:spacing w:line="276" w:lineRule="auto"/>
              <w:rPr>
                <w:rFonts w:ascii="Arial" w:hAnsi="Arial" w:cs="Arial"/>
                <w:sz w:val="22"/>
                <w:szCs w:val="22"/>
                <w:lang w:eastAsia="en-US"/>
              </w:rPr>
            </w:pPr>
            <w:r>
              <w:rPr>
                <w:rFonts w:ascii="Arial" w:hAnsi="Arial" w:cs="Arial"/>
                <w:sz w:val="22"/>
                <w:szCs w:val="22"/>
                <w:lang w:eastAsia="en-US"/>
              </w:rPr>
              <w:t xml:space="preserve">Název a označení indikátoru: </w:t>
            </w:r>
          </w:p>
        </w:tc>
        <w:tc>
          <w:tcPr>
            <w:tcW w:w="6486" w:type="dxa"/>
            <w:hideMark/>
          </w:tcPr>
          <w:p w14:paraId="783CDE14" w14:textId="77777777" w:rsidR="00ED0F2A" w:rsidRDefault="00ED0F2A" w:rsidP="00C375C1">
            <w:pPr>
              <w:spacing w:line="276" w:lineRule="auto"/>
              <w:rPr>
                <w:rFonts w:ascii="Arial" w:hAnsi="Arial" w:cs="Arial"/>
                <w:b/>
                <w:sz w:val="22"/>
                <w:szCs w:val="22"/>
                <w:lang w:eastAsia="en-US"/>
              </w:rPr>
            </w:pPr>
            <w:r>
              <w:rPr>
                <w:rFonts w:ascii="Arial" w:hAnsi="Arial" w:cs="Arial"/>
                <w:b/>
                <w:sz w:val="22"/>
                <w:szCs w:val="22"/>
                <w:lang w:eastAsia="en-US"/>
              </w:rPr>
              <w:t xml:space="preserve">24.1.2 Počet územních samosprávných celků a obcí využívajících řízení kvality </w:t>
            </w:r>
          </w:p>
        </w:tc>
      </w:tr>
      <w:tr w:rsidR="00ED0F2A" w14:paraId="0C61EC5F" w14:textId="77777777" w:rsidTr="00C375C1">
        <w:tc>
          <w:tcPr>
            <w:tcW w:w="2802" w:type="dxa"/>
            <w:hideMark/>
          </w:tcPr>
          <w:p w14:paraId="4698DF73" w14:textId="77777777" w:rsidR="00ED0F2A" w:rsidRDefault="00ED0F2A" w:rsidP="00C375C1">
            <w:pPr>
              <w:spacing w:line="276" w:lineRule="auto"/>
              <w:rPr>
                <w:rFonts w:ascii="Arial" w:hAnsi="Arial" w:cs="Arial"/>
                <w:sz w:val="22"/>
                <w:szCs w:val="22"/>
                <w:lang w:eastAsia="en-US"/>
              </w:rPr>
            </w:pPr>
            <w:r>
              <w:rPr>
                <w:rFonts w:ascii="Arial" w:hAnsi="Arial" w:cs="Arial"/>
                <w:sz w:val="22"/>
                <w:szCs w:val="22"/>
                <w:lang w:eastAsia="en-US"/>
              </w:rPr>
              <w:t xml:space="preserve">Stručná definice: </w:t>
            </w:r>
          </w:p>
        </w:tc>
        <w:tc>
          <w:tcPr>
            <w:tcW w:w="6486" w:type="dxa"/>
          </w:tcPr>
          <w:p w14:paraId="71C10BF3" w14:textId="77777777" w:rsidR="00ED0F2A" w:rsidRDefault="00ED0F2A" w:rsidP="00642448">
            <w:pPr>
              <w:spacing w:line="276" w:lineRule="auto"/>
              <w:jc w:val="both"/>
              <w:rPr>
                <w:rFonts w:ascii="Arial" w:hAnsi="Arial" w:cs="Arial"/>
                <w:sz w:val="22"/>
                <w:szCs w:val="22"/>
                <w:lang w:eastAsia="en-US"/>
              </w:rPr>
            </w:pPr>
            <w:r>
              <w:rPr>
                <w:rFonts w:ascii="Arial" w:hAnsi="Arial" w:cs="Arial"/>
                <w:sz w:val="22"/>
                <w:szCs w:val="22"/>
                <w:lang w:eastAsia="en-US"/>
              </w:rPr>
              <w:t>Počet územních samosprávných celků a počet obcí využívajících řízení kvality; současně s počtem také meziroční procentuální nárůst či pokles a procentuální podíl na celku.</w:t>
            </w:r>
          </w:p>
          <w:p w14:paraId="15F46CEE" w14:textId="77777777" w:rsidR="00ED0F2A" w:rsidRDefault="00ED0F2A" w:rsidP="00642448">
            <w:pPr>
              <w:spacing w:line="276" w:lineRule="auto"/>
              <w:jc w:val="both"/>
              <w:rPr>
                <w:rFonts w:ascii="Arial" w:hAnsi="Arial" w:cs="Arial"/>
                <w:sz w:val="22"/>
                <w:szCs w:val="22"/>
                <w:lang w:eastAsia="en-US"/>
              </w:rPr>
            </w:pPr>
          </w:p>
          <w:p w14:paraId="5D039F7B" w14:textId="77777777" w:rsidR="00ED0F2A" w:rsidRDefault="00ED0F2A" w:rsidP="00642448">
            <w:pPr>
              <w:spacing w:line="276" w:lineRule="auto"/>
              <w:jc w:val="both"/>
              <w:rPr>
                <w:rFonts w:ascii="Arial" w:hAnsi="Arial" w:cs="Arial"/>
                <w:sz w:val="22"/>
                <w:szCs w:val="22"/>
                <w:lang w:eastAsia="en-US"/>
              </w:rPr>
            </w:pPr>
            <w:r>
              <w:rPr>
                <w:rFonts w:ascii="Arial" w:hAnsi="Arial" w:cs="Arial"/>
                <w:sz w:val="22"/>
                <w:szCs w:val="22"/>
                <w:lang w:eastAsia="en-US"/>
              </w:rPr>
              <w:t>Kvalitativní aspekt: způsob využívání jednotlivých metod a jejich efekty.</w:t>
            </w:r>
          </w:p>
          <w:p w14:paraId="6F0A1449" w14:textId="77777777" w:rsidR="00ED0F2A" w:rsidRDefault="00ED0F2A" w:rsidP="00642448">
            <w:pPr>
              <w:spacing w:line="276" w:lineRule="auto"/>
              <w:jc w:val="both"/>
              <w:rPr>
                <w:rFonts w:ascii="Arial" w:hAnsi="Arial" w:cs="Arial"/>
                <w:sz w:val="22"/>
                <w:szCs w:val="22"/>
                <w:lang w:eastAsia="en-US"/>
              </w:rPr>
            </w:pPr>
          </w:p>
          <w:p w14:paraId="70B93638" w14:textId="77777777" w:rsidR="00ED0F2A" w:rsidRDefault="00ED0F2A" w:rsidP="00642448">
            <w:pPr>
              <w:spacing w:line="276" w:lineRule="auto"/>
              <w:jc w:val="both"/>
              <w:rPr>
                <w:rFonts w:ascii="Arial" w:hAnsi="Arial" w:cs="Arial"/>
                <w:sz w:val="22"/>
                <w:szCs w:val="22"/>
                <w:lang w:eastAsia="en-US"/>
              </w:rPr>
            </w:pPr>
            <w:r>
              <w:rPr>
                <w:rFonts w:ascii="Arial" w:hAnsi="Arial" w:cs="Arial"/>
                <w:sz w:val="22"/>
                <w:szCs w:val="22"/>
                <w:lang w:eastAsia="en-US"/>
              </w:rPr>
              <w:t xml:space="preserve">Kombinace údajů získávaných Ministerstvem vnitra v návaznosti na plnění cílů měřených indikátorem 1.3.5. SRRVS „Počet zavedených systémů řízení kvality na úrovni územních samosprávních celků“ a záměru MV zjišťovat míru řízení kvality na úrovni obcí (do doby, než MV </w:t>
            </w:r>
            <w:proofErr w:type="gramStart"/>
            <w:r>
              <w:rPr>
                <w:rFonts w:ascii="Arial" w:hAnsi="Arial" w:cs="Arial"/>
                <w:sz w:val="22"/>
                <w:szCs w:val="22"/>
                <w:lang w:eastAsia="en-US"/>
              </w:rPr>
              <w:t>získá</w:t>
            </w:r>
            <w:proofErr w:type="gramEnd"/>
            <w:r>
              <w:rPr>
                <w:rFonts w:ascii="Arial" w:hAnsi="Arial" w:cs="Arial"/>
                <w:sz w:val="22"/>
                <w:szCs w:val="22"/>
                <w:lang w:eastAsia="en-US"/>
              </w:rPr>
              <w:t xml:space="preserve"> vlastní údaje pro obce </w:t>
            </w:r>
            <w:proofErr w:type="gramStart"/>
            <w:r>
              <w:rPr>
                <w:rFonts w:ascii="Arial" w:hAnsi="Arial" w:cs="Arial"/>
                <w:sz w:val="22"/>
                <w:szCs w:val="22"/>
                <w:lang w:eastAsia="en-US"/>
              </w:rPr>
              <w:t>bude</w:t>
            </w:r>
            <w:proofErr w:type="gramEnd"/>
            <w:r>
              <w:rPr>
                <w:rFonts w:ascii="Arial" w:hAnsi="Arial" w:cs="Arial"/>
                <w:sz w:val="22"/>
                <w:szCs w:val="22"/>
                <w:lang w:eastAsia="en-US"/>
              </w:rPr>
              <w:t xml:space="preserve"> pro tento účel použita hodnota počtu municipalit zapojený do MA21).</w:t>
            </w:r>
          </w:p>
        </w:tc>
      </w:tr>
      <w:tr w:rsidR="00ED0F2A" w14:paraId="6D825634" w14:textId="77777777" w:rsidTr="00C375C1">
        <w:tc>
          <w:tcPr>
            <w:tcW w:w="2802" w:type="dxa"/>
            <w:hideMark/>
          </w:tcPr>
          <w:p w14:paraId="23B5ACE3" w14:textId="77777777" w:rsidR="00ED0F2A" w:rsidRDefault="00ED0F2A" w:rsidP="00C375C1">
            <w:pPr>
              <w:spacing w:line="276" w:lineRule="auto"/>
              <w:rPr>
                <w:rFonts w:ascii="Arial" w:hAnsi="Arial" w:cs="Arial"/>
                <w:sz w:val="22"/>
                <w:szCs w:val="22"/>
                <w:lang w:eastAsia="en-US"/>
              </w:rPr>
            </w:pPr>
            <w:r>
              <w:rPr>
                <w:rFonts w:ascii="Arial" w:hAnsi="Arial" w:cs="Arial"/>
                <w:sz w:val="22"/>
                <w:szCs w:val="22"/>
                <w:lang w:eastAsia="en-US"/>
              </w:rPr>
              <w:t>Jednotka:</w:t>
            </w:r>
          </w:p>
        </w:tc>
        <w:tc>
          <w:tcPr>
            <w:tcW w:w="6486" w:type="dxa"/>
            <w:hideMark/>
          </w:tcPr>
          <w:p w14:paraId="0BB65909" w14:textId="77777777" w:rsidR="00ED0F2A" w:rsidRDefault="00ED0F2A" w:rsidP="00642448">
            <w:pPr>
              <w:spacing w:line="276" w:lineRule="auto"/>
              <w:jc w:val="both"/>
              <w:rPr>
                <w:rFonts w:ascii="Arial" w:hAnsi="Arial" w:cs="Arial"/>
                <w:sz w:val="22"/>
                <w:szCs w:val="22"/>
                <w:lang w:eastAsia="en-US"/>
              </w:rPr>
            </w:pPr>
            <w:r>
              <w:rPr>
                <w:rFonts w:ascii="Arial" w:hAnsi="Arial" w:cs="Arial"/>
                <w:sz w:val="22"/>
                <w:szCs w:val="22"/>
                <w:lang w:eastAsia="en-US"/>
              </w:rPr>
              <w:t>Počet a podíl</w:t>
            </w:r>
          </w:p>
        </w:tc>
      </w:tr>
      <w:tr w:rsidR="00ED0F2A" w14:paraId="5E9B1D1A" w14:textId="77777777" w:rsidTr="00C375C1">
        <w:tc>
          <w:tcPr>
            <w:tcW w:w="2802" w:type="dxa"/>
            <w:hideMark/>
          </w:tcPr>
          <w:p w14:paraId="3C3201FA" w14:textId="77777777" w:rsidR="00ED0F2A" w:rsidRDefault="00ED0F2A" w:rsidP="00C375C1">
            <w:pPr>
              <w:spacing w:line="276" w:lineRule="auto"/>
              <w:rPr>
                <w:rFonts w:ascii="Arial" w:hAnsi="Arial" w:cs="Arial"/>
                <w:sz w:val="22"/>
                <w:szCs w:val="22"/>
                <w:lang w:eastAsia="en-US"/>
              </w:rPr>
            </w:pPr>
            <w:r>
              <w:rPr>
                <w:rFonts w:ascii="Arial" w:hAnsi="Arial" w:cs="Arial"/>
                <w:sz w:val="22"/>
                <w:szCs w:val="22"/>
                <w:lang w:eastAsia="en-US"/>
              </w:rPr>
              <w:t xml:space="preserve">Gestor: </w:t>
            </w:r>
          </w:p>
        </w:tc>
        <w:tc>
          <w:tcPr>
            <w:tcW w:w="6486" w:type="dxa"/>
            <w:hideMark/>
          </w:tcPr>
          <w:p w14:paraId="65829BAD" w14:textId="77777777" w:rsidR="00ED0F2A" w:rsidRDefault="00ED0F2A" w:rsidP="00642448">
            <w:pPr>
              <w:spacing w:line="276" w:lineRule="auto"/>
              <w:jc w:val="both"/>
              <w:rPr>
                <w:rFonts w:ascii="Arial" w:hAnsi="Arial" w:cs="Arial"/>
                <w:sz w:val="22"/>
                <w:szCs w:val="22"/>
                <w:lang w:eastAsia="en-US"/>
              </w:rPr>
            </w:pPr>
            <w:r>
              <w:rPr>
                <w:rFonts w:ascii="Arial" w:hAnsi="Arial" w:cs="Arial"/>
                <w:sz w:val="22"/>
                <w:szCs w:val="22"/>
                <w:lang w:eastAsia="en-US"/>
              </w:rPr>
              <w:t>Ministerstvo vnitra, Ministerstvo životního prostředí (MA21)</w:t>
            </w:r>
          </w:p>
        </w:tc>
      </w:tr>
      <w:tr w:rsidR="00ED0F2A" w14:paraId="3EB92C1D" w14:textId="77777777" w:rsidTr="00C375C1">
        <w:tc>
          <w:tcPr>
            <w:tcW w:w="2802" w:type="dxa"/>
            <w:hideMark/>
          </w:tcPr>
          <w:p w14:paraId="7FB865CD" w14:textId="77777777" w:rsidR="00ED0F2A" w:rsidRDefault="00ED0F2A" w:rsidP="00C375C1">
            <w:pPr>
              <w:spacing w:line="276" w:lineRule="auto"/>
              <w:rPr>
                <w:rFonts w:ascii="Arial" w:hAnsi="Arial" w:cs="Arial"/>
                <w:sz w:val="22"/>
                <w:szCs w:val="22"/>
                <w:lang w:eastAsia="en-US"/>
              </w:rPr>
            </w:pPr>
            <w:r>
              <w:rPr>
                <w:rFonts w:ascii="Arial" w:hAnsi="Arial" w:cs="Arial"/>
                <w:sz w:val="22"/>
                <w:szCs w:val="22"/>
                <w:lang w:eastAsia="en-US"/>
              </w:rPr>
              <w:t xml:space="preserve">Význam indikátoru: </w:t>
            </w:r>
          </w:p>
        </w:tc>
        <w:tc>
          <w:tcPr>
            <w:tcW w:w="6486" w:type="dxa"/>
            <w:hideMark/>
          </w:tcPr>
          <w:p w14:paraId="6026773C" w14:textId="77777777" w:rsidR="00ED0F2A" w:rsidRDefault="00ED0F2A" w:rsidP="00642448">
            <w:pPr>
              <w:spacing w:line="276" w:lineRule="auto"/>
              <w:jc w:val="both"/>
              <w:rPr>
                <w:rFonts w:ascii="Arial" w:hAnsi="Arial" w:cs="Arial"/>
                <w:sz w:val="22"/>
                <w:szCs w:val="22"/>
                <w:lang w:eastAsia="en-US"/>
              </w:rPr>
            </w:pPr>
            <w:r>
              <w:rPr>
                <w:rFonts w:ascii="Arial" w:hAnsi="Arial" w:cs="Arial"/>
                <w:sz w:val="22"/>
                <w:szCs w:val="22"/>
                <w:lang w:eastAsia="en-US"/>
              </w:rPr>
              <w:t>Dlouhodobá efektivita vládnutí: Předpoklad, že smyslem většiny forem řízení kvality je určit resp. opakovaně určovat, jaké jsou úkoly instituce, jaký je stav instituce a co je třeba učinit pro to, aby vykonávala své úkoly lépe a co se za tím účelem musí měnit („dělat správné věci správně“).</w:t>
            </w:r>
          </w:p>
        </w:tc>
      </w:tr>
      <w:tr w:rsidR="00ED0F2A" w14:paraId="080D75BA" w14:textId="77777777" w:rsidTr="00C375C1">
        <w:tc>
          <w:tcPr>
            <w:tcW w:w="2802" w:type="dxa"/>
            <w:hideMark/>
          </w:tcPr>
          <w:p w14:paraId="60DE1CEA" w14:textId="77777777" w:rsidR="00ED0F2A" w:rsidRDefault="00ED0F2A" w:rsidP="00C375C1">
            <w:pPr>
              <w:spacing w:line="276" w:lineRule="auto"/>
              <w:rPr>
                <w:rFonts w:ascii="Arial" w:hAnsi="Arial" w:cs="Arial"/>
                <w:sz w:val="22"/>
                <w:szCs w:val="22"/>
                <w:lang w:eastAsia="en-US"/>
              </w:rPr>
            </w:pPr>
            <w:r>
              <w:rPr>
                <w:rFonts w:ascii="Arial" w:hAnsi="Arial" w:cs="Arial"/>
                <w:sz w:val="22"/>
                <w:szCs w:val="22"/>
                <w:lang w:eastAsia="en-US"/>
              </w:rPr>
              <w:t xml:space="preserve">Časová řada: </w:t>
            </w:r>
          </w:p>
        </w:tc>
        <w:tc>
          <w:tcPr>
            <w:tcW w:w="6486" w:type="dxa"/>
            <w:hideMark/>
          </w:tcPr>
          <w:p w14:paraId="440828AE" w14:textId="77777777" w:rsidR="00ED0F2A" w:rsidRDefault="00ED0F2A" w:rsidP="00642448">
            <w:pPr>
              <w:spacing w:line="276" w:lineRule="auto"/>
              <w:jc w:val="both"/>
              <w:rPr>
                <w:rFonts w:ascii="Arial" w:hAnsi="Arial" w:cs="Arial"/>
                <w:sz w:val="22"/>
                <w:szCs w:val="22"/>
                <w:lang w:eastAsia="en-US"/>
              </w:rPr>
            </w:pPr>
            <w:r>
              <w:rPr>
                <w:rFonts w:ascii="Arial" w:hAnsi="Arial" w:cs="Arial"/>
                <w:sz w:val="22"/>
                <w:szCs w:val="22"/>
                <w:lang w:eastAsia="en-US"/>
              </w:rPr>
              <w:t>Od roku 2016</w:t>
            </w:r>
          </w:p>
        </w:tc>
      </w:tr>
      <w:tr w:rsidR="00ED0F2A" w14:paraId="35487EAE" w14:textId="77777777" w:rsidTr="00C375C1">
        <w:tc>
          <w:tcPr>
            <w:tcW w:w="2802" w:type="dxa"/>
            <w:hideMark/>
          </w:tcPr>
          <w:p w14:paraId="076A243C" w14:textId="77777777" w:rsidR="00ED0F2A" w:rsidRDefault="00ED0F2A" w:rsidP="00C375C1">
            <w:pPr>
              <w:spacing w:line="276" w:lineRule="auto"/>
              <w:rPr>
                <w:rFonts w:ascii="Arial" w:hAnsi="Arial" w:cs="Arial"/>
                <w:sz w:val="22"/>
                <w:szCs w:val="22"/>
                <w:lang w:eastAsia="en-US"/>
              </w:rPr>
            </w:pPr>
            <w:r>
              <w:rPr>
                <w:rFonts w:ascii="Arial" w:hAnsi="Arial" w:cs="Arial"/>
                <w:sz w:val="22"/>
                <w:szCs w:val="22"/>
                <w:lang w:eastAsia="en-US"/>
              </w:rPr>
              <w:t xml:space="preserve">Frekvence výstupu: </w:t>
            </w:r>
          </w:p>
        </w:tc>
        <w:tc>
          <w:tcPr>
            <w:tcW w:w="6486" w:type="dxa"/>
            <w:hideMark/>
          </w:tcPr>
          <w:p w14:paraId="0DFCC61A" w14:textId="77777777" w:rsidR="00ED0F2A" w:rsidRDefault="00ED0F2A" w:rsidP="00642448">
            <w:pPr>
              <w:spacing w:line="276" w:lineRule="auto"/>
              <w:jc w:val="both"/>
              <w:rPr>
                <w:rFonts w:ascii="Arial" w:hAnsi="Arial" w:cs="Arial"/>
                <w:sz w:val="22"/>
                <w:szCs w:val="22"/>
                <w:lang w:eastAsia="en-US"/>
              </w:rPr>
            </w:pPr>
            <w:r>
              <w:rPr>
                <w:rFonts w:ascii="Arial" w:hAnsi="Arial" w:cs="Arial"/>
                <w:sz w:val="22"/>
                <w:szCs w:val="22"/>
                <w:lang w:eastAsia="en-US"/>
              </w:rPr>
              <w:t xml:space="preserve">Počet a podíl každý rok; kvalitativní údaje souhrnně jednou za 2 roky (první souhrnná zpráva 2020), do té doby výběrově </w:t>
            </w:r>
          </w:p>
        </w:tc>
      </w:tr>
      <w:tr w:rsidR="00ED0F2A" w14:paraId="63B9C7E7" w14:textId="77777777" w:rsidTr="00C375C1">
        <w:trPr>
          <w:trHeight w:val="70"/>
        </w:trPr>
        <w:tc>
          <w:tcPr>
            <w:tcW w:w="2802" w:type="dxa"/>
            <w:hideMark/>
          </w:tcPr>
          <w:p w14:paraId="3930ABA2" w14:textId="77777777" w:rsidR="00ED0F2A" w:rsidRDefault="00ED0F2A" w:rsidP="00C375C1">
            <w:pPr>
              <w:spacing w:line="276" w:lineRule="auto"/>
              <w:rPr>
                <w:rFonts w:ascii="Arial" w:hAnsi="Arial" w:cs="Arial"/>
                <w:sz w:val="22"/>
                <w:szCs w:val="22"/>
                <w:lang w:eastAsia="en-US"/>
              </w:rPr>
            </w:pPr>
            <w:r>
              <w:rPr>
                <w:rFonts w:ascii="Arial" w:hAnsi="Arial" w:cs="Arial"/>
                <w:sz w:val="22"/>
                <w:szCs w:val="22"/>
                <w:lang w:eastAsia="en-US"/>
              </w:rPr>
              <w:t xml:space="preserve">Členění indikátoru: </w:t>
            </w:r>
          </w:p>
        </w:tc>
        <w:tc>
          <w:tcPr>
            <w:tcW w:w="6486" w:type="dxa"/>
            <w:hideMark/>
          </w:tcPr>
          <w:p w14:paraId="1B353833" w14:textId="77777777" w:rsidR="00ED0F2A" w:rsidRDefault="00ED0F2A" w:rsidP="00642448">
            <w:pPr>
              <w:spacing w:line="276" w:lineRule="auto"/>
              <w:jc w:val="both"/>
              <w:rPr>
                <w:rFonts w:ascii="Arial" w:hAnsi="Arial" w:cs="Arial"/>
                <w:sz w:val="22"/>
                <w:szCs w:val="22"/>
                <w:lang w:eastAsia="en-US"/>
              </w:rPr>
            </w:pPr>
            <w:r>
              <w:rPr>
                <w:rFonts w:ascii="Arial" w:hAnsi="Arial" w:cs="Arial"/>
                <w:sz w:val="22"/>
                <w:szCs w:val="22"/>
                <w:lang w:eastAsia="en-US"/>
              </w:rPr>
              <w:t>Územní samosprávné celky, obce</w:t>
            </w:r>
          </w:p>
        </w:tc>
      </w:tr>
      <w:tr w:rsidR="00ED0F2A" w14:paraId="1339644E" w14:textId="77777777" w:rsidTr="00C375C1">
        <w:trPr>
          <w:trHeight w:val="70"/>
        </w:trPr>
        <w:tc>
          <w:tcPr>
            <w:tcW w:w="2802" w:type="dxa"/>
            <w:hideMark/>
          </w:tcPr>
          <w:p w14:paraId="6936DEC7" w14:textId="77777777" w:rsidR="00ED0F2A" w:rsidRDefault="00ED0F2A" w:rsidP="00C375C1">
            <w:pPr>
              <w:spacing w:line="276" w:lineRule="auto"/>
              <w:rPr>
                <w:rFonts w:ascii="Arial" w:hAnsi="Arial" w:cs="Arial"/>
                <w:sz w:val="22"/>
                <w:szCs w:val="22"/>
                <w:lang w:eastAsia="en-US"/>
              </w:rPr>
            </w:pPr>
            <w:r>
              <w:rPr>
                <w:rFonts w:ascii="Arial" w:hAnsi="Arial" w:cs="Arial"/>
                <w:sz w:val="22"/>
                <w:szCs w:val="22"/>
                <w:lang w:eastAsia="en-US"/>
              </w:rPr>
              <w:t>Mezinárodní srovnání:</w:t>
            </w:r>
          </w:p>
        </w:tc>
        <w:tc>
          <w:tcPr>
            <w:tcW w:w="6486" w:type="dxa"/>
            <w:hideMark/>
          </w:tcPr>
          <w:p w14:paraId="790D6DC7" w14:textId="77777777" w:rsidR="00ED0F2A" w:rsidRDefault="00ED0F2A" w:rsidP="00642448">
            <w:pPr>
              <w:spacing w:line="276" w:lineRule="auto"/>
              <w:jc w:val="both"/>
              <w:rPr>
                <w:rFonts w:ascii="Arial" w:hAnsi="Arial" w:cs="Arial"/>
                <w:sz w:val="22"/>
                <w:szCs w:val="22"/>
                <w:lang w:eastAsia="en-US"/>
              </w:rPr>
            </w:pPr>
            <w:r>
              <w:rPr>
                <w:rFonts w:ascii="Arial" w:hAnsi="Arial" w:cs="Arial"/>
                <w:sz w:val="22"/>
                <w:szCs w:val="22"/>
                <w:lang w:eastAsia="en-US"/>
              </w:rPr>
              <w:t>-</w:t>
            </w:r>
          </w:p>
        </w:tc>
      </w:tr>
    </w:tbl>
    <w:p w14:paraId="47C858C1" w14:textId="77777777" w:rsidR="00246D73" w:rsidRDefault="00246D73" w:rsidP="0061774A"/>
    <w:tbl>
      <w:tblPr>
        <w:tblStyle w:val="Mkatabulky"/>
        <w:tblW w:w="0" w:type="auto"/>
        <w:tblLook w:val="04A0" w:firstRow="1" w:lastRow="0" w:firstColumn="1" w:lastColumn="0" w:noHBand="0" w:noVBand="1"/>
      </w:tblPr>
      <w:tblGrid>
        <w:gridCol w:w="2802"/>
        <w:gridCol w:w="6486"/>
      </w:tblGrid>
      <w:tr w:rsidR="00F261A3" w14:paraId="27CB584E"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2CF8EA34"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Název a označení indikátoru: </w:t>
            </w:r>
          </w:p>
        </w:tc>
        <w:tc>
          <w:tcPr>
            <w:tcW w:w="6486" w:type="dxa"/>
            <w:tcBorders>
              <w:top w:val="single" w:sz="4" w:space="0" w:color="auto"/>
              <w:left w:val="single" w:sz="4" w:space="0" w:color="auto"/>
              <w:bottom w:val="single" w:sz="4" w:space="0" w:color="auto"/>
              <w:right w:val="single" w:sz="4" w:space="0" w:color="auto"/>
            </w:tcBorders>
            <w:hideMark/>
          </w:tcPr>
          <w:p w14:paraId="643D895B" w14:textId="37F08BCB" w:rsidR="00F261A3" w:rsidRDefault="00F261A3" w:rsidP="0062345D">
            <w:pPr>
              <w:spacing w:line="276" w:lineRule="auto"/>
              <w:rPr>
                <w:rFonts w:ascii="Arial" w:hAnsi="Arial" w:cs="Arial"/>
                <w:b/>
                <w:sz w:val="22"/>
                <w:szCs w:val="22"/>
                <w:lang w:eastAsia="en-US"/>
              </w:rPr>
            </w:pPr>
            <w:r>
              <w:rPr>
                <w:rFonts w:ascii="Arial" w:hAnsi="Arial" w:cs="Arial"/>
                <w:b/>
                <w:sz w:val="22"/>
                <w:szCs w:val="22"/>
                <w:lang w:eastAsia="en-US"/>
              </w:rPr>
              <w:t>24.1.</w:t>
            </w:r>
            <w:r w:rsidR="00246D73">
              <w:rPr>
                <w:rFonts w:ascii="Arial" w:hAnsi="Arial" w:cs="Arial"/>
                <w:b/>
                <w:sz w:val="22"/>
                <w:szCs w:val="22"/>
                <w:lang w:eastAsia="en-US"/>
              </w:rPr>
              <w:t>3</w:t>
            </w:r>
            <w:r>
              <w:rPr>
                <w:rFonts w:ascii="Arial" w:hAnsi="Arial" w:cs="Arial"/>
                <w:b/>
                <w:sz w:val="22"/>
                <w:szCs w:val="22"/>
                <w:lang w:eastAsia="en-US"/>
              </w:rPr>
              <w:t xml:space="preserve"> Institucionální kapacita pro potřeby strategické práce </w:t>
            </w:r>
          </w:p>
        </w:tc>
      </w:tr>
      <w:tr w:rsidR="00F261A3" w14:paraId="5B54E1B8"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3F075F8F"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Stručná definice: </w:t>
            </w:r>
          </w:p>
        </w:tc>
        <w:tc>
          <w:tcPr>
            <w:tcW w:w="6486" w:type="dxa"/>
            <w:tcBorders>
              <w:top w:val="single" w:sz="4" w:space="0" w:color="auto"/>
              <w:left w:val="single" w:sz="4" w:space="0" w:color="auto"/>
              <w:bottom w:val="single" w:sz="4" w:space="0" w:color="auto"/>
              <w:right w:val="single" w:sz="4" w:space="0" w:color="auto"/>
            </w:tcBorders>
            <w:hideMark/>
          </w:tcPr>
          <w:p w14:paraId="18E9C5C5"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 xml:space="preserve">Institucionální kapacita v návaznosti na výsledek analýzy Ministerstva pro místní rozvoj „Mapování strategické práce v institucích veřejné správy a návrhy na jejich zefektivnění.“ </w:t>
            </w:r>
          </w:p>
        </w:tc>
      </w:tr>
      <w:tr w:rsidR="00F261A3" w14:paraId="79F1C5E3"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626430CD"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Jednotka:</w:t>
            </w:r>
          </w:p>
        </w:tc>
        <w:tc>
          <w:tcPr>
            <w:tcW w:w="6486" w:type="dxa"/>
            <w:tcBorders>
              <w:top w:val="single" w:sz="4" w:space="0" w:color="auto"/>
              <w:left w:val="single" w:sz="4" w:space="0" w:color="auto"/>
              <w:bottom w:val="single" w:sz="4" w:space="0" w:color="auto"/>
              <w:right w:val="single" w:sz="4" w:space="0" w:color="auto"/>
            </w:tcBorders>
            <w:hideMark/>
          </w:tcPr>
          <w:p w14:paraId="38B103F6"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 xml:space="preserve">ANO / NE, výstupový indikátor </w:t>
            </w:r>
          </w:p>
        </w:tc>
      </w:tr>
      <w:tr w:rsidR="00F261A3" w14:paraId="249AC400"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4B418748"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Gestor: </w:t>
            </w:r>
          </w:p>
        </w:tc>
        <w:tc>
          <w:tcPr>
            <w:tcW w:w="6486" w:type="dxa"/>
            <w:tcBorders>
              <w:top w:val="single" w:sz="4" w:space="0" w:color="auto"/>
              <w:left w:val="single" w:sz="4" w:space="0" w:color="auto"/>
              <w:bottom w:val="single" w:sz="4" w:space="0" w:color="auto"/>
              <w:right w:val="single" w:sz="4" w:space="0" w:color="auto"/>
            </w:tcBorders>
            <w:hideMark/>
          </w:tcPr>
          <w:p w14:paraId="2BEFABB3"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Ministerstvo pro místní rozvoj</w:t>
            </w:r>
          </w:p>
        </w:tc>
      </w:tr>
      <w:tr w:rsidR="00F261A3" w14:paraId="1225C1A6"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605E02E6"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Význam indikátoru: </w:t>
            </w:r>
          </w:p>
        </w:tc>
        <w:tc>
          <w:tcPr>
            <w:tcW w:w="6486" w:type="dxa"/>
            <w:tcBorders>
              <w:top w:val="single" w:sz="4" w:space="0" w:color="auto"/>
              <w:left w:val="single" w:sz="4" w:space="0" w:color="auto"/>
              <w:bottom w:val="single" w:sz="4" w:space="0" w:color="auto"/>
              <w:right w:val="single" w:sz="4" w:space="0" w:color="auto"/>
            </w:tcBorders>
            <w:hideMark/>
          </w:tcPr>
          <w:p w14:paraId="11A215A9"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Dlouhodobá efektivita vládnutí: Analýza jako předpoklad pro formulaci návrhů stran úprav kompetence, personálu, finančních prostředků, komunikačních kanálů atd., zejména u strategických útvarů ministerstev.</w:t>
            </w:r>
          </w:p>
        </w:tc>
      </w:tr>
      <w:tr w:rsidR="00F261A3" w14:paraId="5B6880B5"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4D82BB32"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Časová řada: </w:t>
            </w:r>
          </w:p>
        </w:tc>
        <w:tc>
          <w:tcPr>
            <w:tcW w:w="6486" w:type="dxa"/>
            <w:tcBorders>
              <w:top w:val="single" w:sz="4" w:space="0" w:color="auto"/>
              <w:left w:val="single" w:sz="4" w:space="0" w:color="auto"/>
              <w:bottom w:val="single" w:sz="4" w:space="0" w:color="auto"/>
              <w:right w:val="single" w:sz="4" w:space="0" w:color="auto"/>
            </w:tcBorders>
            <w:hideMark/>
          </w:tcPr>
          <w:p w14:paraId="2B54485A"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Očekávaný výstup 2018</w:t>
            </w:r>
          </w:p>
        </w:tc>
      </w:tr>
      <w:tr w:rsidR="00F261A3" w14:paraId="58A2D228"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531E7BB1"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Frekvence výstupu: </w:t>
            </w:r>
          </w:p>
        </w:tc>
        <w:tc>
          <w:tcPr>
            <w:tcW w:w="6486" w:type="dxa"/>
            <w:tcBorders>
              <w:top w:val="single" w:sz="4" w:space="0" w:color="auto"/>
              <w:left w:val="single" w:sz="4" w:space="0" w:color="auto"/>
              <w:bottom w:val="single" w:sz="4" w:space="0" w:color="auto"/>
              <w:right w:val="single" w:sz="4" w:space="0" w:color="auto"/>
            </w:tcBorders>
            <w:hideMark/>
          </w:tcPr>
          <w:p w14:paraId="537C0A45"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w:t>
            </w:r>
          </w:p>
        </w:tc>
      </w:tr>
      <w:tr w:rsidR="00F261A3" w14:paraId="5A5D782D" w14:textId="77777777" w:rsidTr="0062345D">
        <w:trPr>
          <w:trHeight w:val="70"/>
        </w:trPr>
        <w:tc>
          <w:tcPr>
            <w:tcW w:w="2802" w:type="dxa"/>
            <w:tcBorders>
              <w:top w:val="single" w:sz="4" w:space="0" w:color="auto"/>
              <w:left w:val="single" w:sz="4" w:space="0" w:color="auto"/>
              <w:bottom w:val="single" w:sz="4" w:space="0" w:color="auto"/>
              <w:right w:val="single" w:sz="4" w:space="0" w:color="auto"/>
            </w:tcBorders>
            <w:hideMark/>
          </w:tcPr>
          <w:p w14:paraId="7965213E"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Členění indikátoru: </w:t>
            </w:r>
          </w:p>
        </w:tc>
        <w:tc>
          <w:tcPr>
            <w:tcW w:w="6486" w:type="dxa"/>
            <w:tcBorders>
              <w:top w:val="single" w:sz="4" w:space="0" w:color="auto"/>
              <w:left w:val="single" w:sz="4" w:space="0" w:color="auto"/>
              <w:bottom w:val="single" w:sz="4" w:space="0" w:color="auto"/>
              <w:right w:val="single" w:sz="4" w:space="0" w:color="auto"/>
            </w:tcBorders>
            <w:hideMark/>
          </w:tcPr>
          <w:p w14:paraId="37B94A20"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w:t>
            </w:r>
          </w:p>
        </w:tc>
      </w:tr>
      <w:tr w:rsidR="00F261A3" w14:paraId="461AEF8F" w14:textId="77777777" w:rsidTr="0062345D">
        <w:trPr>
          <w:trHeight w:val="70"/>
        </w:trPr>
        <w:tc>
          <w:tcPr>
            <w:tcW w:w="2802" w:type="dxa"/>
            <w:tcBorders>
              <w:top w:val="single" w:sz="4" w:space="0" w:color="auto"/>
              <w:left w:val="single" w:sz="4" w:space="0" w:color="auto"/>
              <w:bottom w:val="single" w:sz="4" w:space="0" w:color="auto"/>
              <w:right w:val="single" w:sz="4" w:space="0" w:color="auto"/>
            </w:tcBorders>
            <w:hideMark/>
          </w:tcPr>
          <w:p w14:paraId="4ED84C49"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Mezinárodní srovnání:</w:t>
            </w:r>
          </w:p>
        </w:tc>
        <w:tc>
          <w:tcPr>
            <w:tcW w:w="6486" w:type="dxa"/>
            <w:tcBorders>
              <w:top w:val="single" w:sz="4" w:space="0" w:color="auto"/>
              <w:left w:val="single" w:sz="4" w:space="0" w:color="auto"/>
              <w:bottom w:val="single" w:sz="4" w:space="0" w:color="auto"/>
              <w:right w:val="single" w:sz="4" w:space="0" w:color="auto"/>
            </w:tcBorders>
            <w:hideMark/>
          </w:tcPr>
          <w:p w14:paraId="5AF3629C"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w:t>
            </w:r>
          </w:p>
        </w:tc>
      </w:tr>
    </w:tbl>
    <w:p w14:paraId="12652894" w14:textId="77777777" w:rsidR="00F261A3" w:rsidRPr="0061774A" w:rsidRDefault="00F261A3" w:rsidP="00642448">
      <w:pPr>
        <w:pStyle w:val="r2030podcle"/>
        <w:numPr>
          <w:ilvl w:val="1"/>
          <w:numId w:val="17"/>
        </w:numPr>
        <w:ind w:left="567" w:hanging="425"/>
      </w:pPr>
      <w:r w:rsidRPr="0061774A">
        <w:lastRenderedPageBreak/>
        <w:t>Veřejné politiky budou brát ohled na dlouhodobé dopady a instituce veřejné správy budou tyto dopady sledovat v rámci vlastních strategických materiálů</w:t>
      </w:r>
      <w:r w:rsidR="00FA6CB1">
        <w:t>.</w:t>
      </w:r>
    </w:p>
    <w:tbl>
      <w:tblPr>
        <w:tblStyle w:val="Mkatabulky"/>
        <w:tblW w:w="0" w:type="auto"/>
        <w:tblLook w:val="04A0" w:firstRow="1" w:lastRow="0" w:firstColumn="1" w:lastColumn="0" w:noHBand="0" w:noVBand="1"/>
      </w:tblPr>
      <w:tblGrid>
        <w:gridCol w:w="2802"/>
        <w:gridCol w:w="6486"/>
      </w:tblGrid>
      <w:tr w:rsidR="00F261A3" w14:paraId="1A6C36DB"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4DD27142"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Název a označení indikátoru: </w:t>
            </w:r>
          </w:p>
        </w:tc>
        <w:tc>
          <w:tcPr>
            <w:tcW w:w="6486" w:type="dxa"/>
            <w:tcBorders>
              <w:top w:val="single" w:sz="4" w:space="0" w:color="auto"/>
              <w:left w:val="single" w:sz="4" w:space="0" w:color="auto"/>
              <w:bottom w:val="single" w:sz="4" w:space="0" w:color="auto"/>
              <w:right w:val="single" w:sz="4" w:space="0" w:color="auto"/>
            </w:tcBorders>
            <w:hideMark/>
          </w:tcPr>
          <w:p w14:paraId="1D4FD35C" w14:textId="77777777" w:rsidR="00F261A3" w:rsidRDefault="00F261A3" w:rsidP="0062345D">
            <w:pPr>
              <w:spacing w:line="276" w:lineRule="auto"/>
              <w:rPr>
                <w:rFonts w:ascii="Arial" w:hAnsi="Arial" w:cs="Arial"/>
                <w:b/>
                <w:sz w:val="22"/>
                <w:szCs w:val="22"/>
                <w:lang w:eastAsia="en-US"/>
              </w:rPr>
            </w:pPr>
            <w:r>
              <w:rPr>
                <w:rFonts w:ascii="Arial" w:hAnsi="Arial" w:cs="Arial"/>
                <w:b/>
                <w:sz w:val="22"/>
                <w:szCs w:val="22"/>
                <w:lang w:eastAsia="en-US"/>
              </w:rPr>
              <w:t>24.2.1 Nastavení hierarchického systému strategických dokumentů</w:t>
            </w:r>
          </w:p>
        </w:tc>
      </w:tr>
      <w:tr w:rsidR="00F261A3" w14:paraId="173A3844"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44813F82"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Stručná definice: </w:t>
            </w:r>
          </w:p>
        </w:tc>
        <w:tc>
          <w:tcPr>
            <w:tcW w:w="6486" w:type="dxa"/>
            <w:tcBorders>
              <w:top w:val="single" w:sz="4" w:space="0" w:color="auto"/>
              <w:left w:val="single" w:sz="4" w:space="0" w:color="auto"/>
              <w:bottom w:val="single" w:sz="4" w:space="0" w:color="auto"/>
              <w:right w:val="single" w:sz="4" w:space="0" w:color="auto"/>
            </w:tcBorders>
          </w:tcPr>
          <w:p w14:paraId="2D6E30CD"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Indikátor 1.3.8. Strategického rámce rozvoje veřejné správy: „Nastavení hierarchického systému strategických dokumentů. Vznik hierarchického systému strategických dokumentů a jeho používání v praxi.“</w:t>
            </w:r>
          </w:p>
          <w:p w14:paraId="7752E264" w14:textId="77777777" w:rsidR="00F261A3" w:rsidRDefault="00F261A3" w:rsidP="00642448">
            <w:pPr>
              <w:spacing w:line="276" w:lineRule="auto"/>
              <w:jc w:val="both"/>
              <w:rPr>
                <w:rFonts w:ascii="Arial" w:hAnsi="Arial" w:cs="Arial"/>
                <w:sz w:val="22"/>
                <w:szCs w:val="22"/>
                <w:lang w:eastAsia="en-US"/>
              </w:rPr>
            </w:pPr>
          </w:p>
          <w:p w14:paraId="41C3FFD4"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K plnění indikátoru budou využity také výstupy analýzy strategických dokumentů.</w:t>
            </w:r>
          </w:p>
        </w:tc>
      </w:tr>
      <w:tr w:rsidR="00F261A3" w14:paraId="331C82ED"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2F8D50C9"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Jednotka:</w:t>
            </w:r>
          </w:p>
        </w:tc>
        <w:tc>
          <w:tcPr>
            <w:tcW w:w="6486" w:type="dxa"/>
            <w:tcBorders>
              <w:top w:val="single" w:sz="4" w:space="0" w:color="auto"/>
              <w:left w:val="single" w:sz="4" w:space="0" w:color="auto"/>
              <w:bottom w:val="single" w:sz="4" w:space="0" w:color="auto"/>
              <w:right w:val="single" w:sz="4" w:space="0" w:color="auto"/>
            </w:tcBorders>
            <w:hideMark/>
          </w:tcPr>
          <w:p w14:paraId="5B60FED1"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ANO / NE, výstupový indikátor</w:t>
            </w:r>
          </w:p>
        </w:tc>
      </w:tr>
      <w:tr w:rsidR="00F261A3" w14:paraId="766C52DC"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67D78042"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Gestor: </w:t>
            </w:r>
          </w:p>
        </w:tc>
        <w:tc>
          <w:tcPr>
            <w:tcW w:w="6486" w:type="dxa"/>
            <w:tcBorders>
              <w:top w:val="single" w:sz="4" w:space="0" w:color="auto"/>
              <w:left w:val="single" w:sz="4" w:space="0" w:color="auto"/>
              <w:bottom w:val="single" w:sz="4" w:space="0" w:color="auto"/>
              <w:right w:val="single" w:sz="4" w:space="0" w:color="auto"/>
            </w:tcBorders>
            <w:hideMark/>
          </w:tcPr>
          <w:p w14:paraId="51604CBA"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Ministerstvo pro místní rozvoj</w:t>
            </w:r>
          </w:p>
        </w:tc>
      </w:tr>
      <w:tr w:rsidR="00F261A3" w14:paraId="2A6D47C2"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34B3B337"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Význam indikátoru: </w:t>
            </w:r>
          </w:p>
        </w:tc>
        <w:tc>
          <w:tcPr>
            <w:tcW w:w="6486" w:type="dxa"/>
            <w:tcBorders>
              <w:top w:val="single" w:sz="4" w:space="0" w:color="auto"/>
              <w:left w:val="single" w:sz="4" w:space="0" w:color="auto"/>
              <w:bottom w:val="single" w:sz="4" w:space="0" w:color="auto"/>
              <w:right w:val="single" w:sz="4" w:space="0" w:color="auto"/>
            </w:tcBorders>
            <w:hideMark/>
          </w:tcPr>
          <w:p w14:paraId="6CEF1108"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Dlouhodobá efektivita vládnutí: Strategické uvažování jako jeden z klíčových předpokladů soudržnosti veřejných politik, zejména v čase.</w:t>
            </w:r>
          </w:p>
        </w:tc>
      </w:tr>
      <w:tr w:rsidR="00F261A3" w14:paraId="5124FE07"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3D66AE06"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Časová řada: </w:t>
            </w:r>
          </w:p>
        </w:tc>
        <w:tc>
          <w:tcPr>
            <w:tcW w:w="6486" w:type="dxa"/>
            <w:tcBorders>
              <w:top w:val="single" w:sz="4" w:space="0" w:color="auto"/>
              <w:left w:val="single" w:sz="4" w:space="0" w:color="auto"/>
              <w:bottom w:val="single" w:sz="4" w:space="0" w:color="auto"/>
              <w:right w:val="single" w:sz="4" w:space="0" w:color="auto"/>
            </w:tcBorders>
            <w:hideMark/>
          </w:tcPr>
          <w:p w14:paraId="272F0023"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Od roku 2017</w:t>
            </w:r>
          </w:p>
        </w:tc>
      </w:tr>
      <w:tr w:rsidR="00F261A3" w14:paraId="3C98BE98"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13323F0B"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Frekvence výstupu: </w:t>
            </w:r>
          </w:p>
        </w:tc>
        <w:tc>
          <w:tcPr>
            <w:tcW w:w="6486" w:type="dxa"/>
            <w:tcBorders>
              <w:top w:val="single" w:sz="4" w:space="0" w:color="auto"/>
              <w:left w:val="single" w:sz="4" w:space="0" w:color="auto"/>
              <w:bottom w:val="single" w:sz="4" w:space="0" w:color="auto"/>
              <w:right w:val="single" w:sz="4" w:space="0" w:color="auto"/>
            </w:tcBorders>
            <w:hideMark/>
          </w:tcPr>
          <w:p w14:paraId="09A93D13"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Ročně</w:t>
            </w:r>
          </w:p>
        </w:tc>
      </w:tr>
      <w:tr w:rsidR="00F261A3" w14:paraId="737A176F" w14:textId="77777777" w:rsidTr="0062345D">
        <w:trPr>
          <w:trHeight w:val="70"/>
        </w:trPr>
        <w:tc>
          <w:tcPr>
            <w:tcW w:w="2802" w:type="dxa"/>
            <w:tcBorders>
              <w:top w:val="single" w:sz="4" w:space="0" w:color="auto"/>
              <w:left w:val="single" w:sz="4" w:space="0" w:color="auto"/>
              <w:bottom w:val="single" w:sz="4" w:space="0" w:color="auto"/>
              <w:right w:val="single" w:sz="4" w:space="0" w:color="auto"/>
            </w:tcBorders>
            <w:hideMark/>
          </w:tcPr>
          <w:p w14:paraId="4AD4AC01"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Členění indikátoru: </w:t>
            </w:r>
          </w:p>
        </w:tc>
        <w:tc>
          <w:tcPr>
            <w:tcW w:w="6486" w:type="dxa"/>
            <w:tcBorders>
              <w:top w:val="single" w:sz="4" w:space="0" w:color="auto"/>
              <w:left w:val="single" w:sz="4" w:space="0" w:color="auto"/>
              <w:bottom w:val="single" w:sz="4" w:space="0" w:color="auto"/>
              <w:right w:val="single" w:sz="4" w:space="0" w:color="auto"/>
            </w:tcBorders>
            <w:hideMark/>
          </w:tcPr>
          <w:p w14:paraId="5BD77396"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w:t>
            </w:r>
          </w:p>
        </w:tc>
      </w:tr>
      <w:tr w:rsidR="00F261A3" w14:paraId="547EA175" w14:textId="77777777" w:rsidTr="0062345D">
        <w:trPr>
          <w:trHeight w:val="70"/>
        </w:trPr>
        <w:tc>
          <w:tcPr>
            <w:tcW w:w="2802" w:type="dxa"/>
            <w:tcBorders>
              <w:top w:val="single" w:sz="4" w:space="0" w:color="auto"/>
              <w:left w:val="single" w:sz="4" w:space="0" w:color="auto"/>
              <w:bottom w:val="single" w:sz="4" w:space="0" w:color="auto"/>
              <w:right w:val="single" w:sz="4" w:space="0" w:color="auto"/>
            </w:tcBorders>
            <w:hideMark/>
          </w:tcPr>
          <w:p w14:paraId="2DE1E447"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Mezinárodní srovnání:</w:t>
            </w:r>
          </w:p>
        </w:tc>
        <w:tc>
          <w:tcPr>
            <w:tcW w:w="6486" w:type="dxa"/>
            <w:tcBorders>
              <w:top w:val="single" w:sz="4" w:space="0" w:color="auto"/>
              <w:left w:val="single" w:sz="4" w:space="0" w:color="auto"/>
              <w:bottom w:val="single" w:sz="4" w:space="0" w:color="auto"/>
              <w:right w:val="single" w:sz="4" w:space="0" w:color="auto"/>
            </w:tcBorders>
            <w:hideMark/>
          </w:tcPr>
          <w:p w14:paraId="4DFF4172"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w:t>
            </w:r>
          </w:p>
        </w:tc>
      </w:tr>
    </w:tbl>
    <w:p w14:paraId="1904E6B0" w14:textId="77777777" w:rsidR="00F261A3" w:rsidRDefault="00F261A3" w:rsidP="0061774A"/>
    <w:tbl>
      <w:tblPr>
        <w:tblStyle w:val="Mkatabulky"/>
        <w:tblW w:w="0" w:type="auto"/>
        <w:tblLook w:val="04A0" w:firstRow="1" w:lastRow="0" w:firstColumn="1" w:lastColumn="0" w:noHBand="0" w:noVBand="1"/>
      </w:tblPr>
      <w:tblGrid>
        <w:gridCol w:w="2802"/>
        <w:gridCol w:w="6486"/>
      </w:tblGrid>
      <w:tr w:rsidR="00F261A3" w14:paraId="1A810C44"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6C12B7F7"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Název a označení indikátoru: </w:t>
            </w:r>
          </w:p>
        </w:tc>
        <w:tc>
          <w:tcPr>
            <w:tcW w:w="6486" w:type="dxa"/>
            <w:tcBorders>
              <w:top w:val="single" w:sz="4" w:space="0" w:color="auto"/>
              <w:left w:val="single" w:sz="4" w:space="0" w:color="auto"/>
              <w:bottom w:val="single" w:sz="4" w:space="0" w:color="auto"/>
              <w:right w:val="single" w:sz="4" w:space="0" w:color="auto"/>
            </w:tcBorders>
            <w:hideMark/>
          </w:tcPr>
          <w:p w14:paraId="25286A41" w14:textId="77777777" w:rsidR="00F261A3" w:rsidRDefault="00F261A3" w:rsidP="0062345D">
            <w:pPr>
              <w:spacing w:line="276" w:lineRule="auto"/>
              <w:rPr>
                <w:rFonts w:ascii="Arial" w:hAnsi="Arial" w:cs="Arial"/>
                <w:b/>
                <w:sz w:val="22"/>
                <w:szCs w:val="22"/>
                <w:lang w:eastAsia="en-US"/>
              </w:rPr>
            </w:pPr>
            <w:r>
              <w:rPr>
                <w:rFonts w:ascii="Arial" w:hAnsi="Arial" w:cs="Arial"/>
                <w:b/>
                <w:sz w:val="22"/>
                <w:szCs w:val="22"/>
                <w:lang w:eastAsia="en-US"/>
              </w:rPr>
              <w:t>24.2.2 Podíl/počet strategických dokumentů připravených v souladu s Metodikou přípravy veřejných strategií</w:t>
            </w:r>
          </w:p>
        </w:tc>
      </w:tr>
      <w:tr w:rsidR="00F261A3" w14:paraId="301BB5DD"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63C05F92"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Stručná definice: </w:t>
            </w:r>
          </w:p>
        </w:tc>
        <w:tc>
          <w:tcPr>
            <w:tcW w:w="6486" w:type="dxa"/>
            <w:tcBorders>
              <w:top w:val="single" w:sz="4" w:space="0" w:color="auto"/>
              <w:left w:val="single" w:sz="4" w:space="0" w:color="auto"/>
              <w:bottom w:val="single" w:sz="4" w:space="0" w:color="auto"/>
              <w:right w:val="single" w:sz="4" w:space="0" w:color="auto"/>
            </w:tcBorders>
          </w:tcPr>
          <w:p w14:paraId="661F6031"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Indikátor 1.3.9. Strategického rámce rozvoje veřejné správy: „Podíl/počet strategických dokumentů připravených v souladu s Metodikou přípravy veřejných strategií. Bude také sledován rozsah aplikace Metodiky a počet organizací/institucí používajících Metodiku. Budou také zkoumány strategické dokumenty, které jsou již schválené pro potřeby jejich příp. revize.“</w:t>
            </w:r>
          </w:p>
          <w:p w14:paraId="5CBA372D" w14:textId="77777777" w:rsidR="00F261A3" w:rsidRDefault="00F261A3" w:rsidP="00642448">
            <w:pPr>
              <w:spacing w:line="276" w:lineRule="auto"/>
              <w:jc w:val="both"/>
              <w:rPr>
                <w:rFonts w:ascii="Arial" w:hAnsi="Arial" w:cs="Arial"/>
                <w:sz w:val="22"/>
                <w:szCs w:val="22"/>
                <w:lang w:eastAsia="en-US"/>
              </w:rPr>
            </w:pPr>
          </w:p>
          <w:p w14:paraId="6EE3B175"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V hodnocení indikátoru budou využity také výstupy analýzy strategických dokumentů.</w:t>
            </w:r>
          </w:p>
        </w:tc>
      </w:tr>
      <w:tr w:rsidR="00F261A3" w14:paraId="08B87DBF"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321CA98A"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Jednotka:</w:t>
            </w:r>
          </w:p>
        </w:tc>
        <w:tc>
          <w:tcPr>
            <w:tcW w:w="6486" w:type="dxa"/>
            <w:tcBorders>
              <w:top w:val="single" w:sz="4" w:space="0" w:color="auto"/>
              <w:left w:val="single" w:sz="4" w:space="0" w:color="auto"/>
              <w:bottom w:val="single" w:sz="4" w:space="0" w:color="auto"/>
              <w:right w:val="single" w:sz="4" w:space="0" w:color="auto"/>
            </w:tcBorders>
            <w:hideMark/>
          </w:tcPr>
          <w:p w14:paraId="10A0ED33"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ANO / NE, výstupový indikátor</w:t>
            </w:r>
          </w:p>
        </w:tc>
      </w:tr>
      <w:tr w:rsidR="00F261A3" w14:paraId="7A907B16"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28BCAF0D"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Gestor: </w:t>
            </w:r>
          </w:p>
        </w:tc>
        <w:tc>
          <w:tcPr>
            <w:tcW w:w="6486" w:type="dxa"/>
            <w:tcBorders>
              <w:top w:val="single" w:sz="4" w:space="0" w:color="auto"/>
              <w:left w:val="single" w:sz="4" w:space="0" w:color="auto"/>
              <w:bottom w:val="single" w:sz="4" w:space="0" w:color="auto"/>
              <w:right w:val="single" w:sz="4" w:space="0" w:color="auto"/>
            </w:tcBorders>
            <w:hideMark/>
          </w:tcPr>
          <w:p w14:paraId="69945512"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Ministerstvo pro místní rozvoj</w:t>
            </w:r>
          </w:p>
        </w:tc>
      </w:tr>
      <w:tr w:rsidR="00F261A3" w14:paraId="1EF65B79"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13CEFC3F"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Význam indikátoru: </w:t>
            </w:r>
          </w:p>
        </w:tc>
        <w:tc>
          <w:tcPr>
            <w:tcW w:w="6486" w:type="dxa"/>
            <w:tcBorders>
              <w:top w:val="single" w:sz="4" w:space="0" w:color="auto"/>
              <w:left w:val="single" w:sz="4" w:space="0" w:color="auto"/>
              <w:bottom w:val="single" w:sz="4" w:space="0" w:color="auto"/>
              <w:right w:val="single" w:sz="4" w:space="0" w:color="auto"/>
            </w:tcBorders>
            <w:hideMark/>
          </w:tcPr>
          <w:p w14:paraId="06AFBD1B"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Dlouhodobá efektivita vládnutí: Strategické uvažování jako jeden z klíčových předpokladů soudržnosti veřejných politik, zejména v čase.</w:t>
            </w:r>
          </w:p>
        </w:tc>
      </w:tr>
      <w:tr w:rsidR="00F261A3" w14:paraId="1EA7BA81"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6C20004E"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Časová řada: </w:t>
            </w:r>
          </w:p>
        </w:tc>
        <w:tc>
          <w:tcPr>
            <w:tcW w:w="6486" w:type="dxa"/>
            <w:tcBorders>
              <w:top w:val="single" w:sz="4" w:space="0" w:color="auto"/>
              <w:left w:val="single" w:sz="4" w:space="0" w:color="auto"/>
              <w:bottom w:val="single" w:sz="4" w:space="0" w:color="auto"/>
              <w:right w:val="single" w:sz="4" w:space="0" w:color="auto"/>
            </w:tcBorders>
            <w:hideMark/>
          </w:tcPr>
          <w:p w14:paraId="22B897E4"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Od roku 2017</w:t>
            </w:r>
          </w:p>
        </w:tc>
      </w:tr>
      <w:tr w:rsidR="00F261A3" w14:paraId="1047CD5F"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23AAB4F1"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Frekvence výstupu: </w:t>
            </w:r>
          </w:p>
        </w:tc>
        <w:tc>
          <w:tcPr>
            <w:tcW w:w="6486" w:type="dxa"/>
            <w:tcBorders>
              <w:top w:val="single" w:sz="4" w:space="0" w:color="auto"/>
              <w:left w:val="single" w:sz="4" w:space="0" w:color="auto"/>
              <w:bottom w:val="single" w:sz="4" w:space="0" w:color="auto"/>
              <w:right w:val="single" w:sz="4" w:space="0" w:color="auto"/>
            </w:tcBorders>
            <w:hideMark/>
          </w:tcPr>
          <w:p w14:paraId="66EC3F5D"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Ročně</w:t>
            </w:r>
          </w:p>
        </w:tc>
      </w:tr>
      <w:tr w:rsidR="00F261A3" w14:paraId="0F958356" w14:textId="77777777" w:rsidTr="0062345D">
        <w:trPr>
          <w:trHeight w:val="70"/>
        </w:trPr>
        <w:tc>
          <w:tcPr>
            <w:tcW w:w="2802" w:type="dxa"/>
            <w:tcBorders>
              <w:top w:val="single" w:sz="4" w:space="0" w:color="auto"/>
              <w:left w:val="single" w:sz="4" w:space="0" w:color="auto"/>
              <w:bottom w:val="single" w:sz="4" w:space="0" w:color="auto"/>
              <w:right w:val="single" w:sz="4" w:space="0" w:color="auto"/>
            </w:tcBorders>
            <w:hideMark/>
          </w:tcPr>
          <w:p w14:paraId="2D9E6F48"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Členění indikátoru: </w:t>
            </w:r>
          </w:p>
        </w:tc>
        <w:tc>
          <w:tcPr>
            <w:tcW w:w="6486" w:type="dxa"/>
            <w:tcBorders>
              <w:top w:val="single" w:sz="4" w:space="0" w:color="auto"/>
              <w:left w:val="single" w:sz="4" w:space="0" w:color="auto"/>
              <w:bottom w:val="single" w:sz="4" w:space="0" w:color="auto"/>
              <w:right w:val="single" w:sz="4" w:space="0" w:color="auto"/>
            </w:tcBorders>
            <w:hideMark/>
          </w:tcPr>
          <w:p w14:paraId="321FF8B8"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w:t>
            </w:r>
          </w:p>
        </w:tc>
      </w:tr>
      <w:tr w:rsidR="00F261A3" w14:paraId="48A0E771" w14:textId="77777777" w:rsidTr="0062345D">
        <w:trPr>
          <w:trHeight w:val="70"/>
        </w:trPr>
        <w:tc>
          <w:tcPr>
            <w:tcW w:w="2802" w:type="dxa"/>
            <w:tcBorders>
              <w:top w:val="single" w:sz="4" w:space="0" w:color="auto"/>
              <w:left w:val="single" w:sz="4" w:space="0" w:color="auto"/>
              <w:bottom w:val="single" w:sz="4" w:space="0" w:color="auto"/>
              <w:right w:val="single" w:sz="4" w:space="0" w:color="auto"/>
            </w:tcBorders>
            <w:hideMark/>
          </w:tcPr>
          <w:p w14:paraId="75DC4192"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Mezinárodní srovnání:</w:t>
            </w:r>
          </w:p>
        </w:tc>
        <w:tc>
          <w:tcPr>
            <w:tcW w:w="6486" w:type="dxa"/>
            <w:tcBorders>
              <w:top w:val="single" w:sz="4" w:space="0" w:color="auto"/>
              <w:left w:val="single" w:sz="4" w:space="0" w:color="auto"/>
              <w:bottom w:val="single" w:sz="4" w:space="0" w:color="auto"/>
              <w:right w:val="single" w:sz="4" w:space="0" w:color="auto"/>
            </w:tcBorders>
            <w:hideMark/>
          </w:tcPr>
          <w:p w14:paraId="1DCC7B3F"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w:t>
            </w:r>
          </w:p>
        </w:tc>
      </w:tr>
    </w:tbl>
    <w:p w14:paraId="29CAC09B" w14:textId="77777777" w:rsidR="00F261A3" w:rsidRDefault="00F261A3" w:rsidP="00642448">
      <w:pPr>
        <w:pStyle w:val="r2030podcle"/>
        <w:numPr>
          <w:ilvl w:val="1"/>
          <w:numId w:val="17"/>
        </w:numPr>
        <w:ind w:left="567" w:hanging="425"/>
      </w:pPr>
      <w:r w:rsidRPr="00890762">
        <w:lastRenderedPageBreak/>
        <w:t>Veřejné politiky budou založeny na dostupných znalostech a budou systematicky posuzovány předem s ohledem na možné dopady na příjemce a na dopady na jiné oblasti než na oblast primárního zájmu.</w:t>
      </w:r>
    </w:p>
    <w:tbl>
      <w:tblPr>
        <w:tblStyle w:val="Mkatabulky"/>
        <w:tblW w:w="0" w:type="auto"/>
        <w:tblLook w:val="04A0" w:firstRow="1" w:lastRow="0" w:firstColumn="1" w:lastColumn="0" w:noHBand="0" w:noVBand="1"/>
      </w:tblPr>
      <w:tblGrid>
        <w:gridCol w:w="2802"/>
        <w:gridCol w:w="6486"/>
      </w:tblGrid>
      <w:tr w:rsidR="00F261A3" w14:paraId="0D31F72F"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624BD532" w14:textId="63608D1E"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Název a označení indikátoru: </w:t>
            </w:r>
          </w:p>
        </w:tc>
        <w:tc>
          <w:tcPr>
            <w:tcW w:w="6486" w:type="dxa"/>
            <w:tcBorders>
              <w:top w:val="single" w:sz="4" w:space="0" w:color="auto"/>
              <w:left w:val="single" w:sz="4" w:space="0" w:color="auto"/>
              <w:bottom w:val="single" w:sz="4" w:space="0" w:color="auto"/>
              <w:right w:val="single" w:sz="4" w:space="0" w:color="auto"/>
            </w:tcBorders>
            <w:hideMark/>
          </w:tcPr>
          <w:p w14:paraId="123EC5AB" w14:textId="77777777" w:rsidR="00F261A3" w:rsidRDefault="00F261A3" w:rsidP="0062345D">
            <w:pPr>
              <w:spacing w:line="276" w:lineRule="auto"/>
              <w:rPr>
                <w:rFonts w:ascii="Arial" w:hAnsi="Arial" w:cs="Arial"/>
                <w:b/>
                <w:sz w:val="22"/>
                <w:szCs w:val="22"/>
                <w:lang w:eastAsia="en-US"/>
              </w:rPr>
            </w:pPr>
            <w:r>
              <w:rPr>
                <w:rFonts w:ascii="Arial" w:hAnsi="Arial" w:cs="Arial"/>
                <w:b/>
                <w:sz w:val="22"/>
                <w:szCs w:val="22"/>
                <w:lang w:eastAsia="en-US"/>
              </w:rPr>
              <w:t xml:space="preserve">24.3.1 Hodnocení dopadů navrhované regulace </w:t>
            </w:r>
          </w:p>
        </w:tc>
      </w:tr>
      <w:tr w:rsidR="00F261A3" w14:paraId="5942A9E3"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50E4732E"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Stručná definice: </w:t>
            </w:r>
          </w:p>
        </w:tc>
        <w:tc>
          <w:tcPr>
            <w:tcW w:w="6486" w:type="dxa"/>
            <w:tcBorders>
              <w:top w:val="single" w:sz="4" w:space="0" w:color="auto"/>
              <w:left w:val="single" w:sz="4" w:space="0" w:color="auto"/>
              <w:bottom w:val="single" w:sz="4" w:space="0" w:color="auto"/>
              <w:right w:val="single" w:sz="4" w:space="0" w:color="auto"/>
            </w:tcBorders>
          </w:tcPr>
          <w:p w14:paraId="672392E3" w14:textId="1FE3B85A" w:rsidR="00F261A3" w:rsidRPr="00FA6CB1" w:rsidRDefault="00F261A3" w:rsidP="00642448">
            <w:pPr>
              <w:jc w:val="both"/>
              <w:rPr>
                <w:rFonts w:ascii="Arial" w:hAnsi="Arial" w:cs="Arial"/>
                <w:sz w:val="22"/>
                <w:szCs w:val="22"/>
                <w:lang w:eastAsia="en-US"/>
              </w:rPr>
            </w:pPr>
            <w:r w:rsidRPr="00FA6CB1">
              <w:rPr>
                <w:rFonts w:ascii="Arial" w:hAnsi="Arial" w:cs="Arial"/>
                <w:color w:val="000000"/>
                <w:sz w:val="22"/>
                <w:szCs w:val="22"/>
                <w:lang w:eastAsia="en-US"/>
              </w:rPr>
              <w:t xml:space="preserve">Procentuální podíl projednaných návrhů, které Komise RIA doporučila s kladným stanoviskem. Procentuální podíl návrhů s provedením RIA z celkového počtu návrhů, předložených k posouzení vládě. </w:t>
            </w:r>
          </w:p>
          <w:p w14:paraId="5AC6ECE0" w14:textId="77777777" w:rsidR="00F261A3" w:rsidRPr="00FA6CB1" w:rsidRDefault="00F261A3" w:rsidP="00642448">
            <w:pPr>
              <w:pStyle w:val="Textkomente"/>
              <w:jc w:val="both"/>
              <w:rPr>
                <w:rFonts w:ascii="Arial" w:hAnsi="Arial" w:cs="Arial"/>
                <w:sz w:val="22"/>
                <w:szCs w:val="22"/>
                <w:lang w:eastAsia="en-US"/>
              </w:rPr>
            </w:pPr>
          </w:p>
          <w:p w14:paraId="1C7A221F" w14:textId="77777777" w:rsidR="00F261A3" w:rsidRPr="00FA6CB1" w:rsidRDefault="00F261A3" w:rsidP="00642448">
            <w:pPr>
              <w:jc w:val="both"/>
              <w:rPr>
                <w:rFonts w:ascii="Arial" w:hAnsi="Arial" w:cs="Arial"/>
                <w:sz w:val="22"/>
                <w:szCs w:val="22"/>
                <w:lang w:eastAsia="en-US"/>
              </w:rPr>
            </w:pPr>
            <w:r w:rsidRPr="00FA6CB1">
              <w:rPr>
                <w:rFonts w:ascii="Arial" w:hAnsi="Arial" w:cs="Arial"/>
                <w:sz w:val="22"/>
                <w:szCs w:val="22"/>
                <w:lang w:eastAsia="en-US"/>
              </w:rPr>
              <w:t xml:space="preserve">Vypracování hodnocení dopadů předkládané regulace (RIA) s vymezením dle Legislativních pravidel vlády a Obecných zásad pro hodnocení dopadů regulace. Součástí každého hodnocení navrhované regulace je jasná definice řešeného problému, </w:t>
            </w:r>
            <w:r w:rsidRPr="00FA6CB1">
              <w:rPr>
                <w:rFonts w:ascii="Arial" w:hAnsi="Arial" w:cs="Arial"/>
                <w:color w:val="000000"/>
                <w:sz w:val="22"/>
                <w:szCs w:val="22"/>
                <w:lang w:eastAsia="en-US"/>
              </w:rPr>
              <w:t>zhodnocení rizik, návrh variant řešení, vyhodnocení nákladů a přínosů, implementace doporučené varianty, přezkum a konzultace. Hodnocení se soustředí na agregované dopady navrhované regulace (státní a ostatní veřejné rozpočty, mezinárodní konkurenceschopnost; podnikatelské prostředí, ÚSC; sociální; spotřebitelé; životní prostředí; statistická služba, zákaz diskriminace ve vztahu k rovnosti žen a mužů, zhodnocení korupčních rizik, bezpečnost/obranu státu)</w:t>
            </w:r>
          </w:p>
          <w:p w14:paraId="147BC373" w14:textId="77777777" w:rsidR="00F261A3" w:rsidRPr="00FA6CB1" w:rsidRDefault="00F261A3" w:rsidP="00642448">
            <w:pPr>
              <w:spacing w:line="276" w:lineRule="auto"/>
              <w:jc w:val="both"/>
              <w:rPr>
                <w:rFonts w:ascii="Arial" w:hAnsi="Arial" w:cs="Arial"/>
                <w:sz w:val="22"/>
                <w:szCs w:val="22"/>
                <w:lang w:eastAsia="en-US"/>
              </w:rPr>
            </w:pPr>
          </w:p>
          <w:p w14:paraId="6B05D17D" w14:textId="77777777" w:rsidR="00F261A3" w:rsidRPr="00FA6CB1" w:rsidRDefault="00F261A3" w:rsidP="00642448">
            <w:pPr>
              <w:jc w:val="both"/>
              <w:rPr>
                <w:rFonts w:ascii="Arial" w:hAnsi="Arial" w:cs="Arial"/>
                <w:sz w:val="22"/>
                <w:szCs w:val="22"/>
                <w:lang w:eastAsia="en-US"/>
              </w:rPr>
            </w:pPr>
            <w:r w:rsidRPr="00FA6CB1">
              <w:rPr>
                <w:rFonts w:ascii="Arial" w:hAnsi="Arial" w:cs="Arial"/>
                <w:sz w:val="22"/>
                <w:szCs w:val="22"/>
                <w:lang w:eastAsia="en-US"/>
              </w:rPr>
              <w:t>Kvalitativní aspekt: dílčí hlediska hodnotících zpráv předkladatelů regulace a expertní stanoviska pracovní komise Legislativní rady vlády pro hodnocení dopadů regulace.</w:t>
            </w:r>
          </w:p>
        </w:tc>
      </w:tr>
      <w:tr w:rsidR="00F261A3" w14:paraId="35AD8244"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6D7C3E82"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Jednotka:</w:t>
            </w:r>
          </w:p>
        </w:tc>
        <w:tc>
          <w:tcPr>
            <w:tcW w:w="6486" w:type="dxa"/>
            <w:tcBorders>
              <w:top w:val="single" w:sz="4" w:space="0" w:color="auto"/>
              <w:left w:val="single" w:sz="4" w:space="0" w:color="auto"/>
              <w:bottom w:val="single" w:sz="4" w:space="0" w:color="auto"/>
              <w:right w:val="single" w:sz="4" w:space="0" w:color="auto"/>
            </w:tcBorders>
            <w:hideMark/>
          </w:tcPr>
          <w:p w14:paraId="5276E149" w14:textId="77777777" w:rsidR="00F261A3" w:rsidRPr="00FA6CB1" w:rsidRDefault="00F261A3" w:rsidP="00642448">
            <w:pPr>
              <w:spacing w:line="276" w:lineRule="auto"/>
              <w:jc w:val="both"/>
              <w:rPr>
                <w:rFonts w:ascii="Arial" w:hAnsi="Arial" w:cs="Arial"/>
                <w:sz w:val="22"/>
                <w:szCs w:val="22"/>
                <w:lang w:eastAsia="en-US"/>
              </w:rPr>
            </w:pPr>
            <w:r w:rsidRPr="00FA6CB1">
              <w:rPr>
                <w:rFonts w:ascii="Arial" w:hAnsi="Arial" w:cs="Arial"/>
                <w:sz w:val="22"/>
                <w:szCs w:val="22"/>
                <w:lang w:eastAsia="en-US"/>
              </w:rPr>
              <w:t>Podíl (v %)</w:t>
            </w:r>
          </w:p>
        </w:tc>
      </w:tr>
      <w:tr w:rsidR="00F261A3" w14:paraId="74DF729B"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5C6B2EE3"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Gestor: </w:t>
            </w:r>
          </w:p>
        </w:tc>
        <w:tc>
          <w:tcPr>
            <w:tcW w:w="6486" w:type="dxa"/>
            <w:tcBorders>
              <w:top w:val="single" w:sz="4" w:space="0" w:color="auto"/>
              <w:left w:val="single" w:sz="4" w:space="0" w:color="auto"/>
              <w:bottom w:val="single" w:sz="4" w:space="0" w:color="auto"/>
              <w:right w:val="single" w:sz="4" w:space="0" w:color="auto"/>
            </w:tcBorders>
            <w:hideMark/>
          </w:tcPr>
          <w:p w14:paraId="16F29F8C" w14:textId="4B766253" w:rsidR="00F261A3" w:rsidRPr="00FA6CB1" w:rsidRDefault="00F261A3" w:rsidP="00642448">
            <w:pPr>
              <w:spacing w:line="276" w:lineRule="auto"/>
              <w:jc w:val="both"/>
              <w:rPr>
                <w:rFonts w:ascii="Arial" w:hAnsi="Arial" w:cs="Arial"/>
                <w:sz w:val="22"/>
                <w:szCs w:val="22"/>
                <w:lang w:eastAsia="en-US"/>
              </w:rPr>
            </w:pPr>
            <w:r w:rsidRPr="00FA6CB1">
              <w:rPr>
                <w:rFonts w:ascii="Arial" w:hAnsi="Arial" w:cs="Arial"/>
                <w:sz w:val="22"/>
                <w:szCs w:val="22"/>
                <w:lang w:eastAsia="en-US"/>
              </w:rPr>
              <w:t xml:space="preserve">Úřad </w:t>
            </w:r>
            <w:proofErr w:type="spellStart"/>
            <w:proofErr w:type="gramStart"/>
            <w:r w:rsidRPr="00FA6CB1">
              <w:rPr>
                <w:rFonts w:ascii="Arial" w:hAnsi="Arial" w:cs="Arial"/>
                <w:sz w:val="22"/>
                <w:szCs w:val="22"/>
                <w:lang w:eastAsia="en-US"/>
              </w:rPr>
              <w:t>vlády</w:t>
            </w:r>
            <w:r w:rsidR="00246D73">
              <w:rPr>
                <w:rFonts w:ascii="Arial" w:hAnsi="Arial" w:cs="Arial"/>
                <w:sz w:val="22"/>
                <w:szCs w:val="22"/>
                <w:lang w:eastAsia="en-US"/>
              </w:rPr>
              <w:t>,</w:t>
            </w:r>
            <w:r w:rsidRPr="00FA6CB1">
              <w:rPr>
                <w:rFonts w:ascii="Arial" w:hAnsi="Arial" w:cs="Arial"/>
                <w:sz w:val="22"/>
                <w:szCs w:val="22"/>
                <w:lang w:eastAsia="en-US"/>
              </w:rPr>
              <w:t>Sekce</w:t>
            </w:r>
            <w:proofErr w:type="spellEnd"/>
            <w:proofErr w:type="gramEnd"/>
            <w:r w:rsidRPr="00FA6CB1">
              <w:rPr>
                <w:rFonts w:ascii="Arial" w:hAnsi="Arial" w:cs="Arial"/>
                <w:sz w:val="22"/>
                <w:szCs w:val="22"/>
                <w:lang w:eastAsia="en-US"/>
              </w:rPr>
              <w:t xml:space="preserve"> Legislativní rady vlády</w:t>
            </w:r>
          </w:p>
        </w:tc>
      </w:tr>
      <w:tr w:rsidR="00F261A3" w14:paraId="590BD599"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3B3C9FB7"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Význam indikátoru: </w:t>
            </w:r>
          </w:p>
        </w:tc>
        <w:tc>
          <w:tcPr>
            <w:tcW w:w="6486" w:type="dxa"/>
            <w:tcBorders>
              <w:top w:val="single" w:sz="4" w:space="0" w:color="auto"/>
              <w:left w:val="single" w:sz="4" w:space="0" w:color="auto"/>
              <w:bottom w:val="single" w:sz="4" w:space="0" w:color="auto"/>
              <w:right w:val="single" w:sz="4" w:space="0" w:color="auto"/>
            </w:tcBorders>
            <w:hideMark/>
          </w:tcPr>
          <w:p w14:paraId="1FC80F9E" w14:textId="77777777" w:rsidR="00F261A3" w:rsidRPr="00FA6CB1" w:rsidRDefault="00F261A3" w:rsidP="00642448">
            <w:pPr>
              <w:spacing w:line="276" w:lineRule="auto"/>
              <w:jc w:val="both"/>
              <w:rPr>
                <w:rFonts w:ascii="Arial" w:hAnsi="Arial" w:cs="Arial"/>
                <w:sz w:val="22"/>
                <w:szCs w:val="22"/>
                <w:lang w:eastAsia="en-US"/>
              </w:rPr>
            </w:pPr>
            <w:r w:rsidRPr="00FA6CB1">
              <w:rPr>
                <w:rFonts w:ascii="Arial" w:hAnsi="Arial" w:cs="Arial"/>
                <w:sz w:val="22"/>
                <w:szCs w:val="22"/>
                <w:lang w:eastAsia="en-US"/>
              </w:rPr>
              <w:t xml:space="preserve">Demokratičnost vládnutí, dlouhodobá efektivita vládnutí: RIA je zavedená soustava analytických metod </w:t>
            </w:r>
            <w:r w:rsidRPr="00FA6CB1">
              <w:rPr>
                <w:rStyle w:val="Siln"/>
                <w:rFonts w:ascii="Arial" w:hAnsi="Arial" w:cs="Arial"/>
                <w:b w:val="0"/>
                <w:sz w:val="22"/>
                <w:szCs w:val="22"/>
                <w:lang w:eastAsia="en-US"/>
              </w:rPr>
              <w:t>k systematickému hodnocení očekávaných dopadů navrhovaných politik</w:t>
            </w:r>
            <w:r w:rsidRPr="00FA6CB1">
              <w:rPr>
                <w:rFonts w:ascii="Arial" w:hAnsi="Arial" w:cs="Arial"/>
                <w:sz w:val="22"/>
                <w:szCs w:val="22"/>
                <w:lang w:eastAsia="en-US"/>
              </w:rPr>
              <w:t xml:space="preserve">; týká se navrhované regulace na celostátní úrovni; celý proces RIA je významným informačním podkladem pro tvorbu veřejných politik; zahrnuje průřez relevantních témat. V </w:t>
            </w:r>
            <w:proofErr w:type="gramStart"/>
            <w:r w:rsidRPr="00FA6CB1">
              <w:rPr>
                <w:rFonts w:ascii="Arial" w:hAnsi="Arial" w:cs="Arial"/>
                <w:sz w:val="22"/>
                <w:szCs w:val="22"/>
                <w:lang w:eastAsia="en-US"/>
              </w:rPr>
              <w:t>RIA</w:t>
            </w:r>
            <w:proofErr w:type="gramEnd"/>
            <w:r w:rsidRPr="00FA6CB1">
              <w:rPr>
                <w:rFonts w:ascii="Arial" w:hAnsi="Arial" w:cs="Arial"/>
                <w:sz w:val="22"/>
                <w:szCs w:val="22"/>
                <w:lang w:eastAsia="en-US"/>
              </w:rPr>
              <w:t xml:space="preserve"> je obsažen prvek participativní a </w:t>
            </w:r>
            <w:proofErr w:type="spellStart"/>
            <w:r w:rsidRPr="00FA6CB1">
              <w:rPr>
                <w:rFonts w:ascii="Arial" w:hAnsi="Arial" w:cs="Arial"/>
                <w:sz w:val="22"/>
                <w:szCs w:val="22"/>
                <w:lang w:eastAsia="en-US"/>
              </w:rPr>
              <w:t>deliberativní</w:t>
            </w:r>
            <w:proofErr w:type="spellEnd"/>
            <w:r w:rsidRPr="00FA6CB1">
              <w:rPr>
                <w:rFonts w:ascii="Arial" w:hAnsi="Arial" w:cs="Arial"/>
                <w:sz w:val="22"/>
                <w:szCs w:val="22"/>
                <w:lang w:eastAsia="en-US"/>
              </w:rPr>
              <w:t xml:space="preserve"> (veřejné konzultace).</w:t>
            </w:r>
          </w:p>
        </w:tc>
      </w:tr>
      <w:tr w:rsidR="00F261A3" w14:paraId="3E6A93A4"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360E2713"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Časová řada: </w:t>
            </w:r>
          </w:p>
        </w:tc>
        <w:tc>
          <w:tcPr>
            <w:tcW w:w="6486" w:type="dxa"/>
            <w:tcBorders>
              <w:top w:val="single" w:sz="4" w:space="0" w:color="auto"/>
              <w:left w:val="single" w:sz="4" w:space="0" w:color="auto"/>
              <w:bottom w:val="single" w:sz="4" w:space="0" w:color="auto"/>
              <w:right w:val="single" w:sz="4" w:space="0" w:color="auto"/>
            </w:tcBorders>
            <w:hideMark/>
          </w:tcPr>
          <w:p w14:paraId="57FDCB3C"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Od roku 2012</w:t>
            </w:r>
          </w:p>
        </w:tc>
      </w:tr>
      <w:tr w:rsidR="00F261A3" w14:paraId="1C5DFCAD"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19AEC210"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Frekvence výstupu: </w:t>
            </w:r>
          </w:p>
        </w:tc>
        <w:tc>
          <w:tcPr>
            <w:tcW w:w="6486" w:type="dxa"/>
            <w:tcBorders>
              <w:top w:val="single" w:sz="4" w:space="0" w:color="auto"/>
              <w:left w:val="single" w:sz="4" w:space="0" w:color="auto"/>
              <w:bottom w:val="single" w:sz="4" w:space="0" w:color="auto"/>
              <w:right w:val="single" w:sz="4" w:space="0" w:color="auto"/>
            </w:tcBorders>
            <w:hideMark/>
          </w:tcPr>
          <w:p w14:paraId="60579E3A"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Ročně</w:t>
            </w:r>
          </w:p>
        </w:tc>
      </w:tr>
      <w:tr w:rsidR="00F261A3" w14:paraId="4A1127FC" w14:textId="77777777" w:rsidTr="0062345D">
        <w:trPr>
          <w:trHeight w:val="70"/>
        </w:trPr>
        <w:tc>
          <w:tcPr>
            <w:tcW w:w="2802" w:type="dxa"/>
            <w:tcBorders>
              <w:top w:val="single" w:sz="4" w:space="0" w:color="auto"/>
              <w:left w:val="single" w:sz="4" w:space="0" w:color="auto"/>
              <w:bottom w:val="single" w:sz="4" w:space="0" w:color="auto"/>
              <w:right w:val="single" w:sz="4" w:space="0" w:color="auto"/>
            </w:tcBorders>
            <w:hideMark/>
          </w:tcPr>
          <w:p w14:paraId="5CB33803"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Členění indikátoru: </w:t>
            </w:r>
          </w:p>
        </w:tc>
        <w:tc>
          <w:tcPr>
            <w:tcW w:w="6486" w:type="dxa"/>
            <w:tcBorders>
              <w:top w:val="single" w:sz="4" w:space="0" w:color="auto"/>
              <w:left w:val="single" w:sz="4" w:space="0" w:color="auto"/>
              <w:bottom w:val="single" w:sz="4" w:space="0" w:color="auto"/>
              <w:right w:val="single" w:sz="4" w:space="0" w:color="auto"/>
            </w:tcBorders>
            <w:hideMark/>
          </w:tcPr>
          <w:p w14:paraId="6278A9A6"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w:t>
            </w:r>
          </w:p>
        </w:tc>
      </w:tr>
      <w:tr w:rsidR="00F261A3" w14:paraId="1583B741" w14:textId="77777777" w:rsidTr="0062345D">
        <w:trPr>
          <w:trHeight w:val="70"/>
        </w:trPr>
        <w:tc>
          <w:tcPr>
            <w:tcW w:w="2802" w:type="dxa"/>
            <w:tcBorders>
              <w:top w:val="single" w:sz="4" w:space="0" w:color="auto"/>
              <w:left w:val="single" w:sz="4" w:space="0" w:color="auto"/>
              <w:bottom w:val="single" w:sz="4" w:space="0" w:color="auto"/>
              <w:right w:val="single" w:sz="4" w:space="0" w:color="auto"/>
            </w:tcBorders>
            <w:hideMark/>
          </w:tcPr>
          <w:p w14:paraId="0F37D0DB"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Mezinárodní srovnání:</w:t>
            </w:r>
          </w:p>
        </w:tc>
        <w:tc>
          <w:tcPr>
            <w:tcW w:w="6486" w:type="dxa"/>
            <w:tcBorders>
              <w:top w:val="single" w:sz="4" w:space="0" w:color="auto"/>
              <w:left w:val="single" w:sz="4" w:space="0" w:color="auto"/>
              <w:bottom w:val="single" w:sz="4" w:space="0" w:color="auto"/>
              <w:right w:val="single" w:sz="4" w:space="0" w:color="auto"/>
            </w:tcBorders>
            <w:hideMark/>
          </w:tcPr>
          <w:p w14:paraId="6B542105" w14:textId="77777777" w:rsidR="00F261A3" w:rsidRDefault="00F261A3" w:rsidP="00642448">
            <w:pPr>
              <w:spacing w:line="276" w:lineRule="auto"/>
              <w:jc w:val="both"/>
              <w:rPr>
                <w:rFonts w:ascii="Arial" w:hAnsi="Arial" w:cs="Arial"/>
                <w:color w:val="808080" w:themeColor="background1" w:themeShade="80"/>
                <w:sz w:val="22"/>
                <w:szCs w:val="22"/>
                <w:lang w:eastAsia="en-US"/>
              </w:rPr>
            </w:pPr>
            <w:r>
              <w:rPr>
                <w:rFonts w:ascii="Arial" w:hAnsi="Arial" w:cs="Arial"/>
                <w:sz w:val="22"/>
                <w:szCs w:val="22"/>
                <w:lang w:eastAsia="en-US"/>
              </w:rPr>
              <w:t>Probíhá např. na úrovni OECD, ale je jen těžko srovnatelné (rozdíly ve zpracování i legislativním procesu). Spíše slouží k výměně zkušeností a možným novým tipům k dobré praxi.</w:t>
            </w:r>
          </w:p>
        </w:tc>
      </w:tr>
    </w:tbl>
    <w:p w14:paraId="7919E498" w14:textId="77777777" w:rsidR="00F261A3" w:rsidRDefault="00F261A3" w:rsidP="00642448">
      <w:pPr>
        <w:pStyle w:val="r2030podcle"/>
        <w:numPr>
          <w:ilvl w:val="1"/>
          <w:numId w:val="17"/>
        </w:numPr>
        <w:ind w:left="567" w:hanging="425"/>
      </w:pPr>
      <w:r w:rsidRPr="00890762">
        <w:t>Veřejné politiky budou systematicky vyhodnocovány zpětně (ex-post evaluace).</w:t>
      </w:r>
    </w:p>
    <w:tbl>
      <w:tblPr>
        <w:tblStyle w:val="Mkatabulky"/>
        <w:tblW w:w="0" w:type="auto"/>
        <w:shd w:val="pct15" w:color="auto" w:fill="auto"/>
        <w:tblLook w:val="04A0" w:firstRow="1" w:lastRow="0" w:firstColumn="1" w:lastColumn="0" w:noHBand="0" w:noVBand="1"/>
      </w:tblPr>
      <w:tblGrid>
        <w:gridCol w:w="2802"/>
        <w:gridCol w:w="6486"/>
      </w:tblGrid>
      <w:tr w:rsidR="00F261A3" w14:paraId="554C3B97" w14:textId="77777777" w:rsidTr="0062345D">
        <w:tc>
          <w:tcPr>
            <w:tcW w:w="2802" w:type="dxa"/>
            <w:tcBorders>
              <w:top w:val="single" w:sz="4" w:space="0" w:color="auto"/>
              <w:left w:val="single" w:sz="4" w:space="0" w:color="auto"/>
              <w:bottom w:val="single" w:sz="4" w:space="0" w:color="auto"/>
              <w:right w:val="single" w:sz="4" w:space="0" w:color="auto"/>
            </w:tcBorders>
            <w:shd w:val="clear" w:color="auto" w:fill="auto"/>
            <w:hideMark/>
          </w:tcPr>
          <w:p w14:paraId="71638CF5"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Název a označení indikátoru: </w:t>
            </w:r>
          </w:p>
        </w:tc>
        <w:tc>
          <w:tcPr>
            <w:tcW w:w="6486" w:type="dxa"/>
            <w:tcBorders>
              <w:top w:val="single" w:sz="4" w:space="0" w:color="auto"/>
              <w:left w:val="single" w:sz="4" w:space="0" w:color="auto"/>
              <w:bottom w:val="single" w:sz="4" w:space="0" w:color="auto"/>
              <w:right w:val="single" w:sz="4" w:space="0" w:color="auto"/>
            </w:tcBorders>
            <w:shd w:val="clear" w:color="auto" w:fill="auto"/>
            <w:hideMark/>
          </w:tcPr>
          <w:p w14:paraId="13238905" w14:textId="77777777" w:rsidR="00F261A3" w:rsidRDefault="00F261A3" w:rsidP="0062345D">
            <w:pPr>
              <w:spacing w:line="276" w:lineRule="auto"/>
              <w:rPr>
                <w:rFonts w:ascii="Arial" w:hAnsi="Arial" w:cs="Arial"/>
                <w:b/>
                <w:sz w:val="22"/>
                <w:szCs w:val="22"/>
                <w:lang w:eastAsia="en-US"/>
              </w:rPr>
            </w:pPr>
            <w:r>
              <w:rPr>
                <w:rFonts w:ascii="Arial" w:hAnsi="Arial" w:cs="Arial"/>
                <w:b/>
                <w:sz w:val="22"/>
                <w:szCs w:val="22"/>
                <w:lang w:eastAsia="en-US"/>
              </w:rPr>
              <w:t xml:space="preserve">24.4.1 Počet evaluací veřejných politik (zpráv, studií, či podkladů) </w:t>
            </w:r>
          </w:p>
        </w:tc>
      </w:tr>
      <w:tr w:rsidR="00F261A3" w14:paraId="6DC1A92C" w14:textId="77777777" w:rsidTr="0062345D">
        <w:tc>
          <w:tcPr>
            <w:tcW w:w="2802" w:type="dxa"/>
            <w:tcBorders>
              <w:top w:val="single" w:sz="4" w:space="0" w:color="auto"/>
              <w:left w:val="single" w:sz="4" w:space="0" w:color="auto"/>
              <w:bottom w:val="single" w:sz="4" w:space="0" w:color="auto"/>
              <w:right w:val="single" w:sz="4" w:space="0" w:color="auto"/>
            </w:tcBorders>
            <w:shd w:val="clear" w:color="auto" w:fill="auto"/>
            <w:hideMark/>
          </w:tcPr>
          <w:p w14:paraId="6896E13A"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Stručná definice: </w:t>
            </w:r>
          </w:p>
        </w:tc>
        <w:tc>
          <w:tcPr>
            <w:tcW w:w="6486" w:type="dxa"/>
            <w:tcBorders>
              <w:top w:val="single" w:sz="4" w:space="0" w:color="auto"/>
              <w:left w:val="single" w:sz="4" w:space="0" w:color="auto"/>
              <w:bottom w:val="single" w:sz="4" w:space="0" w:color="auto"/>
              <w:right w:val="single" w:sz="4" w:space="0" w:color="auto"/>
            </w:tcBorders>
            <w:shd w:val="clear" w:color="auto" w:fill="auto"/>
          </w:tcPr>
          <w:p w14:paraId="7F4B51F2" w14:textId="77777777" w:rsidR="00F261A3" w:rsidRDefault="00F261A3" w:rsidP="00642448">
            <w:pPr>
              <w:jc w:val="both"/>
              <w:rPr>
                <w:rFonts w:ascii="Arial" w:hAnsi="Arial" w:cs="Arial"/>
                <w:sz w:val="22"/>
                <w:szCs w:val="22"/>
                <w:lang w:eastAsia="en-US"/>
              </w:rPr>
            </w:pPr>
            <w:r>
              <w:rPr>
                <w:rFonts w:ascii="Arial" w:hAnsi="Arial" w:cs="Arial"/>
                <w:sz w:val="22"/>
                <w:szCs w:val="22"/>
                <w:lang w:eastAsia="en-US"/>
              </w:rPr>
              <w:t xml:space="preserve">Počet evaluací veřejných politik; evaluace mohou mít formu </w:t>
            </w:r>
            <w:r>
              <w:rPr>
                <w:rFonts w:ascii="Arial" w:hAnsi="Arial" w:cs="Arial"/>
                <w:sz w:val="22"/>
                <w:szCs w:val="22"/>
                <w:lang w:eastAsia="en-US"/>
              </w:rPr>
              <w:lastRenderedPageBreak/>
              <w:t>zpráv, studií, či podkladů.</w:t>
            </w:r>
          </w:p>
          <w:p w14:paraId="0793B5FE" w14:textId="77777777" w:rsidR="00F261A3" w:rsidRDefault="00F261A3" w:rsidP="00642448">
            <w:pPr>
              <w:jc w:val="both"/>
              <w:rPr>
                <w:rFonts w:ascii="Arial" w:hAnsi="Arial" w:cs="Arial"/>
                <w:sz w:val="22"/>
                <w:szCs w:val="22"/>
                <w:lang w:eastAsia="en-US"/>
              </w:rPr>
            </w:pPr>
          </w:p>
          <w:p w14:paraId="48B9752A" w14:textId="77777777" w:rsidR="00F261A3" w:rsidRDefault="00F261A3" w:rsidP="00642448">
            <w:pPr>
              <w:jc w:val="both"/>
              <w:rPr>
                <w:rFonts w:ascii="Arial" w:hAnsi="Arial" w:cs="Arial"/>
                <w:sz w:val="22"/>
                <w:szCs w:val="22"/>
                <w:lang w:eastAsia="en-US"/>
              </w:rPr>
            </w:pPr>
            <w:r>
              <w:rPr>
                <w:rFonts w:ascii="Arial" w:hAnsi="Arial" w:cs="Arial"/>
                <w:sz w:val="22"/>
                <w:szCs w:val="22"/>
                <w:lang w:eastAsia="en-US"/>
              </w:rPr>
              <w:t>Samotné hodnocení veřejných politik je klíčový moment pro reflexi nastavených cílů a dosažená priorit veřejných politik; tato reflexe může např. prostřednictvím zjištění a výsledků umožnit přenastavení veřejné politiky/její zpřesnění/lepší orientaci apod.</w:t>
            </w:r>
          </w:p>
          <w:p w14:paraId="0DD0A653" w14:textId="77777777" w:rsidR="00F261A3" w:rsidRDefault="00F261A3" w:rsidP="00642448">
            <w:pPr>
              <w:jc w:val="both"/>
              <w:rPr>
                <w:rFonts w:ascii="Arial" w:hAnsi="Arial" w:cs="Arial"/>
                <w:sz w:val="22"/>
                <w:szCs w:val="22"/>
                <w:lang w:eastAsia="en-US"/>
              </w:rPr>
            </w:pPr>
          </w:p>
          <w:p w14:paraId="18897E5E"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Počty evaluací ještě nemusí generovat kvalitu; ta bude v případě potřeby sledována z hlediska např. použitých vhodných evaluačních přístupů a metod, vytvořených partnerství a spolupráce, míry kvality výstupu a přenosu/uplatnění.</w:t>
            </w:r>
          </w:p>
        </w:tc>
      </w:tr>
      <w:tr w:rsidR="00F261A3" w14:paraId="78B3BEBC" w14:textId="77777777" w:rsidTr="0062345D">
        <w:tc>
          <w:tcPr>
            <w:tcW w:w="2802" w:type="dxa"/>
            <w:tcBorders>
              <w:top w:val="single" w:sz="4" w:space="0" w:color="auto"/>
              <w:left w:val="single" w:sz="4" w:space="0" w:color="auto"/>
              <w:bottom w:val="single" w:sz="4" w:space="0" w:color="auto"/>
              <w:right w:val="single" w:sz="4" w:space="0" w:color="auto"/>
            </w:tcBorders>
            <w:shd w:val="clear" w:color="auto" w:fill="auto"/>
            <w:hideMark/>
          </w:tcPr>
          <w:p w14:paraId="3983F2B3"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lastRenderedPageBreak/>
              <w:t>Jednotka:</w:t>
            </w:r>
          </w:p>
        </w:tc>
        <w:tc>
          <w:tcPr>
            <w:tcW w:w="6486" w:type="dxa"/>
            <w:tcBorders>
              <w:top w:val="single" w:sz="4" w:space="0" w:color="auto"/>
              <w:left w:val="single" w:sz="4" w:space="0" w:color="auto"/>
              <w:bottom w:val="single" w:sz="4" w:space="0" w:color="auto"/>
              <w:right w:val="single" w:sz="4" w:space="0" w:color="auto"/>
            </w:tcBorders>
            <w:shd w:val="clear" w:color="auto" w:fill="auto"/>
            <w:hideMark/>
          </w:tcPr>
          <w:p w14:paraId="16027E4B"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Počet</w:t>
            </w:r>
          </w:p>
        </w:tc>
      </w:tr>
      <w:tr w:rsidR="00F261A3" w14:paraId="3FD3BAC8" w14:textId="77777777" w:rsidTr="0062345D">
        <w:tc>
          <w:tcPr>
            <w:tcW w:w="2802" w:type="dxa"/>
            <w:tcBorders>
              <w:top w:val="single" w:sz="4" w:space="0" w:color="auto"/>
              <w:left w:val="single" w:sz="4" w:space="0" w:color="auto"/>
              <w:bottom w:val="single" w:sz="4" w:space="0" w:color="auto"/>
              <w:right w:val="single" w:sz="4" w:space="0" w:color="auto"/>
            </w:tcBorders>
            <w:shd w:val="clear" w:color="auto" w:fill="auto"/>
            <w:hideMark/>
          </w:tcPr>
          <w:p w14:paraId="22A93B0B"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Gestor: </w:t>
            </w:r>
          </w:p>
        </w:tc>
        <w:tc>
          <w:tcPr>
            <w:tcW w:w="6486" w:type="dxa"/>
            <w:tcBorders>
              <w:top w:val="single" w:sz="4" w:space="0" w:color="auto"/>
              <w:left w:val="single" w:sz="4" w:space="0" w:color="auto"/>
              <w:bottom w:val="single" w:sz="4" w:space="0" w:color="auto"/>
              <w:right w:val="single" w:sz="4" w:space="0" w:color="auto"/>
            </w:tcBorders>
            <w:shd w:val="clear" w:color="auto" w:fill="auto"/>
            <w:hideMark/>
          </w:tcPr>
          <w:p w14:paraId="514ADB81" w14:textId="17A6D768"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Ministerstvo pro místní rozvoj ve spolupráci se zpracovateli veřejných politik</w:t>
            </w:r>
          </w:p>
        </w:tc>
      </w:tr>
      <w:tr w:rsidR="00F261A3" w14:paraId="4C405835" w14:textId="77777777" w:rsidTr="0062345D">
        <w:tc>
          <w:tcPr>
            <w:tcW w:w="2802" w:type="dxa"/>
            <w:tcBorders>
              <w:top w:val="single" w:sz="4" w:space="0" w:color="auto"/>
              <w:left w:val="single" w:sz="4" w:space="0" w:color="auto"/>
              <w:bottom w:val="single" w:sz="4" w:space="0" w:color="auto"/>
              <w:right w:val="single" w:sz="4" w:space="0" w:color="auto"/>
            </w:tcBorders>
            <w:shd w:val="clear" w:color="auto" w:fill="auto"/>
            <w:hideMark/>
          </w:tcPr>
          <w:p w14:paraId="38B1591B"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Význam indikátoru: </w:t>
            </w:r>
          </w:p>
        </w:tc>
        <w:tc>
          <w:tcPr>
            <w:tcW w:w="6486" w:type="dxa"/>
            <w:tcBorders>
              <w:top w:val="single" w:sz="4" w:space="0" w:color="auto"/>
              <w:left w:val="single" w:sz="4" w:space="0" w:color="auto"/>
              <w:bottom w:val="single" w:sz="4" w:space="0" w:color="auto"/>
              <w:right w:val="single" w:sz="4" w:space="0" w:color="auto"/>
            </w:tcBorders>
            <w:shd w:val="clear" w:color="auto" w:fill="auto"/>
            <w:hideMark/>
          </w:tcPr>
          <w:p w14:paraId="06B44178"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 xml:space="preserve">Dlouhodobá efektivita vládnutí: Indikátor má za cíl kultivovat evaluační prostředí při hodnocení veřejných politik. Samotný „požadavek“ na jejich tvorbu (v podobě existence zpráv, které vyžadují jistý stupeň znalostí a zkušeností) může přinést kýžený efekt. Samotný indikátor nemůže zcela přímo změnit danou situaci, nicméně umožní studovat rozsah a kvalitu prováděných evaluací, navrhovat jejich zkvalitňovaní (vč. </w:t>
            </w:r>
            <w:proofErr w:type="spellStart"/>
            <w:r>
              <w:rPr>
                <w:rFonts w:ascii="Arial" w:hAnsi="Arial" w:cs="Arial"/>
                <w:sz w:val="22"/>
                <w:szCs w:val="22"/>
                <w:lang w:eastAsia="en-US"/>
              </w:rPr>
              <w:t>provazby</w:t>
            </w:r>
            <w:proofErr w:type="spellEnd"/>
            <w:r>
              <w:rPr>
                <w:rFonts w:ascii="Arial" w:hAnsi="Arial" w:cs="Arial"/>
                <w:sz w:val="22"/>
                <w:szCs w:val="22"/>
                <w:lang w:eastAsia="en-US"/>
              </w:rPr>
              <w:t xml:space="preserve"> až na samotné plánování) a posilovat povědomí o tom, jak k evaluaci veřejných politik přistupovat.</w:t>
            </w:r>
          </w:p>
        </w:tc>
      </w:tr>
      <w:tr w:rsidR="00F261A3" w14:paraId="2FFD88CD" w14:textId="77777777" w:rsidTr="0062345D">
        <w:tc>
          <w:tcPr>
            <w:tcW w:w="2802" w:type="dxa"/>
            <w:tcBorders>
              <w:top w:val="single" w:sz="4" w:space="0" w:color="auto"/>
              <w:left w:val="single" w:sz="4" w:space="0" w:color="auto"/>
              <w:bottom w:val="single" w:sz="4" w:space="0" w:color="auto"/>
              <w:right w:val="single" w:sz="4" w:space="0" w:color="auto"/>
            </w:tcBorders>
            <w:shd w:val="clear" w:color="auto" w:fill="auto"/>
            <w:hideMark/>
          </w:tcPr>
          <w:p w14:paraId="5B84CB42"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Časová řada: </w:t>
            </w:r>
          </w:p>
        </w:tc>
        <w:tc>
          <w:tcPr>
            <w:tcW w:w="6486" w:type="dxa"/>
            <w:tcBorders>
              <w:top w:val="single" w:sz="4" w:space="0" w:color="auto"/>
              <w:left w:val="single" w:sz="4" w:space="0" w:color="auto"/>
              <w:bottom w:val="single" w:sz="4" w:space="0" w:color="auto"/>
              <w:right w:val="single" w:sz="4" w:space="0" w:color="auto"/>
            </w:tcBorders>
            <w:shd w:val="clear" w:color="auto" w:fill="auto"/>
            <w:hideMark/>
          </w:tcPr>
          <w:p w14:paraId="1076934C"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Od roku 2015</w:t>
            </w:r>
          </w:p>
        </w:tc>
      </w:tr>
      <w:tr w:rsidR="00F261A3" w14:paraId="1C64AF07" w14:textId="77777777" w:rsidTr="0062345D">
        <w:tc>
          <w:tcPr>
            <w:tcW w:w="2802" w:type="dxa"/>
            <w:tcBorders>
              <w:top w:val="single" w:sz="4" w:space="0" w:color="auto"/>
              <w:left w:val="single" w:sz="4" w:space="0" w:color="auto"/>
              <w:bottom w:val="single" w:sz="4" w:space="0" w:color="auto"/>
              <w:right w:val="single" w:sz="4" w:space="0" w:color="auto"/>
            </w:tcBorders>
            <w:shd w:val="clear" w:color="auto" w:fill="auto"/>
            <w:hideMark/>
          </w:tcPr>
          <w:p w14:paraId="2C75F12C"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Frekvence výstupu: </w:t>
            </w:r>
          </w:p>
        </w:tc>
        <w:tc>
          <w:tcPr>
            <w:tcW w:w="6486" w:type="dxa"/>
            <w:tcBorders>
              <w:top w:val="single" w:sz="4" w:space="0" w:color="auto"/>
              <w:left w:val="single" w:sz="4" w:space="0" w:color="auto"/>
              <w:bottom w:val="single" w:sz="4" w:space="0" w:color="auto"/>
              <w:right w:val="single" w:sz="4" w:space="0" w:color="auto"/>
            </w:tcBorders>
            <w:shd w:val="clear" w:color="auto" w:fill="auto"/>
            <w:hideMark/>
          </w:tcPr>
          <w:p w14:paraId="43B1F083"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Ročně</w:t>
            </w:r>
          </w:p>
        </w:tc>
      </w:tr>
      <w:tr w:rsidR="00F261A3" w14:paraId="1C0B8E7C" w14:textId="77777777" w:rsidTr="0062345D">
        <w:trPr>
          <w:trHeight w:val="70"/>
        </w:trPr>
        <w:tc>
          <w:tcPr>
            <w:tcW w:w="2802" w:type="dxa"/>
            <w:tcBorders>
              <w:top w:val="single" w:sz="4" w:space="0" w:color="auto"/>
              <w:left w:val="single" w:sz="4" w:space="0" w:color="auto"/>
              <w:bottom w:val="single" w:sz="4" w:space="0" w:color="auto"/>
              <w:right w:val="single" w:sz="4" w:space="0" w:color="auto"/>
            </w:tcBorders>
            <w:shd w:val="clear" w:color="auto" w:fill="auto"/>
            <w:hideMark/>
          </w:tcPr>
          <w:p w14:paraId="5D9B666C"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Členění indikátoru: </w:t>
            </w:r>
          </w:p>
        </w:tc>
        <w:tc>
          <w:tcPr>
            <w:tcW w:w="6486" w:type="dxa"/>
            <w:tcBorders>
              <w:top w:val="single" w:sz="4" w:space="0" w:color="auto"/>
              <w:left w:val="single" w:sz="4" w:space="0" w:color="auto"/>
              <w:bottom w:val="single" w:sz="4" w:space="0" w:color="auto"/>
              <w:right w:val="single" w:sz="4" w:space="0" w:color="auto"/>
            </w:tcBorders>
            <w:shd w:val="clear" w:color="auto" w:fill="auto"/>
            <w:hideMark/>
          </w:tcPr>
          <w:p w14:paraId="2DB536FF"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w:t>
            </w:r>
          </w:p>
        </w:tc>
      </w:tr>
      <w:tr w:rsidR="00F261A3" w14:paraId="08FB2D68" w14:textId="77777777" w:rsidTr="0062345D">
        <w:trPr>
          <w:trHeight w:val="70"/>
        </w:trPr>
        <w:tc>
          <w:tcPr>
            <w:tcW w:w="2802" w:type="dxa"/>
            <w:tcBorders>
              <w:top w:val="single" w:sz="4" w:space="0" w:color="auto"/>
              <w:left w:val="single" w:sz="4" w:space="0" w:color="auto"/>
              <w:bottom w:val="single" w:sz="4" w:space="0" w:color="auto"/>
              <w:right w:val="single" w:sz="4" w:space="0" w:color="auto"/>
            </w:tcBorders>
            <w:shd w:val="clear" w:color="auto" w:fill="auto"/>
            <w:hideMark/>
          </w:tcPr>
          <w:p w14:paraId="0265E738"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Mezinárodní srovnání:</w:t>
            </w:r>
          </w:p>
        </w:tc>
        <w:tc>
          <w:tcPr>
            <w:tcW w:w="6486" w:type="dxa"/>
            <w:tcBorders>
              <w:top w:val="single" w:sz="4" w:space="0" w:color="auto"/>
              <w:left w:val="single" w:sz="4" w:space="0" w:color="auto"/>
              <w:bottom w:val="single" w:sz="4" w:space="0" w:color="auto"/>
              <w:right w:val="single" w:sz="4" w:space="0" w:color="auto"/>
            </w:tcBorders>
            <w:shd w:val="clear" w:color="auto" w:fill="auto"/>
            <w:hideMark/>
          </w:tcPr>
          <w:p w14:paraId="1A63FD5A" w14:textId="77777777" w:rsidR="00F261A3" w:rsidRDefault="00F261A3" w:rsidP="0062345D">
            <w:pPr>
              <w:spacing w:line="276" w:lineRule="auto"/>
              <w:rPr>
                <w:rFonts w:ascii="Arial" w:hAnsi="Arial" w:cs="Arial"/>
                <w:lang w:eastAsia="en-US"/>
              </w:rPr>
            </w:pPr>
            <w:r>
              <w:rPr>
                <w:rFonts w:ascii="Arial" w:hAnsi="Arial" w:cs="Arial"/>
                <w:lang w:eastAsia="en-US"/>
              </w:rPr>
              <w:t>-</w:t>
            </w:r>
          </w:p>
        </w:tc>
      </w:tr>
    </w:tbl>
    <w:p w14:paraId="2709B2BE" w14:textId="77777777" w:rsidR="00F261A3" w:rsidRDefault="00F261A3" w:rsidP="00F261A3">
      <w:pPr>
        <w:spacing w:line="276" w:lineRule="auto"/>
        <w:rPr>
          <w:rFonts w:ascii="Arial" w:eastAsiaTheme="minorHAnsi" w:hAnsi="Arial" w:cs="Arial"/>
          <w:sz w:val="22"/>
          <w:szCs w:val="22"/>
          <w:lang w:eastAsia="en-US"/>
        </w:rPr>
      </w:pPr>
    </w:p>
    <w:tbl>
      <w:tblPr>
        <w:tblStyle w:val="Mkatabulky"/>
        <w:tblW w:w="0" w:type="auto"/>
        <w:tblLook w:val="04A0" w:firstRow="1" w:lastRow="0" w:firstColumn="1" w:lastColumn="0" w:noHBand="0" w:noVBand="1"/>
      </w:tblPr>
      <w:tblGrid>
        <w:gridCol w:w="2802"/>
        <w:gridCol w:w="6486"/>
      </w:tblGrid>
      <w:tr w:rsidR="00F261A3" w14:paraId="4A1BE37F"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3A1AF333" w14:textId="77777777" w:rsidR="00F261A3" w:rsidRDefault="00F261A3" w:rsidP="0062345D">
            <w:pPr>
              <w:rPr>
                <w:rFonts w:ascii="Arial" w:hAnsi="Arial" w:cs="Arial"/>
                <w:sz w:val="22"/>
                <w:szCs w:val="22"/>
                <w:lang w:eastAsia="en-US"/>
              </w:rPr>
            </w:pPr>
            <w:r>
              <w:rPr>
                <w:rFonts w:ascii="Arial" w:hAnsi="Arial" w:cs="Arial"/>
                <w:sz w:val="22"/>
                <w:szCs w:val="22"/>
                <w:lang w:eastAsia="en-US"/>
              </w:rPr>
              <w:t xml:space="preserve">Název a označení indikátoru: </w:t>
            </w:r>
          </w:p>
        </w:tc>
        <w:tc>
          <w:tcPr>
            <w:tcW w:w="6486" w:type="dxa"/>
            <w:tcBorders>
              <w:top w:val="single" w:sz="4" w:space="0" w:color="auto"/>
              <w:left w:val="single" w:sz="4" w:space="0" w:color="auto"/>
              <w:bottom w:val="single" w:sz="4" w:space="0" w:color="auto"/>
              <w:right w:val="single" w:sz="4" w:space="0" w:color="auto"/>
            </w:tcBorders>
            <w:hideMark/>
          </w:tcPr>
          <w:p w14:paraId="36F0ACA4" w14:textId="77777777" w:rsidR="00F261A3" w:rsidRDefault="00F261A3" w:rsidP="0062345D">
            <w:pPr>
              <w:spacing w:after="200" w:line="276" w:lineRule="auto"/>
              <w:contextualSpacing/>
              <w:rPr>
                <w:rFonts w:ascii="Arial" w:hAnsi="Arial" w:cs="Arial"/>
                <w:b/>
                <w:sz w:val="22"/>
                <w:szCs w:val="22"/>
                <w:lang w:eastAsia="en-US"/>
              </w:rPr>
            </w:pPr>
            <w:r>
              <w:rPr>
                <w:rFonts w:ascii="Arial" w:hAnsi="Arial" w:cs="Arial"/>
                <w:b/>
                <w:sz w:val="22"/>
                <w:szCs w:val="22"/>
                <w:lang w:eastAsia="en-US"/>
              </w:rPr>
              <w:t xml:space="preserve">24.4.2 Počet institucí veřejné správy zastoupených na konferenci evaluačních jednotek pořádané evaluační jednotkou </w:t>
            </w:r>
            <w:r w:rsidRPr="00890762">
              <w:rPr>
                <w:rFonts w:ascii="Arial" w:hAnsi="Arial" w:cs="Arial"/>
                <w:b/>
                <w:sz w:val="22"/>
                <w:szCs w:val="22"/>
                <w:lang w:eastAsia="en-US"/>
              </w:rPr>
              <w:t>Národního orgánu pro koordinaci</w:t>
            </w:r>
            <w:r>
              <w:rPr>
                <w:rFonts w:ascii="Arial" w:hAnsi="Arial" w:cs="Arial"/>
                <w:b/>
                <w:sz w:val="22"/>
                <w:szCs w:val="22"/>
                <w:lang w:eastAsia="en-US"/>
              </w:rPr>
              <w:t>.</w:t>
            </w:r>
          </w:p>
        </w:tc>
      </w:tr>
      <w:tr w:rsidR="00F261A3" w14:paraId="39EBFB69"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2AF369C3" w14:textId="77777777" w:rsidR="00F261A3" w:rsidRDefault="00F261A3" w:rsidP="0062345D">
            <w:pPr>
              <w:rPr>
                <w:rFonts w:ascii="Arial" w:hAnsi="Arial" w:cs="Arial"/>
                <w:sz w:val="22"/>
                <w:szCs w:val="22"/>
                <w:lang w:eastAsia="en-US"/>
              </w:rPr>
            </w:pPr>
            <w:r>
              <w:rPr>
                <w:rFonts w:ascii="Arial" w:hAnsi="Arial" w:cs="Arial"/>
                <w:sz w:val="22"/>
                <w:szCs w:val="22"/>
                <w:lang w:eastAsia="en-US"/>
              </w:rPr>
              <w:t xml:space="preserve">Stručná definice: </w:t>
            </w:r>
          </w:p>
        </w:tc>
        <w:tc>
          <w:tcPr>
            <w:tcW w:w="6486" w:type="dxa"/>
            <w:tcBorders>
              <w:top w:val="single" w:sz="4" w:space="0" w:color="auto"/>
              <w:left w:val="single" w:sz="4" w:space="0" w:color="auto"/>
              <w:bottom w:val="single" w:sz="4" w:space="0" w:color="auto"/>
              <w:right w:val="single" w:sz="4" w:space="0" w:color="auto"/>
            </w:tcBorders>
          </w:tcPr>
          <w:p w14:paraId="572D2386" w14:textId="77777777" w:rsidR="00F261A3" w:rsidRDefault="00F261A3" w:rsidP="00642448">
            <w:pPr>
              <w:jc w:val="both"/>
              <w:rPr>
                <w:rFonts w:ascii="Arial" w:hAnsi="Arial" w:cs="Arial"/>
                <w:sz w:val="22"/>
                <w:szCs w:val="22"/>
                <w:lang w:eastAsia="en-US"/>
              </w:rPr>
            </w:pPr>
            <w:r>
              <w:rPr>
                <w:rFonts w:ascii="Arial" w:hAnsi="Arial" w:cs="Arial"/>
                <w:sz w:val="22"/>
                <w:szCs w:val="22"/>
                <w:lang w:eastAsia="en-US"/>
              </w:rPr>
              <w:t>Počet institucí veřejné správy zastoupených na konferenci evaluačních jednotek pořádané evaluační jednotkou Národního orgánu pro koordinaci (NOK)</w:t>
            </w:r>
          </w:p>
          <w:p w14:paraId="79B8A2AB" w14:textId="77777777" w:rsidR="00F261A3" w:rsidRDefault="00F261A3" w:rsidP="00642448">
            <w:pPr>
              <w:jc w:val="both"/>
              <w:rPr>
                <w:rFonts w:ascii="Arial" w:hAnsi="Arial" w:cs="Arial"/>
                <w:sz w:val="22"/>
                <w:szCs w:val="22"/>
                <w:lang w:eastAsia="en-US"/>
              </w:rPr>
            </w:pPr>
          </w:p>
          <w:p w14:paraId="3B4575E7" w14:textId="77777777" w:rsidR="00F261A3" w:rsidRDefault="00F261A3" w:rsidP="00642448">
            <w:pPr>
              <w:jc w:val="both"/>
              <w:rPr>
                <w:rFonts w:ascii="Arial" w:hAnsi="Arial" w:cs="Arial"/>
                <w:sz w:val="22"/>
                <w:szCs w:val="22"/>
                <w:lang w:eastAsia="en-US"/>
              </w:rPr>
            </w:pPr>
            <w:r>
              <w:rPr>
                <w:rFonts w:ascii="Arial" w:hAnsi="Arial" w:cs="Arial"/>
                <w:sz w:val="22"/>
                <w:szCs w:val="22"/>
                <w:lang w:eastAsia="en-US"/>
              </w:rPr>
              <w:t>Kvalitativní aspekt: problémy identifikované v diskusi na konferenci; počet a typ zastoupených organizačních útvarů</w:t>
            </w:r>
          </w:p>
          <w:p w14:paraId="72C8FB74" w14:textId="77777777" w:rsidR="00F261A3" w:rsidRDefault="00F261A3" w:rsidP="00642448">
            <w:pPr>
              <w:jc w:val="both"/>
              <w:rPr>
                <w:rFonts w:ascii="Arial" w:hAnsi="Arial" w:cs="Arial"/>
                <w:sz w:val="22"/>
                <w:szCs w:val="22"/>
                <w:lang w:eastAsia="en-US"/>
              </w:rPr>
            </w:pPr>
          </w:p>
          <w:p w14:paraId="2363777F" w14:textId="77777777" w:rsidR="00F261A3" w:rsidRDefault="00F261A3" w:rsidP="00642448">
            <w:pPr>
              <w:jc w:val="both"/>
              <w:rPr>
                <w:rFonts w:ascii="Arial" w:hAnsi="Arial" w:cs="Arial"/>
                <w:sz w:val="22"/>
                <w:szCs w:val="22"/>
                <w:lang w:eastAsia="en-US"/>
              </w:rPr>
            </w:pPr>
            <w:r>
              <w:rPr>
                <w:rFonts w:ascii="Arial" w:hAnsi="Arial" w:cs="Arial"/>
                <w:sz w:val="22"/>
                <w:szCs w:val="22"/>
                <w:lang w:eastAsia="en-US"/>
              </w:rPr>
              <w:t>Brát v potaz také konferenci České evaluační společnosti.</w:t>
            </w:r>
          </w:p>
        </w:tc>
      </w:tr>
      <w:tr w:rsidR="00F261A3" w14:paraId="42EEC1A5"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2D18AE6E" w14:textId="77777777" w:rsidR="00F261A3" w:rsidRDefault="00F261A3" w:rsidP="0062345D">
            <w:pPr>
              <w:rPr>
                <w:rFonts w:ascii="Arial" w:hAnsi="Arial" w:cs="Arial"/>
                <w:sz w:val="22"/>
                <w:szCs w:val="22"/>
                <w:lang w:eastAsia="en-US"/>
              </w:rPr>
            </w:pPr>
            <w:r>
              <w:rPr>
                <w:rFonts w:ascii="Arial" w:hAnsi="Arial" w:cs="Arial"/>
                <w:sz w:val="22"/>
                <w:szCs w:val="22"/>
                <w:lang w:eastAsia="en-US"/>
              </w:rPr>
              <w:t>Jednotka:</w:t>
            </w:r>
          </w:p>
        </w:tc>
        <w:tc>
          <w:tcPr>
            <w:tcW w:w="6486" w:type="dxa"/>
            <w:tcBorders>
              <w:top w:val="single" w:sz="4" w:space="0" w:color="auto"/>
              <w:left w:val="single" w:sz="4" w:space="0" w:color="auto"/>
              <w:bottom w:val="single" w:sz="4" w:space="0" w:color="auto"/>
              <w:right w:val="single" w:sz="4" w:space="0" w:color="auto"/>
            </w:tcBorders>
            <w:hideMark/>
          </w:tcPr>
          <w:p w14:paraId="26E89026" w14:textId="77777777" w:rsidR="00F261A3" w:rsidRDefault="00F261A3" w:rsidP="00642448">
            <w:pPr>
              <w:jc w:val="both"/>
              <w:rPr>
                <w:rFonts w:ascii="Arial" w:hAnsi="Arial" w:cs="Arial"/>
                <w:sz w:val="22"/>
                <w:szCs w:val="22"/>
                <w:lang w:eastAsia="en-US"/>
              </w:rPr>
            </w:pPr>
            <w:r>
              <w:rPr>
                <w:rFonts w:ascii="Arial" w:hAnsi="Arial" w:cs="Arial"/>
                <w:sz w:val="22"/>
                <w:szCs w:val="22"/>
                <w:lang w:eastAsia="en-US"/>
              </w:rPr>
              <w:t>Počet</w:t>
            </w:r>
          </w:p>
        </w:tc>
      </w:tr>
      <w:tr w:rsidR="00F261A3" w14:paraId="0CFEB777"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5C87A77D" w14:textId="77777777" w:rsidR="00F261A3" w:rsidRDefault="00F261A3" w:rsidP="0062345D">
            <w:pPr>
              <w:rPr>
                <w:rFonts w:ascii="Arial" w:hAnsi="Arial" w:cs="Arial"/>
                <w:sz w:val="22"/>
                <w:szCs w:val="22"/>
                <w:lang w:eastAsia="en-US"/>
              </w:rPr>
            </w:pPr>
            <w:r>
              <w:rPr>
                <w:rFonts w:ascii="Arial" w:hAnsi="Arial" w:cs="Arial"/>
                <w:sz w:val="22"/>
                <w:szCs w:val="22"/>
                <w:lang w:eastAsia="en-US"/>
              </w:rPr>
              <w:t xml:space="preserve">Gestor: </w:t>
            </w:r>
          </w:p>
        </w:tc>
        <w:tc>
          <w:tcPr>
            <w:tcW w:w="6486" w:type="dxa"/>
            <w:tcBorders>
              <w:top w:val="single" w:sz="4" w:space="0" w:color="auto"/>
              <w:left w:val="single" w:sz="4" w:space="0" w:color="auto"/>
              <w:bottom w:val="single" w:sz="4" w:space="0" w:color="auto"/>
              <w:right w:val="single" w:sz="4" w:space="0" w:color="auto"/>
            </w:tcBorders>
            <w:hideMark/>
          </w:tcPr>
          <w:p w14:paraId="5B314A5D" w14:textId="77777777" w:rsidR="00F261A3" w:rsidRDefault="00F261A3" w:rsidP="00642448">
            <w:pPr>
              <w:jc w:val="both"/>
              <w:rPr>
                <w:rFonts w:ascii="Arial" w:hAnsi="Arial" w:cs="Arial"/>
                <w:sz w:val="22"/>
                <w:szCs w:val="22"/>
                <w:lang w:eastAsia="en-US"/>
              </w:rPr>
            </w:pPr>
            <w:r>
              <w:rPr>
                <w:rFonts w:ascii="Arial" w:hAnsi="Arial" w:cs="Arial"/>
                <w:sz w:val="22"/>
                <w:szCs w:val="22"/>
                <w:lang w:eastAsia="en-US"/>
              </w:rPr>
              <w:t>Ministerstvo pro místní rozvoj</w:t>
            </w:r>
          </w:p>
        </w:tc>
      </w:tr>
      <w:tr w:rsidR="00F261A3" w14:paraId="6107A358"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22D1165E" w14:textId="77777777" w:rsidR="00F261A3" w:rsidRDefault="00F261A3" w:rsidP="0062345D">
            <w:pPr>
              <w:rPr>
                <w:rFonts w:ascii="Arial" w:hAnsi="Arial" w:cs="Arial"/>
                <w:sz w:val="22"/>
                <w:szCs w:val="22"/>
                <w:lang w:eastAsia="en-US"/>
              </w:rPr>
            </w:pPr>
            <w:r>
              <w:rPr>
                <w:rFonts w:ascii="Arial" w:hAnsi="Arial" w:cs="Arial"/>
                <w:sz w:val="22"/>
                <w:szCs w:val="22"/>
                <w:lang w:eastAsia="en-US"/>
              </w:rPr>
              <w:t xml:space="preserve">Význam indikátoru: </w:t>
            </w:r>
          </w:p>
        </w:tc>
        <w:tc>
          <w:tcPr>
            <w:tcW w:w="6486" w:type="dxa"/>
            <w:tcBorders>
              <w:top w:val="single" w:sz="4" w:space="0" w:color="auto"/>
              <w:left w:val="single" w:sz="4" w:space="0" w:color="auto"/>
              <w:bottom w:val="single" w:sz="4" w:space="0" w:color="auto"/>
              <w:right w:val="single" w:sz="4" w:space="0" w:color="auto"/>
            </w:tcBorders>
          </w:tcPr>
          <w:p w14:paraId="4A53C839" w14:textId="5EEA2C47" w:rsidR="00F261A3" w:rsidRDefault="00F261A3" w:rsidP="00642448">
            <w:pPr>
              <w:jc w:val="both"/>
              <w:rPr>
                <w:rFonts w:ascii="Arial" w:hAnsi="Arial" w:cs="Arial"/>
                <w:sz w:val="22"/>
                <w:szCs w:val="22"/>
                <w:lang w:eastAsia="en-US"/>
              </w:rPr>
            </w:pPr>
            <w:r>
              <w:rPr>
                <w:rFonts w:ascii="Arial" w:hAnsi="Arial" w:cs="Arial"/>
                <w:sz w:val="22"/>
                <w:szCs w:val="22"/>
                <w:lang w:eastAsia="en-US"/>
              </w:rPr>
              <w:t>Dlouhodobá efektivita vládnutí: Evaluace v české veřejné správě nyní probíhají primárně v souvislosti s </w:t>
            </w:r>
            <w:r w:rsidR="008E3683">
              <w:rPr>
                <w:rFonts w:ascii="Arial" w:hAnsi="Arial" w:cs="Arial"/>
                <w:sz w:val="22"/>
                <w:szCs w:val="22"/>
                <w:lang w:eastAsia="en-US"/>
              </w:rPr>
              <w:t>ESIF</w:t>
            </w:r>
            <w:r>
              <w:rPr>
                <w:rFonts w:ascii="Arial" w:hAnsi="Arial" w:cs="Arial"/>
                <w:sz w:val="22"/>
                <w:szCs w:val="22"/>
                <w:lang w:eastAsia="en-US"/>
              </w:rPr>
              <w:t xml:space="preserve"> a v nejbližších letech se to nezmění, proto využito prostředí ESIF a NOK. Evaluační konference NOK je přístupná i pracovníkům, kteří nejsou přímo součástí ESIF.</w:t>
            </w:r>
          </w:p>
          <w:p w14:paraId="0B3515C4" w14:textId="77777777" w:rsidR="00F261A3" w:rsidRDefault="00F261A3" w:rsidP="00642448">
            <w:pPr>
              <w:jc w:val="both"/>
              <w:rPr>
                <w:rFonts w:ascii="Arial" w:hAnsi="Arial" w:cs="Arial"/>
                <w:sz w:val="22"/>
                <w:szCs w:val="22"/>
                <w:lang w:eastAsia="en-US"/>
              </w:rPr>
            </w:pPr>
          </w:p>
          <w:p w14:paraId="0E90B8A1" w14:textId="77777777" w:rsidR="00F261A3" w:rsidRDefault="00F261A3" w:rsidP="00642448">
            <w:pPr>
              <w:jc w:val="both"/>
              <w:rPr>
                <w:rFonts w:ascii="Arial" w:hAnsi="Arial" w:cs="Arial"/>
                <w:sz w:val="22"/>
                <w:szCs w:val="22"/>
                <w:lang w:eastAsia="en-US"/>
              </w:rPr>
            </w:pPr>
            <w:r>
              <w:rPr>
                <w:rFonts w:ascii="Arial" w:hAnsi="Arial" w:cs="Arial"/>
                <w:sz w:val="22"/>
                <w:szCs w:val="22"/>
                <w:lang w:eastAsia="en-US"/>
              </w:rPr>
              <w:t>Obecně k významu indikátoru viz indikátor 24.4.1</w:t>
            </w:r>
          </w:p>
        </w:tc>
      </w:tr>
      <w:tr w:rsidR="00F261A3" w14:paraId="0EF98842"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7D126345" w14:textId="77777777" w:rsidR="00F261A3" w:rsidRDefault="00F261A3" w:rsidP="0062345D">
            <w:pPr>
              <w:rPr>
                <w:rFonts w:ascii="Arial" w:hAnsi="Arial" w:cs="Arial"/>
                <w:sz w:val="22"/>
                <w:szCs w:val="22"/>
                <w:lang w:eastAsia="en-US"/>
              </w:rPr>
            </w:pPr>
            <w:r>
              <w:rPr>
                <w:rFonts w:ascii="Arial" w:hAnsi="Arial" w:cs="Arial"/>
                <w:sz w:val="22"/>
                <w:szCs w:val="22"/>
                <w:lang w:eastAsia="en-US"/>
              </w:rPr>
              <w:lastRenderedPageBreak/>
              <w:t xml:space="preserve">Časová řada: </w:t>
            </w:r>
          </w:p>
        </w:tc>
        <w:tc>
          <w:tcPr>
            <w:tcW w:w="6486" w:type="dxa"/>
            <w:tcBorders>
              <w:top w:val="single" w:sz="4" w:space="0" w:color="auto"/>
              <w:left w:val="single" w:sz="4" w:space="0" w:color="auto"/>
              <w:bottom w:val="single" w:sz="4" w:space="0" w:color="auto"/>
              <w:right w:val="single" w:sz="4" w:space="0" w:color="auto"/>
            </w:tcBorders>
            <w:hideMark/>
          </w:tcPr>
          <w:p w14:paraId="45775B62" w14:textId="77777777" w:rsidR="00F261A3" w:rsidRDefault="00F261A3" w:rsidP="00642448">
            <w:pPr>
              <w:jc w:val="both"/>
              <w:rPr>
                <w:rFonts w:ascii="Arial" w:hAnsi="Arial" w:cs="Arial"/>
                <w:sz w:val="22"/>
                <w:szCs w:val="22"/>
                <w:lang w:eastAsia="en-US"/>
              </w:rPr>
            </w:pPr>
            <w:r>
              <w:rPr>
                <w:rFonts w:ascii="Arial" w:hAnsi="Arial" w:cs="Arial"/>
                <w:sz w:val="22"/>
                <w:szCs w:val="22"/>
                <w:lang w:eastAsia="en-US"/>
              </w:rPr>
              <w:t>Od roku 2015</w:t>
            </w:r>
          </w:p>
        </w:tc>
      </w:tr>
      <w:tr w:rsidR="00F261A3" w14:paraId="48E4D202"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15ED14A9" w14:textId="77777777" w:rsidR="00F261A3" w:rsidRDefault="00F261A3" w:rsidP="0062345D">
            <w:pPr>
              <w:rPr>
                <w:rFonts w:ascii="Arial" w:hAnsi="Arial" w:cs="Arial"/>
                <w:sz w:val="22"/>
                <w:szCs w:val="22"/>
                <w:lang w:eastAsia="en-US"/>
              </w:rPr>
            </w:pPr>
            <w:r>
              <w:rPr>
                <w:rFonts w:ascii="Arial" w:hAnsi="Arial" w:cs="Arial"/>
                <w:sz w:val="22"/>
                <w:szCs w:val="22"/>
                <w:lang w:eastAsia="en-US"/>
              </w:rPr>
              <w:t xml:space="preserve">Frekvence výstupu: </w:t>
            </w:r>
          </w:p>
        </w:tc>
        <w:tc>
          <w:tcPr>
            <w:tcW w:w="6486" w:type="dxa"/>
            <w:tcBorders>
              <w:top w:val="single" w:sz="4" w:space="0" w:color="auto"/>
              <w:left w:val="single" w:sz="4" w:space="0" w:color="auto"/>
              <w:bottom w:val="single" w:sz="4" w:space="0" w:color="auto"/>
              <w:right w:val="single" w:sz="4" w:space="0" w:color="auto"/>
            </w:tcBorders>
            <w:hideMark/>
          </w:tcPr>
          <w:p w14:paraId="433E5237" w14:textId="77777777" w:rsidR="00F261A3" w:rsidRDefault="00F261A3" w:rsidP="00642448">
            <w:pPr>
              <w:jc w:val="both"/>
              <w:rPr>
                <w:rFonts w:ascii="Arial" w:hAnsi="Arial" w:cs="Arial"/>
                <w:sz w:val="22"/>
                <w:szCs w:val="22"/>
                <w:lang w:eastAsia="en-US"/>
              </w:rPr>
            </w:pPr>
            <w:r>
              <w:rPr>
                <w:rFonts w:ascii="Arial" w:hAnsi="Arial" w:cs="Arial"/>
                <w:sz w:val="22"/>
                <w:szCs w:val="22"/>
                <w:lang w:eastAsia="en-US"/>
              </w:rPr>
              <w:t xml:space="preserve">Ročně </w:t>
            </w:r>
          </w:p>
        </w:tc>
      </w:tr>
      <w:tr w:rsidR="00F261A3" w14:paraId="534199EB" w14:textId="77777777" w:rsidTr="0062345D">
        <w:trPr>
          <w:trHeight w:val="70"/>
        </w:trPr>
        <w:tc>
          <w:tcPr>
            <w:tcW w:w="2802" w:type="dxa"/>
            <w:tcBorders>
              <w:top w:val="single" w:sz="4" w:space="0" w:color="auto"/>
              <w:left w:val="single" w:sz="4" w:space="0" w:color="auto"/>
              <w:bottom w:val="single" w:sz="4" w:space="0" w:color="auto"/>
              <w:right w:val="single" w:sz="4" w:space="0" w:color="auto"/>
            </w:tcBorders>
            <w:hideMark/>
          </w:tcPr>
          <w:p w14:paraId="0D598241" w14:textId="77777777" w:rsidR="00F261A3" w:rsidRDefault="00F261A3" w:rsidP="0062345D">
            <w:pPr>
              <w:rPr>
                <w:rFonts w:ascii="Arial" w:hAnsi="Arial" w:cs="Arial"/>
                <w:sz w:val="22"/>
                <w:szCs w:val="22"/>
                <w:lang w:eastAsia="en-US"/>
              </w:rPr>
            </w:pPr>
            <w:r>
              <w:rPr>
                <w:rFonts w:ascii="Arial" w:hAnsi="Arial" w:cs="Arial"/>
                <w:sz w:val="22"/>
                <w:szCs w:val="22"/>
                <w:lang w:eastAsia="en-US"/>
              </w:rPr>
              <w:t xml:space="preserve">Členění indikátoru: </w:t>
            </w:r>
          </w:p>
        </w:tc>
        <w:tc>
          <w:tcPr>
            <w:tcW w:w="6486" w:type="dxa"/>
            <w:tcBorders>
              <w:top w:val="single" w:sz="4" w:space="0" w:color="auto"/>
              <w:left w:val="single" w:sz="4" w:space="0" w:color="auto"/>
              <w:bottom w:val="single" w:sz="4" w:space="0" w:color="auto"/>
              <w:right w:val="single" w:sz="4" w:space="0" w:color="auto"/>
            </w:tcBorders>
            <w:hideMark/>
          </w:tcPr>
          <w:p w14:paraId="3DE69DD4" w14:textId="77777777" w:rsidR="00F261A3" w:rsidRDefault="00F261A3" w:rsidP="0062345D">
            <w:pPr>
              <w:rPr>
                <w:rFonts w:ascii="Arial" w:hAnsi="Arial" w:cs="Arial"/>
                <w:sz w:val="22"/>
                <w:szCs w:val="22"/>
                <w:lang w:eastAsia="en-US"/>
              </w:rPr>
            </w:pPr>
            <w:r>
              <w:rPr>
                <w:rFonts w:ascii="Arial" w:hAnsi="Arial" w:cs="Arial"/>
                <w:sz w:val="22"/>
                <w:szCs w:val="22"/>
                <w:lang w:eastAsia="en-US"/>
              </w:rPr>
              <w:t>-</w:t>
            </w:r>
          </w:p>
        </w:tc>
      </w:tr>
      <w:tr w:rsidR="00F261A3" w14:paraId="79A75529" w14:textId="77777777" w:rsidTr="00642448">
        <w:trPr>
          <w:trHeight w:val="78"/>
        </w:trPr>
        <w:tc>
          <w:tcPr>
            <w:tcW w:w="2802" w:type="dxa"/>
            <w:tcBorders>
              <w:top w:val="single" w:sz="4" w:space="0" w:color="auto"/>
              <w:left w:val="single" w:sz="4" w:space="0" w:color="auto"/>
              <w:bottom w:val="single" w:sz="4" w:space="0" w:color="auto"/>
              <w:right w:val="single" w:sz="4" w:space="0" w:color="auto"/>
            </w:tcBorders>
            <w:hideMark/>
          </w:tcPr>
          <w:p w14:paraId="16BAA64A" w14:textId="77777777" w:rsidR="00F261A3" w:rsidRDefault="00F261A3" w:rsidP="0062345D">
            <w:pPr>
              <w:rPr>
                <w:rFonts w:ascii="Arial" w:hAnsi="Arial" w:cs="Arial"/>
                <w:sz w:val="22"/>
                <w:szCs w:val="22"/>
                <w:lang w:eastAsia="en-US"/>
              </w:rPr>
            </w:pPr>
            <w:r>
              <w:rPr>
                <w:rFonts w:ascii="Arial" w:hAnsi="Arial" w:cs="Arial"/>
                <w:sz w:val="22"/>
                <w:szCs w:val="22"/>
                <w:lang w:eastAsia="en-US"/>
              </w:rPr>
              <w:t>Mezinárodní srovnání:</w:t>
            </w:r>
          </w:p>
        </w:tc>
        <w:tc>
          <w:tcPr>
            <w:tcW w:w="6486" w:type="dxa"/>
            <w:tcBorders>
              <w:top w:val="single" w:sz="4" w:space="0" w:color="auto"/>
              <w:left w:val="single" w:sz="4" w:space="0" w:color="auto"/>
              <w:bottom w:val="single" w:sz="4" w:space="0" w:color="auto"/>
              <w:right w:val="single" w:sz="4" w:space="0" w:color="auto"/>
            </w:tcBorders>
            <w:hideMark/>
          </w:tcPr>
          <w:p w14:paraId="118A172A" w14:textId="77777777" w:rsidR="00F261A3" w:rsidRDefault="00F261A3" w:rsidP="0062345D">
            <w:pPr>
              <w:rPr>
                <w:rFonts w:ascii="Arial" w:hAnsi="Arial" w:cs="Arial"/>
                <w:sz w:val="22"/>
                <w:szCs w:val="22"/>
                <w:lang w:eastAsia="en-US"/>
              </w:rPr>
            </w:pPr>
            <w:r>
              <w:rPr>
                <w:rFonts w:ascii="Arial" w:hAnsi="Arial" w:cs="Arial"/>
                <w:sz w:val="22"/>
                <w:szCs w:val="22"/>
                <w:lang w:eastAsia="en-US"/>
              </w:rPr>
              <w:t>-</w:t>
            </w:r>
          </w:p>
        </w:tc>
      </w:tr>
    </w:tbl>
    <w:p w14:paraId="237AFADC" w14:textId="77777777" w:rsidR="00F261A3" w:rsidRDefault="00F261A3" w:rsidP="00846A07">
      <w:pPr>
        <w:pStyle w:val="r2030cle"/>
        <w:numPr>
          <w:ilvl w:val="0"/>
          <w:numId w:val="17"/>
        </w:numPr>
        <w:ind w:left="567" w:hanging="425"/>
        <w:jc w:val="both"/>
      </w:pPr>
      <w:r>
        <w:t>Tvůrci a tvůrkyně veřejných politik mají kvalitní a snadno dostupná data a informace pro potřeby rozhodování.</w:t>
      </w:r>
    </w:p>
    <w:p w14:paraId="3FF6923A" w14:textId="538A4393" w:rsidR="00F261A3" w:rsidRDefault="00F261A3" w:rsidP="00846A07">
      <w:pPr>
        <w:pStyle w:val="r2030podcle"/>
        <w:numPr>
          <w:ilvl w:val="1"/>
          <w:numId w:val="17"/>
        </w:numPr>
        <w:ind w:left="567" w:hanging="425"/>
        <w:jc w:val="both"/>
      </w:pPr>
      <w:r>
        <w:t>Uvnitř veřejné správy se dále rozvine systém sběru a sdílení dat a informací, které umožňují analýzu problémů, tvorbu variant a odhad dopadů</w:t>
      </w:r>
      <w:r w:rsidR="008B7571">
        <w:t>.</w:t>
      </w:r>
      <w:bookmarkStart w:id="7" w:name="_GoBack"/>
      <w:bookmarkEnd w:id="7"/>
    </w:p>
    <w:tbl>
      <w:tblPr>
        <w:tblStyle w:val="Mkatabulky"/>
        <w:tblW w:w="0" w:type="auto"/>
        <w:tblLook w:val="04A0" w:firstRow="1" w:lastRow="0" w:firstColumn="1" w:lastColumn="0" w:noHBand="0" w:noVBand="1"/>
      </w:tblPr>
      <w:tblGrid>
        <w:gridCol w:w="2802"/>
        <w:gridCol w:w="6486"/>
      </w:tblGrid>
      <w:tr w:rsidR="00F261A3" w14:paraId="5FE67709"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71549FC5"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Název a označení indikátoru: </w:t>
            </w:r>
          </w:p>
        </w:tc>
        <w:tc>
          <w:tcPr>
            <w:tcW w:w="6486" w:type="dxa"/>
            <w:tcBorders>
              <w:top w:val="single" w:sz="4" w:space="0" w:color="auto"/>
              <w:left w:val="single" w:sz="4" w:space="0" w:color="auto"/>
              <w:bottom w:val="single" w:sz="4" w:space="0" w:color="auto"/>
              <w:right w:val="single" w:sz="4" w:space="0" w:color="auto"/>
            </w:tcBorders>
            <w:hideMark/>
          </w:tcPr>
          <w:p w14:paraId="56824D90" w14:textId="77777777" w:rsidR="00F261A3" w:rsidRDefault="00F261A3" w:rsidP="0062345D">
            <w:pPr>
              <w:spacing w:line="276" w:lineRule="auto"/>
              <w:rPr>
                <w:rFonts w:ascii="Arial" w:hAnsi="Arial" w:cs="Arial"/>
                <w:b/>
                <w:sz w:val="22"/>
                <w:szCs w:val="22"/>
                <w:lang w:eastAsia="en-US"/>
              </w:rPr>
            </w:pPr>
            <w:r>
              <w:rPr>
                <w:rFonts w:ascii="Arial" w:hAnsi="Arial" w:cs="Arial"/>
                <w:b/>
                <w:sz w:val="22"/>
                <w:szCs w:val="22"/>
                <w:lang w:eastAsia="en-US"/>
              </w:rPr>
              <w:t>25.1.1 Schválené a do Databáze strategií vložené – nové i aktualizované – strategické dokumenty</w:t>
            </w:r>
          </w:p>
        </w:tc>
      </w:tr>
      <w:tr w:rsidR="00F261A3" w14:paraId="4A9B2259"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2771796D"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Stručná definice: </w:t>
            </w:r>
          </w:p>
        </w:tc>
        <w:tc>
          <w:tcPr>
            <w:tcW w:w="6486" w:type="dxa"/>
            <w:tcBorders>
              <w:top w:val="single" w:sz="4" w:space="0" w:color="auto"/>
              <w:left w:val="single" w:sz="4" w:space="0" w:color="auto"/>
              <w:bottom w:val="single" w:sz="4" w:space="0" w:color="auto"/>
              <w:right w:val="single" w:sz="4" w:space="0" w:color="auto"/>
            </w:tcBorders>
            <w:hideMark/>
          </w:tcPr>
          <w:p w14:paraId="474C0651" w14:textId="2F8ABFDF"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 xml:space="preserve">Indikátor 1.3.7. </w:t>
            </w:r>
            <w:r w:rsidR="008E3683">
              <w:rPr>
                <w:rFonts w:ascii="Arial" w:hAnsi="Arial" w:cs="Arial"/>
                <w:sz w:val="22"/>
                <w:szCs w:val="22"/>
                <w:lang w:eastAsia="en-US"/>
              </w:rPr>
              <w:t>SRRVS</w:t>
            </w:r>
            <w:r>
              <w:rPr>
                <w:rFonts w:ascii="Arial" w:hAnsi="Arial" w:cs="Arial"/>
                <w:sz w:val="22"/>
                <w:szCs w:val="22"/>
                <w:lang w:eastAsia="en-US"/>
              </w:rPr>
              <w:t xml:space="preserve"> „Schválené a do Databáze strategií vložené – nové i aktualizované – strategické dokumenty. Pro splnění indikátoru bude také sledováno vkládání do Databáze a % úspěšnosti – rozsah, kvalita a rychlost vložených informací.“</w:t>
            </w:r>
          </w:p>
        </w:tc>
      </w:tr>
      <w:tr w:rsidR="00F261A3" w14:paraId="5594EBCC"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3C8190C4"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Jednotka:</w:t>
            </w:r>
          </w:p>
        </w:tc>
        <w:tc>
          <w:tcPr>
            <w:tcW w:w="6486" w:type="dxa"/>
            <w:tcBorders>
              <w:top w:val="single" w:sz="4" w:space="0" w:color="auto"/>
              <w:left w:val="single" w:sz="4" w:space="0" w:color="auto"/>
              <w:bottom w:val="single" w:sz="4" w:space="0" w:color="auto"/>
              <w:right w:val="single" w:sz="4" w:space="0" w:color="auto"/>
            </w:tcBorders>
            <w:hideMark/>
          </w:tcPr>
          <w:p w14:paraId="519B8046"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Počet</w:t>
            </w:r>
          </w:p>
        </w:tc>
      </w:tr>
      <w:tr w:rsidR="00F261A3" w14:paraId="7BD02F81"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4D26E04D"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Gestor: </w:t>
            </w:r>
          </w:p>
        </w:tc>
        <w:tc>
          <w:tcPr>
            <w:tcW w:w="6486" w:type="dxa"/>
            <w:tcBorders>
              <w:top w:val="single" w:sz="4" w:space="0" w:color="auto"/>
              <w:left w:val="single" w:sz="4" w:space="0" w:color="auto"/>
              <w:bottom w:val="single" w:sz="4" w:space="0" w:color="auto"/>
              <w:right w:val="single" w:sz="4" w:space="0" w:color="auto"/>
            </w:tcBorders>
            <w:hideMark/>
          </w:tcPr>
          <w:p w14:paraId="6777D917"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Ministerstvo pro místní rozvoj</w:t>
            </w:r>
          </w:p>
        </w:tc>
      </w:tr>
      <w:tr w:rsidR="00F261A3" w14:paraId="0555A841"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7CBB5422"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Význam indikátoru: </w:t>
            </w:r>
          </w:p>
        </w:tc>
        <w:tc>
          <w:tcPr>
            <w:tcW w:w="6486" w:type="dxa"/>
            <w:tcBorders>
              <w:top w:val="single" w:sz="4" w:space="0" w:color="auto"/>
              <w:left w:val="single" w:sz="4" w:space="0" w:color="auto"/>
              <w:bottom w:val="single" w:sz="4" w:space="0" w:color="auto"/>
              <w:right w:val="single" w:sz="4" w:space="0" w:color="auto"/>
            </w:tcBorders>
            <w:hideMark/>
          </w:tcPr>
          <w:p w14:paraId="39978853"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 xml:space="preserve">Dlouhodobá efektivita vládnutí: Strategické uvažování jako jeden z klíčových předpokladů soudržnosti veřejných politik, zejména v čase. </w:t>
            </w:r>
          </w:p>
        </w:tc>
      </w:tr>
      <w:tr w:rsidR="00F261A3" w14:paraId="53816B33"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42247FC2"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Časová řada: </w:t>
            </w:r>
          </w:p>
        </w:tc>
        <w:tc>
          <w:tcPr>
            <w:tcW w:w="6486" w:type="dxa"/>
            <w:tcBorders>
              <w:top w:val="single" w:sz="4" w:space="0" w:color="auto"/>
              <w:left w:val="single" w:sz="4" w:space="0" w:color="auto"/>
              <w:bottom w:val="single" w:sz="4" w:space="0" w:color="auto"/>
              <w:right w:val="single" w:sz="4" w:space="0" w:color="auto"/>
            </w:tcBorders>
            <w:hideMark/>
          </w:tcPr>
          <w:p w14:paraId="0D460D85"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Od roku 2015</w:t>
            </w:r>
          </w:p>
        </w:tc>
      </w:tr>
      <w:tr w:rsidR="00F261A3" w14:paraId="323C35F9"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26FA7319"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Frekvence výstupu: </w:t>
            </w:r>
          </w:p>
        </w:tc>
        <w:tc>
          <w:tcPr>
            <w:tcW w:w="6486" w:type="dxa"/>
            <w:tcBorders>
              <w:top w:val="single" w:sz="4" w:space="0" w:color="auto"/>
              <w:left w:val="single" w:sz="4" w:space="0" w:color="auto"/>
              <w:bottom w:val="single" w:sz="4" w:space="0" w:color="auto"/>
              <w:right w:val="single" w:sz="4" w:space="0" w:color="auto"/>
            </w:tcBorders>
            <w:hideMark/>
          </w:tcPr>
          <w:p w14:paraId="711E4B50"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Ročně</w:t>
            </w:r>
          </w:p>
        </w:tc>
      </w:tr>
      <w:tr w:rsidR="00F261A3" w14:paraId="15B7A1CA" w14:textId="77777777" w:rsidTr="0062345D">
        <w:trPr>
          <w:trHeight w:val="70"/>
        </w:trPr>
        <w:tc>
          <w:tcPr>
            <w:tcW w:w="2802" w:type="dxa"/>
            <w:tcBorders>
              <w:top w:val="single" w:sz="4" w:space="0" w:color="auto"/>
              <w:left w:val="single" w:sz="4" w:space="0" w:color="auto"/>
              <w:bottom w:val="single" w:sz="4" w:space="0" w:color="auto"/>
              <w:right w:val="single" w:sz="4" w:space="0" w:color="auto"/>
            </w:tcBorders>
            <w:hideMark/>
          </w:tcPr>
          <w:p w14:paraId="4AEF5950"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Členění indikátoru: </w:t>
            </w:r>
          </w:p>
        </w:tc>
        <w:tc>
          <w:tcPr>
            <w:tcW w:w="6486" w:type="dxa"/>
            <w:tcBorders>
              <w:top w:val="single" w:sz="4" w:space="0" w:color="auto"/>
              <w:left w:val="single" w:sz="4" w:space="0" w:color="auto"/>
              <w:bottom w:val="single" w:sz="4" w:space="0" w:color="auto"/>
              <w:right w:val="single" w:sz="4" w:space="0" w:color="auto"/>
            </w:tcBorders>
            <w:hideMark/>
          </w:tcPr>
          <w:p w14:paraId="5B423351"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w:t>
            </w:r>
          </w:p>
        </w:tc>
      </w:tr>
      <w:tr w:rsidR="00F261A3" w14:paraId="699760D1" w14:textId="77777777" w:rsidTr="0062345D">
        <w:trPr>
          <w:trHeight w:val="70"/>
        </w:trPr>
        <w:tc>
          <w:tcPr>
            <w:tcW w:w="2802" w:type="dxa"/>
            <w:tcBorders>
              <w:top w:val="single" w:sz="4" w:space="0" w:color="auto"/>
              <w:left w:val="single" w:sz="4" w:space="0" w:color="auto"/>
              <w:bottom w:val="single" w:sz="4" w:space="0" w:color="auto"/>
              <w:right w:val="single" w:sz="4" w:space="0" w:color="auto"/>
            </w:tcBorders>
            <w:hideMark/>
          </w:tcPr>
          <w:p w14:paraId="40C6836C"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Mezinárodní srovnání:</w:t>
            </w:r>
          </w:p>
        </w:tc>
        <w:tc>
          <w:tcPr>
            <w:tcW w:w="6486" w:type="dxa"/>
            <w:tcBorders>
              <w:top w:val="single" w:sz="4" w:space="0" w:color="auto"/>
              <w:left w:val="single" w:sz="4" w:space="0" w:color="auto"/>
              <w:bottom w:val="single" w:sz="4" w:space="0" w:color="auto"/>
              <w:right w:val="single" w:sz="4" w:space="0" w:color="auto"/>
            </w:tcBorders>
            <w:hideMark/>
          </w:tcPr>
          <w:p w14:paraId="1AAC9330"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w:t>
            </w:r>
          </w:p>
        </w:tc>
      </w:tr>
    </w:tbl>
    <w:p w14:paraId="6F6A1D98" w14:textId="77777777" w:rsidR="00F261A3" w:rsidRDefault="00F261A3" w:rsidP="0061774A"/>
    <w:tbl>
      <w:tblPr>
        <w:tblStyle w:val="Mkatabulky"/>
        <w:tblW w:w="0" w:type="auto"/>
        <w:shd w:val="pct10" w:color="auto" w:fill="auto"/>
        <w:tblLook w:val="04A0" w:firstRow="1" w:lastRow="0" w:firstColumn="1" w:lastColumn="0" w:noHBand="0" w:noVBand="1"/>
      </w:tblPr>
      <w:tblGrid>
        <w:gridCol w:w="2802"/>
        <w:gridCol w:w="6486"/>
      </w:tblGrid>
      <w:tr w:rsidR="00D64C42" w14:paraId="4FEF26B0" w14:textId="77777777" w:rsidTr="00E20123">
        <w:tc>
          <w:tcPr>
            <w:tcW w:w="2802" w:type="dxa"/>
            <w:shd w:val="pct10" w:color="auto" w:fill="auto"/>
            <w:hideMark/>
          </w:tcPr>
          <w:p w14:paraId="54FE5118" w14:textId="77777777" w:rsidR="00D64C42" w:rsidRDefault="00D64C42" w:rsidP="00E20123">
            <w:pPr>
              <w:spacing w:line="276" w:lineRule="auto"/>
              <w:rPr>
                <w:rFonts w:ascii="Arial" w:hAnsi="Arial" w:cs="Arial"/>
                <w:sz w:val="22"/>
                <w:szCs w:val="22"/>
                <w:lang w:eastAsia="en-US"/>
              </w:rPr>
            </w:pPr>
            <w:r>
              <w:rPr>
                <w:rFonts w:ascii="Arial" w:hAnsi="Arial" w:cs="Arial"/>
                <w:sz w:val="22"/>
                <w:szCs w:val="22"/>
                <w:lang w:eastAsia="en-US"/>
              </w:rPr>
              <w:t xml:space="preserve">Název a označení indikátoru: </w:t>
            </w:r>
          </w:p>
        </w:tc>
        <w:tc>
          <w:tcPr>
            <w:tcW w:w="6486" w:type="dxa"/>
            <w:shd w:val="pct10" w:color="auto" w:fill="auto"/>
            <w:hideMark/>
          </w:tcPr>
          <w:p w14:paraId="3B79EFBE" w14:textId="0A852CF3" w:rsidR="00D64C42" w:rsidRDefault="00D64C42" w:rsidP="00E20123">
            <w:pPr>
              <w:spacing w:line="276" w:lineRule="auto"/>
              <w:rPr>
                <w:rFonts w:ascii="Arial" w:hAnsi="Arial" w:cs="Arial"/>
                <w:b/>
                <w:sz w:val="22"/>
                <w:szCs w:val="22"/>
                <w:lang w:eastAsia="en-US"/>
              </w:rPr>
            </w:pPr>
            <w:r>
              <w:rPr>
                <w:rFonts w:ascii="Arial" w:hAnsi="Arial" w:cs="Arial"/>
                <w:b/>
                <w:sz w:val="22"/>
                <w:szCs w:val="22"/>
                <w:lang w:eastAsia="en-US"/>
              </w:rPr>
              <w:t xml:space="preserve">25.1.2 </w:t>
            </w:r>
            <w:r w:rsidR="00AA08CC">
              <w:rPr>
                <w:rFonts w:ascii="Arial" w:hAnsi="Arial" w:cs="Arial"/>
                <w:b/>
                <w:sz w:val="22"/>
                <w:szCs w:val="22"/>
                <w:lang w:eastAsia="en-US"/>
              </w:rPr>
              <w:t>Počet zveřejněných analýz</w:t>
            </w:r>
          </w:p>
        </w:tc>
      </w:tr>
      <w:tr w:rsidR="00D64C42" w14:paraId="70DC1325" w14:textId="77777777" w:rsidTr="00E20123">
        <w:tc>
          <w:tcPr>
            <w:tcW w:w="2802" w:type="dxa"/>
            <w:shd w:val="pct10" w:color="auto" w:fill="auto"/>
            <w:hideMark/>
          </w:tcPr>
          <w:p w14:paraId="24ABFF89" w14:textId="77777777" w:rsidR="00D64C42" w:rsidRDefault="00D64C42" w:rsidP="00E20123">
            <w:pPr>
              <w:spacing w:line="276" w:lineRule="auto"/>
              <w:rPr>
                <w:rFonts w:ascii="Arial" w:hAnsi="Arial" w:cs="Arial"/>
                <w:sz w:val="22"/>
                <w:szCs w:val="22"/>
                <w:lang w:eastAsia="en-US"/>
              </w:rPr>
            </w:pPr>
            <w:r>
              <w:rPr>
                <w:rFonts w:ascii="Arial" w:hAnsi="Arial" w:cs="Arial"/>
                <w:sz w:val="22"/>
                <w:szCs w:val="22"/>
                <w:lang w:eastAsia="en-US"/>
              </w:rPr>
              <w:t xml:space="preserve">Stručná definice: </w:t>
            </w:r>
          </w:p>
        </w:tc>
        <w:tc>
          <w:tcPr>
            <w:tcW w:w="6486" w:type="dxa"/>
            <w:shd w:val="pct10" w:color="auto" w:fill="auto"/>
          </w:tcPr>
          <w:p w14:paraId="7576FD30" w14:textId="19498601" w:rsidR="00D64C42" w:rsidRDefault="00AA08CC" w:rsidP="00E20123">
            <w:pPr>
              <w:spacing w:line="276" w:lineRule="auto"/>
              <w:rPr>
                <w:rFonts w:ascii="Arial" w:hAnsi="Arial" w:cs="Arial"/>
                <w:sz w:val="22"/>
                <w:szCs w:val="22"/>
                <w:lang w:eastAsia="en-US"/>
              </w:rPr>
            </w:pPr>
            <w:r>
              <w:rPr>
                <w:rFonts w:ascii="Arial" w:hAnsi="Arial" w:cs="Arial"/>
                <w:sz w:val="22"/>
                <w:szCs w:val="22"/>
                <w:lang w:eastAsia="en-US"/>
              </w:rPr>
              <w:t>Výstupový indikátor</w:t>
            </w:r>
          </w:p>
        </w:tc>
      </w:tr>
      <w:tr w:rsidR="00D64C42" w14:paraId="48EFD64A" w14:textId="77777777" w:rsidTr="00E20123">
        <w:tc>
          <w:tcPr>
            <w:tcW w:w="2802" w:type="dxa"/>
            <w:shd w:val="pct10" w:color="auto" w:fill="auto"/>
            <w:hideMark/>
          </w:tcPr>
          <w:p w14:paraId="45D76442" w14:textId="77777777" w:rsidR="00D64C42" w:rsidRDefault="00D64C42" w:rsidP="00E20123">
            <w:pPr>
              <w:spacing w:line="276" w:lineRule="auto"/>
              <w:rPr>
                <w:rFonts w:ascii="Arial" w:hAnsi="Arial" w:cs="Arial"/>
                <w:sz w:val="22"/>
                <w:szCs w:val="22"/>
                <w:lang w:eastAsia="en-US"/>
              </w:rPr>
            </w:pPr>
            <w:r>
              <w:rPr>
                <w:rFonts w:ascii="Arial" w:hAnsi="Arial" w:cs="Arial"/>
                <w:sz w:val="22"/>
                <w:szCs w:val="22"/>
                <w:lang w:eastAsia="en-US"/>
              </w:rPr>
              <w:t>Jednotka:</w:t>
            </w:r>
          </w:p>
        </w:tc>
        <w:tc>
          <w:tcPr>
            <w:tcW w:w="6486" w:type="dxa"/>
            <w:shd w:val="pct10" w:color="auto" w:fill="auto"/>
          </w:tcPr>
          <w:p w14:paraId="732E0E84" w14:textId="43FAE072" w:rsidR="00D64C42" w:rsidRDefault="00AA08CC" w:rsidP="00E20123">
            <w:pPr>
              <w:spacing w:line="276" w:lineRule="auto"/>
              <w:rPr>
                <w:rFonts w:ascii="Arial" w:hAnsi="Arial" w:cs="Arial"/>
                <w:sz w:val="22"/>
                <w:szCs w:val="22"/>
                <w:lang w:eastAsia="en-US"/>
              </w:rPr>
            </w:pPr>
            <w:r>
              <w:rPr>
                <w:rFonts w:ascii="Arial" w:hAnsi="Arial" w:cs="Arial"/>
                <w:sz w:val="22"/>
                <w:szCs w:val="22"/>
                <w:lang w:eastAsia="en-US"/>
              </w:rPr>
              <w:t>Počet</w:t>
            </w:r>
          </w:p>
        </w:tc>
      </w:tr>
      <w:tr w:rsidR="00D64C42" w14:paraId="25A3C0E0" w14:textId="77777777" w:rsidTr="00E20123">
        <w:tc>
          <w:tcPr>
            <w:tcW w:w="2802" w:type="dxa"/>
            <w:shd w:val="pct10" w:color="auto" w:fill="auto"/>
            <w:hideMark/>
          </w:tcPr>
          <w:p w14:paraId="33FCA3EF" w14:textId="77777777" w:rsidR="00D64C42" w:rsidRDefault="00D64C42" w:rsidP="00E20123">
            <w:pPr>
              <w:spacing w:line="276" w:lineRule="auto"/>
              <w:rPr>
                <w:rFonts w:ascii="Arial" w:hAnsi="Arial" w:cs="Arial"/>
                <w:sz w:val="22"/>
                <w:szCs w:val="22"/>
                <w:lang w:eastAsia="en-US"/>
              </w:rPr>
            </w:pPr>
            <w:r>
              <w:rPr>
                <w:rFonts w:ascii="Arial" w:hAnsi="Arial" w:cs="Arial"/>
                <w:sz w:val="22"/>
                <w:szCs w:val="22"/>
                <w:lang w:eastAsia="en-US"/>
              </w:rPr>
              <w:t xml:space="preserve">Gestor: </w:t>
            </w:r>
          </w:p>
        </w:tc>
        <w:tc>
          <w:tcPr>
            <w:tcW w:w="6486" w:type="dxa"/>
            <w:shd w:val="pct10" w:color="auto" w:fill="auto"/>
          </w:tcPr>
          <w:p w14:paraId="7E29D380" w14:textId="0A814105" w:rsidR="00D64C42" w:rsidRDefault="00AA08CC" w:rsidP="00E20123">
            <w:pPr>
              <w:spacing w:line="276" w:lineRule="auto"/>
              <w:rPr>
                <w:rFonts w:ascii="Arial" w:hAnsi="Arial" w:cs="Arial"/>
                <w:sz w:val="22"/>
                <w:szCs w:val="22"/>
                <w:lang w:eastAsia="en-US"/>
              </w:rPr>
            </w:pPr>
            <w:r>
              <w:rPr>
                <w:rFonts w:ascii="Arial" w:hAnsi="Arial" w:cs="Arial"/>
                <w:sz w:val="22"/>
                <w:szCs w:val="22"/>
                <w:lang w:eastAsia="en-US"/>
              </w:rPr>
              <w:t>Ministerstvo vnitra</w:t>
            </w:r>
          </w:p>
        </w:tc>
      </w:tr>
      <w:tr w:rsidR="00D64C42" w14:paraId="7E1859A2" w14:textId="77777777" w:rsidTr="00E20123">
        <w:tc>
          <w:tcPr>
            <w:tcW w:w="2802" w:type="dxa"/>
            <w:shd w:val="pct10" w:color="auto" w:fill="auto"/>
            <w:hideMark/>
          </w:tcPr>
          <w:p w14:paraId="162B1018" w14:textId="77777777" w:rsidR="00D64C42" w:rsidRDefault="00D64C42" w:rsidP="00E20123">
            <w:pPr>
              <w:spacing w:line="276" w:lineRule="auto"/>
              <w:rPr>
                <w:rFonts w:ascii="Arial" w:hAnsi="Arial" w:cs="Arial"/>
                <w:sz w:val="22"/>
                <w:szCs w:val="22"/>
                <w:lang w:eastAsia="en-US"/>
              </w:rPr>
            </w:pPr>
            <w:r>
              <w:rPr>
                <w:rFonts w:ascii="Arial" w:hAnsi="Arial" w:cs="Arial"/>
                <w:sz w:val="22"/>
                <w:szCs w:val="22"/>
                <w:lang w:eastAsia="en-US"/>
              </w:rPr>
              <w:t xml:space="preserve">Význam indikátoru: </w:t>
            </w:r>
          </w:p>
        </w:tc>
        <w:tc>
          <w:tcPr>
            <w:tcW w:w="6486" w:type="dxa"/>
            <w:shd w:val="pct10" w:color="auto" w:fill="auto"/>
          </w:tcPr>
          <w:p w14:paraId="54A704A8" w14:textId="77777777" w:rsidR="00AA08CC" w:rsidRDefault="00AA08CC" w:rsidP="00AA08CC">
            <w:pPr>
              <w:spacing w:line="276" w:lineRule="auto"/>
              <w:rPr>
                <w:rFonts w:ascii="Arial" w:hAnsi="Arial" w:cs="Arial"/>
                <w:sz w:val="22"/>
                <w:szCs w:val="22"/>
                <w:lang w:eastAsia="en-US"/>
              </w:rPr>
            </w:pPr>
            <w:r>
              <w:rPr>
                <w:rFonts w:ascii="Arial" w:hAnsi="Arial" w:cs="Arial"/>
                <w:sz w:val="22"/>
                <w:szCs w:val="22"/>
                <w:lang w:eastAsia="en-US"/>
              </w:rPr>
              <w:t>Dlouhodobá efektivita vládnutí: snadný oběh dat a informací uvnitř veřejné správy jako předpoklad soudržnosti politik a zároveň součást lepší analýzy problémů.</w:t>
            </w:r>
          </w:p>
          <w:p w14:paraId="266A8A9B" w14:textId="77777777" w:rsidR="00AA08CC" w:rsidRDefault="00AA08CC" w:rsidP="00AA08CC">
            <w:pPr>
              <w:spacing w:line="276" w:lineRule="auto"/>
              <w:rPr>
                <w:rFonts w:ascii="Arial" w:hAnsi="Arial" w:cs="Arial"/>
                <w:sz w:val="22"/>
                <w:szCs w:val="22"/>
                <w:lang w:eastAsia="en-US"/>
              </w:rPr>
            </w:pPr>
          </w:p>
          <w:p w14:paraId="0D151D79" w14:textId="1D3B07FD" w:rsidR="00D64C42" w:rsidRDefault="00AA08CC" w:rsidP="00AA08CC">
            <w:pPr>
              <w:spacing w:line="276" w:lineRule="auto"/>
              <w:rPr>
                <w:rFonts w:ascii="Arial" w:hAnsi="Arial" w:cs="Arial"/>
                <w:sz w:val="22"/>
                <w:szCs w:val="22"/>
                <w:lang w:eastAsia="en-US"/>
              </w:rPr>
            </w:pPr>
            <w:r>
              <w:rPr>
                <w:rFonts w:ascii="Arial" w:hAnsi="Arial" w:cs="Arial"/>
                <w:sz w:val="22"/>
                <w:szCs w:val="22"/>
                <w:lang w:eastAsia="en-US"/>
              </w:rPr>
              <w:t xml:space="preserve">Indikátor bude sledovat počet analýz zveřejněných v editovatelné podobě, jejichž seznam bude zpracován ve formátu otevřených dat včetně URL odkazu. Seznam bude evidován a spravován v Národním katalogu otevřených dat. Indikátor bude dopracován ve spolupráci Odboru pro udržitelný rozvoj a Ministerstva vnitra do konce roku 2017.   </w:t>
            </w:r>
          </w:p>
        </w:tc>
      </w:tr>
      <w:tr w:rsidR="00D64C42" w14:paraId="0CDC7E89" w14:textId="77777777" w:rsidTr="00E20123">
        <w:tc>
          <w:tcPr>
            <w:tcW w:w="2802" w:type="dxa"/>
            <w:shd w:val="pct10" w:color="auto" w:fill="auto"/>
            <w:hideMark/>
          </w:tcPr>
          <w:p w14:paraId="0733A247" w14:textId="77777777" w:rsidR="00D64C42" w:rsidRDefault="00D64C42" w:rsidP="00E20123">
            <w:pPr>
              <w:spacing w:line="276" w:lineRule="auto"/>
              <w:rPr>
                <w:rFonts w:ascii="Arial" w:hAnsi="Arial" w:cs="Arial"/>
                <w:sz w:val="22"/>
                <w:szCs w:val="22"/>
                <w:lang w:eastAsia="en-US"/>
              </w:rPr>
            </w:pPr>
            <w:r>
              <w:rPr>
                <w:rFonts w:ascii="Arial" w:hAnsi="Arial" w:cs="Arial"/>
                <w:sz w:val="22"/>
                <w:szCs w:val="22"/>
                <w:lang w:eastAsia="en-US"/>
              </w:rPr>
              <w:t xml:space="preserve">Časová řada: </w:t>
            </w:r>
          </w:p>
        </w:tc>
        <w:tc>
          <w:tcPr>
            <w:tcW w:w="6486" w:type="dxa"/>
            <w:shd w:val="pct10" w:color="auto" w:fill="auto"/>
          </w:tcPr>
          <w:p w14:paraId="62E52C2C" w14:textId="77777777" w:rsidR="00D64C42" w:rsidRDefault="00D64C42" w:rsidP="00E20123">
            <w:pPr>
              <w:spacing w:line="276" w:lineRule="auto"/>
              <w:rPr>
                <w:rFonts w:ascii="Arial" w:hAnsi="Arial" w:cs="Arial"/>
                <w:sz w:val="22"/>
                <w:szCs w:val="22"/>
                <w:lang w:eastAsia="en-US"/>
              </w:rPr>
            </w:pPr>
          </w:p>
        </w:tc>
      </w:tr>
      <w:tr w:rsidR="00D64C42" w14:paraId="14AB15F2" w14:textId="77777777" w:rsidTr="00E20123">
        <w:tc>
          <w:tcPr>
            <w:tcW w:w="2802" w:type="dxa"/>
            <w:shd w:val="pct10" w:color="auto" w:fill="auto"/>
            <w:hideMark/>
          </w:tcPr>
          <w:p w14:paraId="01EF0C7D" w14:textId="77777777" w:rsidR="00D64C42" w:rsidRDefault="00D64C42" w:rsidP="00E20123">
            <w:pPr>
              <w:spacing w:line="276" w:lineRule="auto"/>
              <w:rPr>
                <w:rFonts w:ascii="Arial" w:hAnsi="Arial" w:cs="Arial"/>
                <w:sz w:val="22"/>
                <w:szCs w:val="22"/>
                <w:lang w:eastAsia="en-US"/>
              </w:rPr>
            </w:pPr>
            <w:r>
              <w:rPr>
                <w:rFonts w:ascii="Arial" w:hAnsi="Arial" w:cs="Arial"/>
                <w:sz w:val="22"/>
                <w:szCs w:val="22"/>
                <w:lang w:eastAsia="en-US"/>
              </w:rPr>
              <w:t xml:space="preserve">Frekvence výstupu: </w:t>
            </w:r>
          </w:p>
        </w:tc>
        <w:tc>
          <w:tcPr>
            <w:tcW w:w="6486" w:type="dxa"/>
            <w:shd w:val="pct10" w:color="auto" w:fill="auto"/>
          </w:tcPr>
          <w:p w14:paraId="4ABECC29" w14:textId="34A6A48A" w:rsidR="00D64C42" w:rsidRDefault="00AA08CC" w:rsidP="00E20123">
            <w:pPr>
              <w:spacing w:line="276" w:lineRule="auto"/>
              <w:rPr>
                <w:rFonts w:ascii="Arial" w:hAnsi="Arial" w:cs="Arial"/>
                <w:sz w:val="22"/>
                <w:szCs w:val="22"/>
                <w:lang w:eastAsia="en-US"/>
              </w:rPr>
            </w:pPr>
            <w:r>
              <w:rPr>
                <w:rFonts w:ascii="Arial" w:hAnsi="Arial" w:cs="Arial"/>
                <w:sz w:val="22"/>
                <w:szCs w:val="22"/>
                <w:lang w:eastAsia="en-US"/>
              </w:rPr>
              <w:t>-</w:t>
            </w:r>
          </w:p>
        </w:tc>
      </w:tr>
      <w:tr w:rsidR="00D64C42" w14:paraId="2EB890BB" w14:textId="77777777" w:rsidTr="00E20123">
        <w:trPr>
          <w:trHeight w:val="70"/>
        </w:trPr>
        <w:tc>
          <w:tcPr>
            <w:tcW w:w="2802" w:type="dxa"/>
            <w:shd w:val="pct10" w:color="auto" w:fill="auto"/>
            <w:hideMark/>
          </w:tcPr>
          <w:p w14:paraId="02758F41" w14:textId="77777777" w:rsidR="00D64C42" w:rsidRDefault="00D64C42" w:rsidP="00E20123">
            <w:pPr>
              <w:spacing w:line="276" w:lineRule="auto"/>
              <w:rPr>
                <w:rFonts w:ascii="Arial" w:hAnsi="Arial" w:cs="Arial"/>
                <w:sz w:val="22"/>
                <w:szCs w:val="22"/>
                <w:lang w:eastAsia="en-US"/>
              </w:rPr>
            </w:pPr>
            <w:r>
              <w:rPr>
                <w:rFonts w:ascii="Arial" w:hAnsi="Arial" w:cs="Arial"/>
                <w:sz w:val="22"/>
                <w:szCs w:val="22"/>
                <w:lang w:eastAsia="en-US"/>
              </w:rPr>
              <w:t xml:space="preserve">Členění indikátoru: </w:t>
            </w:r>
          </w:p>
        </w:tc>
        <w:tc>
          <w:tcPr>
            <w:tcW w:w="6486" w:type="dxa"/>
            <w:shd w:val="pct10" w:color="auto" w:fill="auto"/>
          </w:tcPr>
          <w:p w14:paraId="730555C6" w14:textId="7803033E" w:rsidR="00D64C42" w:rsidRDefault="00AA08CC" w:rsidP="00E20123">
            <w:pPr>
              <w:spacing w:line="276" w:lineRule="auto"/>
              <w:rPr>
                <w:rFonts w:ascii="Arial" w:hAnsi="Arial" w:cs="Arial"/>
                <w:sz w:val="22"/>
                <w:szCs w:val="22"/>
                <w:lang w:eastAsia="en-US"/>
              </w:rPr>
            </w:pPr>
            <w:r>
              <w:rPr>
                <w:rFonts w:ascii="Arial" w:hAnsi="Arial" w:cs="Arial"/>
                <w:sz w:val="22"/>
                <w:szCs w:val="22"/>
                <w:lang w:eastAsia="en-US"/>
              </w:rPr>
              <w:t>-</w:t>
            </w:r>
          </w:p>
        </w:tc>
      </w:tr>
      <w:tr w:rsidR="00D64C42" w14:paraId="35D0936E" w14:textId="77777777" w:rsidTr="00E20123">
        <w:trPr>
          <w:trHeight w:val="70"/>
        </w:trPr>
        <w:tc>
          <w:tcPr>
            <w:tcW w:w="2802" w:type="dxa"/>
            <w:shd w:val="pct10" w:color="auto" w:fill="auto"/>
            <w:hideMark/>
          </w:tcPr>
          <w:p w14:paraId="799533D1" w14:textId="77777777" w:rsidR="00D64C42" w:rsidRDefault="00D64C42" w:rsidP="00E20123">
            <w:pPr>
              <w:spacing w:line="276" w:lineRule="auto"/>
              <w:rPr>
                <w:rFonts w:ascii="Arial" w:hAnsi="Arial" w:cs="Arial"/>
                <w:sz w:val="22"/>
                <w:szCs w:val="22"/>
                <w:lang w:eastAsia="en-US"/>
              </w:rPr>
            </w:pPr>
            <w:r>
              <w:rPr>
                <w:rFonts w:ascii="Arial" w:hAnsi="Arial" w:cs="Arial"/>
                <w:sz w:val="22"/>
                <w:szCs w:val="22"/>
                <w:lang w:eastAsia="en-US"/>
              </w:rPr>
              <w:t>Mezinárodní srovnání:</w:t>
            </w:r>
          </w:p>
        </w:tc>
        <w:tc>
          <w:tcPr>
            <w:tcW w:w="6486" w:type="dxa"/>
            <w:shd w:val="pct10" w:color="auto" w:fill="auto"/>
          </w:tcPr>
          <w:p w14:paraId="6BF1C99E" w14:textId="26A05BCF" w:rsidR="00D64C42" w:rsidRDefault="00AA08CC" w:rsidP="00E20123">
            <w:pPr>
              <w:spacing w:line="276" w:lineRule="auto"/>
              <w:rPr>
                <w:rFonts w:ascii="Arial" w:hAnsi="Arial" w:cs="Arial"/>
                <w:sz w:val="22"/>
                <w:szCs w:val="22"/>
                <w:lang w:eastAsia="en-US"/>
              </w:rPr>
            </w:pPr>
            <w:r>
              <w:rPr>
                <w:rFonts w:ascii="Arial" w:hAnsi="Arial" w:cs="Arial"/>
                <w:sz w:val="22"/>
                <w:szCs w:val="22"/>
                <w:lang w:eastAsia="en-US"/>
              </w:rPr>
              <w:t>-</w:t>
            </w:r>
          </w:p>
        </w:tc>
      </w:tr>
    </w:tbl>
    <w:p w14:paraId="1DB4C57E" w14:textId="78DD5D14" w:rsidR="00F261A3" w:rsidRDefault="00F261A3" w:rsidP="00642448">
      <w:pPr>
        <w:pStyle w:val="r2030podcle"/>
        <w:numPr>
          <w:ilvl w:val="1"/>
          <w:numId w:val="17"/>
        </w:numPr>
        <w:ind w:left="567" w:hanging="425"/>
      </w:pPr>
      <w:r>
        <w:lastRenderedPageBreak/>
        <w:t xml:space="preserve">Data a informace veřejné správy budou dostupné takovou cestou, která je z hlediska </w:t>
      </w:r>
      <w:r w:rsidR="0061774A">
        <w:t>občanů a občanek nejpohodlnější</w:t>
      </w:r>
    </w:p>
    <w:tbl>
      <w:tblPr>
        <w:tblStyle w:val="Mkatabulky"/>
        <w:tblW w:w="0" w:type="auto"/>
        <w:tblLook w:val="04A0" w:firstRow="1" w:lastRow="0" w:firstColumn="1" w:lastColumn="0" w:noHBand="0" w:noVBand="1"/>
      </w:tblPr>
      <w:tblGrid>
        <w:gridCol w:w="2802"/>
        <w:gridCol w:w="6486"/>
      </w:tblGrid>
      <w:tr w:rsidR="00F261A3" w14:paraId="55C06B20"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3B094725" w14:textId="5AC1A8E6"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Název a označení indikátoru: </w:t>
            </w:r>
          </w:p>
        </w:tc>
        <w:tc>
          <w:tcPr>
            <w:tcW w:w="6486" w:type="dxa"/>
            <w:tcBorders>
              <w:top w:val="single" w:sz="4" w:space="0" w:color="auto"/>
              <w:left w:val="single" w:sz="4" w:space="0" w:color="auto"/>
              <w:bottom w:val="single" w:sz="4" w:space="0" w:color="auto"/>
              <w:right w:val="single" w:sz="4" w:space="0" w:color="auto"/>
            </w:tcBorders>
            <w:hideMark/>
          </w:tcPr>
          <w:p w14:paraId="6DFB1E25" w14:textId="77777777" w:rsidR="00F261A3" w:rsidRDefault="00F261A3" w:rsidP="0062345D">
            <w:pPr>
              <w:spacing w:line="276" w:lineRule="auto"/>
              <w:rPr>
                <w:rFonts w:ascii="Arial" w:hAnsi="Arial" w:cs="Arial"/>
                <w:sz w:val="22"/>
                <w:szCs w:val="22"/>
                <w:lang w:eastAsia="en-US"/>
              </w:rPr>
            </w:pPr>
            <w:r>
              <w:rPr>
                <w:rFonts w:ascii="Arial" w:hAnsi="Arial" w:cs="Arial"/>
                <w:b/>
                <w:sz w:val="22"/>
                <w:szCs w:val="22"/>
                <w:lang w:eastAsia="en-US"/>
              </w:rPr>
              <w:t xml:space="preserve">25.2.1 Zpřístupnění obsahu, transparentnost, open data </w:t>
            </w:r>
          </w:p>
        </w:tc>
      </w:tr>
      <w:tr w:rsidR="00F261A3" w14:paraId="23C81A2F"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51DA83DD" w14:textId="77777777" w:rsidR="00F261A3" w:rsidRDefault="00F261A3" w:rsidP="0062345D">
            <w:pPr>
              <w:tabs>
                <w:tab w:val="left" w:pos="2025"/>
              </w:tabs>
              <w:spacing w:line="276" w:lineRule="auto"/>
              <w:rPr>
                <w:rFonts w:ascii="Arial" w:hAnsi="Arial" w:cs="Arial"/>
                <w:sz w:val="22"/>
                <w:szCs w:val="22"/>
                <w:lang w:eastAsia="en-US"/>
              </w:rPr>
            </w:pPr>
            <w:r>
              <w:rPr>
                <w:rFonts w:ascii="Arial" w:hAnsi="Arial" w:cs="Arial"/>
                <w:sz w:val="22"/>
                <w:szCs w:val="22"/>
                <w:lang w:eastAsia="en-US"/>
              </w:rPr>
              <w:t xml:space="preserve">Stručná definice: </w:t>
            </w:r>
          </w:p>
        </w:tc>
        <w:tc>
          <w:tcPr>
            <w:tcW w:w="6486" w:type="dxa"/>
            <w:tcBorders>
              <w:top w:val="single" w:sz="4" w:space="0" w:color="auto"/>
              <w:left w:val="single" w:sz="4" w:space="0" w:color="auto"/>
              <w:bottom w:val="single" w:sz="4" w:space="0" w:color="auto"/>
              <w:right w:val="single" w:sz="4" w:space="0" w:color="auto"/>
            </w:tcBorders>
            <w:hideMark/>
          </w:tcPr>
          <w:p w14:paraId="47019BF0" w14:textId="77777777" w:rsidR="00F261A3" w:rsidRDefault="00F261A3" w:rsidP="00642448">
            <w:pPr>
              <w:tabs>
                <w:tab w:val="left" w:pos="2025"/>
              </w:tabs>
              <w:spacing w:line="276" w:lineRule="auto"/>
              <w:jc w:val="both"/>
              <w:rPr>
                <w:rFonts w:ascii="Arial" w:hAnsi="Arial" w:cs="Arial"/>
                <w:sz w:val="22"/>
                <w:szCs w:val="22"/>
                <w:lang w:eastAsia="en-US"/>
              </w:rPr>
            </w:pPr>
            <w:r>
              <w:rPr>
                <w:rFonts w:ascii="Arial" w:hAnsi="Arial" w:cs="Arial"/>
                <w:sz w:val="22"/>
                <w:szCs w:val="22"/>
                <w:lang w:eastAsia="en-US"/>
              </w:rPr>
              <w:t xml:space="preserve">Indikátor 3.1.2. Strategického rámce rozvoje veřejné správy „Nová funkcionalita informačního systému, projektový okruh 4“ </w:t>
            </w:r>
          </w:p>
        </w:tc>
      </w:tr>
      <w:tr w:rsidR="00F261A3" w14:paraId="1A9FE3EC"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4EA1484D" w14:textId="77777777" w:rsidR="00F261A3" w:rsidRDefault="00F261A3" w:rsidP="0062345D">
            <w:pPr>
              <w:tabs>
                <w:tab w:val="left" w:pos="2025"/>
              </w:tabs>
              <w:spacing w:line="276" w:lineRule="auto"/>
              <w:rPr>
                <w:rFonts w:ascii="Arial" w:hAnsi="Arial" w:cs="Arial"/>
                <w:sz w:val="22"/>
                <w:szCs w:val="22"/>
                <w:lang w:eastAsia="en-US"/>
              </w:rPr>
            </w:pPr>
            <w:r>
              <w:rPr>
                <w:rFonts w:ascii="Arial" w:hAnsi="Arial" w:cs="Arial"/>
                <w:sz w:val="22"/>
                <w:szCs w:val="22"/>
                <w:lang w:eastAsia="en-US"/>
              </w:rPr>
              <w:t>Jednotka:</w:t>
            </w:r>
          </w:p>
        </w:tc>
        <w:tc>
          <w:tcPr>
            <w:tcW w:w="6486" w:type="dxa"/>
            <w:tcBorders>
              <w:top w:val="single" w:sz="4" w:space="0" w:color="auto"/>
              <w:left w:val="single" w:sz="4" w:space="0" w:color="auto"/>
              <w:bottom w:val="single" w:sz="4" w:space="0" w:color="auto"/>
              <w:right w:val="single" w:sz="4" w:space="0" w:color="auto"/>
            </w:tcBorders>
            <w:hideMark/>
          </w:tcPr>
          <w:p w14:paraId="1C5F99E7" w14:textId="40DA296E" w:rsidR="00F261A3" w:rsidRDefault="0075472A" w:rsidP="00642448">
            <w:pPr>
              <w:tabs>
                <w:tab w:val="left" w:pos="2025"/>
              </w:tabs>
              <w:spacing w:line="276" w:lineRule="auto"/>
              <w:jc w:val="both"/>
              <w:rPr>
                <w:rFonts w:ascii="Arial" w:hAnsi="Arial" w:cs="Arial"/>
                <w:sz w:val="22"/>
                <w:szCs w:val="22"/>
                <w:lang w:eastAsia="en-US"/>
              </w:rPr>
            </w:pPr>
            <w:r>
              <w:rPr>
                <w:rFonts w:ascii="Arial" w:hAnsi="Arial" w:cs="Arial"/>
                <w:sz w:val="22"/>
                <w:szCs w:val="22"/>
                <w:lang w:eastAsia="en-US"/>
              </w:rPr>
              <w:t>Počet</w:t>
            </w:r>
            <w:r w:rsidR="00EC3984">
              <w:rPr>
                <w:rFonts w:ascii="Arial" w:hAnsi="Arial" w:cs="Arial"/>
                <w:sz w:val="22"/>
                <w:szCs w:val="22"/>
                <w:lang w:eastAsia="en-US"/>
              </w:rPr>
              <w:t xml:space="preserve"> datových sad a počet</w:t>
            </w:r>
            <w:r>
              <w:rPr>
                <w:rFonts w:ascii="Arial" w:hAnsi="Arial" w:cs="Arial"/>
                <w:sz w:val="22"/>
                <w:szCs w:val="22"/>
                <w:lang w:eastAsia="en-US"/>
              </w:rPr>
              <w:t xml:space="preserve"> veřejných institucí publikujících otevřená data </w:t>
            </w:r>
          </w:p>
        </w:tc>
      </w:tr>
      <w:tr w:rsidR="00F261A3" w14:paraId="7BB44CE1"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02F7A6A3"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Gestor: </w:t>
            </w:r>
          </w:p>
        </w:tc>
        <w:tc>
          <w:tcPr>
            <w:tcW w:w="6486" w:type="dxa"/>
            <w:tcBorders>
              <w:top w:val="single" w:sz="4" w:space="0" w:color="auto"/>
              <w:left w:val="single" w:sz="4" w:space="0" w:color="auto"/>
              <w:bottom w:val="single" w:sz="4" w:space="0" w:color="auto"/>
              <w:right w:val="single" w:sz="4" w:space="0" w:color="auto"/>
            </w:tcBorders>
            <w:hideMark/>
          </w:tcPr>
          <w:p w14:paraId="71C05CC8"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Ministerstvo vnitra</w:t>
            </w:r>
          </w:p>
        </w:tc>
      </w:tr>
      <w:tr w:rsidR="00F261A3" w14:paraId="3FE2AF51"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4EF65DFB"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Význam indikátoru: </w:t>
            </w:r>
          </w:p>
        </w:tc>
        <w:tc>
          <w:tcPr>
            <w:tcW w:w="6486" w:type="dxa"/>
            <w:tcBorders>
              <w:top w:val="single" w:sz="4" w:space="0" w:color="auto"/>
              <w:left w:val="single" w:sz="4" w:space="0" w:color="auto"/>
              <w:bottom w:val="single" w:sz="4" w:space="0" w:color="auto"/>
              <w:right w:val="single" w:sz="4" w:space="0" w:color="auto"/>
            </w:tcBorders>
            <w:hideMark/>
          </w:tcPr>
          <w:p w14:paraId="5C8044F7"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Demokratičnost vládnutí, dlouhodobá efektivita vládnutí: Open data jako základní předpoklad pro podíl veřejnosti na tvorbě veřejných politik.</w:t>
            </w:r>
          </w:p>
        </w:tc>
      </w:tr>
      <w:tr w:rsidR="00F261A3" w14:paraId="0802841B"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766C8C5E"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Časová řada: </w:t>
            </w:r>
          </w:p>
        </w:tc>
        <w:tc>
          <w:tcPr>
            <w:tcW w:w="6486" w:type="dxa"/>
            <w:tcBorders>
              <w:top w:val="single" w:sz="4" w:space="0" w:color="auto"/>
              <w:left w:val="single" w:sz="4" w:space="0" w:color="auto"/>
              <w:bottom w:val="single" w:sz="4" w:space="0" w:color="auto"/>
              <w:right w:val="single" w:sz="4" w:space="0" w:color="auto"/>
            </w:tcBorders>
            <w:hideMark/>
          </w:tcPr>
          <w:p w14:paraId="3D51D91A"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w:t>
            </w:r>
          </w:p>
        </w:tc>
      </w:tr>
      <w:tr w:rsidR="00F261A3" w14:paraId="5DDA7D3A"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6392A220"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Frekvence výstupu: </w:t>
            </w:r>
          </w:p>
        </w:tc>
        <w:tc>
          <w:tcPr>
            <w:tcW w:w="6486" w:type="dxa"/>
            <w:tcBorders>
              <w:top w:val="single" w:sz="4" w:space="0" w:color="auto"/>
              <w:left w:val="single" w:sz="4" w:space="0" w:color="auto"/>
              <w:bottom w:val="single" w:sz="4" w:space="0" w:color="auto"/>
              <w:right w:val="single" w:sz="4" w:space="0" w:color="auto"/>
            </w:tcBorders>
            <w:hideMark/>
          </w:tcPr>
          <w:p w14:paraId="0B6286CF" w14:textId="77777777" w:rsidR="00F261A3" w:rsidRDefault="00F261A3" w:rsidP="00642448">
            <w:pPr>
              <w:spacing w:line="276" w:lineRule="auto"/>
              <w:jc w:val="both"/>
              <w:rPr>
                <w:rFonts w:ascii="Arial" w:hAnsi="Arial" w:cs="Arial"/>
                <w:sz w:val="22"/>
                <w:szCs w:val="22"/>
                <w:lang w:eastAsia="en-US"/>
              </w:rPr>
            </w:pPr>
            <w:r>
              <w:rPr>
                <w:rFonts w:ascii="Arial" w:hAnsi="Arial" w:cs="Arial"/>
                <w:sz w:val="22"/>
                <w:szCs w:val="22"/>
                <w:lang w:eastAsia="en-US"/>
              </w:rPr>
              <w:t>-</w:t>
            </w:r>
          </w:p>
        </w:tc>
      </w:tr>
      <w:tr w:rsidR="00F261A3" w14:paraId="68F9B202" w14:textId="77777777" w:rsidTr="0062345D">
        <w:trPr>
          <w:trHeight w:val="70"/>
        </w:trPr>
        <w:tc>
          <w:tcPr>
            <w:tcW w:w="2802" w:type="dxa"/>
            <w:tcBorders>
              <w:top w:val="single" w:sz="4" w:space="0" w:color="auto"/>
              <w:left w:val="single" w:sz="4" w:space="0" w:color="auto"/>
              <w:bottom w:val="single" w:sz="4" w:space="0" w:color="auto"/>
              <w:right w:val="single" w:sz="4" w:space="0" w:color="auto"/>
            </w:tcBorders>
            <w:hideMark/>
          </w:tcPr>
          <w:p w14:paraId="22030598"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Členění indikátoru: </w:t>
            </w:r>
          </w:p>
        </w:tc>
        <w:tc>
          <w:tcPr>
            <w:tcW w:w="6486" w:type="dxa"/>
            <w:tcBorders>
              <w:top w:val="single" w:sz="4" w:space="0" w:color="auto"/>
              <w:left w:val="single" w:sz="4" w:space="0" w:color="auto"/>
              <w:bottom w:val="single" w:sz="4" w:space="0" w:color="auto"/>
              <w:right w:val="single" w:sz="4" w:space="0" w:color="auto"/>
            </w:tcBorders>
            <w:hideMark/>
          </w:tcPr>
          <w:p w14:paraId="68FA64CB"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w:t>
            </w:r>
          </w:p>
        </w:tc>
      </w:tr>
      <w:tr w:rsidR="00F261A3" w14:paraId="34DA8DA2" w14:textId="77777777" w:rsidTr="0062345D">
        <w:trPr>
          <w:trHeight w:val="70"/>
        </w:trPr>
        <w:tc>
          <w:tcPr>
            <w:tcW w:w="2802" w:type="dxa"/>
            <w:tcBorders>
              <w:top w:val="single" w:sz="4" w:space="0" w:color="auto"/>
              <w:left w:val="single" w:sz="4" w:space="0" w:color="auto"/>
              <w:bottom w:val="single" w:sz="4" w:space="0" w:color="auto"/>
              <w:right w:val="single" w:sz="4" w:space="0" w:color="auto"/>
            </w:tcBorders>
            <w:hideMark/>
          </w:tcPr>
          <w:p w14:paraId="4E2EF701"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Mezinárodní srovnání:</w:t>
            </w:r>
          </w:p>
        </w:tc>
        <w:tc>
          <w:tcPr>
            <w:tcW w:w="6486" w:type="dxa"/>
            <w:tcBorders>
              <w:top w:val="single" w:sz="4" w:space="0" w:color="auto"/>
              <w:left w:val="single" w:sz="4" w:space="0" w:color="auto"/>
              <w:bottom w:val="single" w:sz="4" w:space="0" w:color="auto"/>
              <w:right w:val="single" w:sz="4" w:space="0" w:color="auto"/>
            </w:tcBorders>
            <w:hideMark/>
          </w:tcPr>
          <w:p w14:paraId="7AC6BA00"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w:t>
            </w:r>
          </w:p>
        </w:tc>
      </w:tr>
    </w:tbl>
    <w:p w14:paraId="3F784E9A" w14:textId="77777777" w:rsidR="00F261A3" w:rsidRDefault="00F261A3" w:rsidP="0061774A"/>
    <w:tbl>
      <w:tblPr>
        <w:tblStyle w:val="Mkatabulky"/>
        <w:tblW w:w="0" w:type="auto"/>
        <w:tblLook w:val="04A0" w:firstRow="1" w:lastRow="0" w:firstColumn="1" w:lastColumn="0" w:noHBand="0" w:noVBand="1"/>
      </w:tblPr>
      <w:tblGrid>
        <w:gridCol w:w="2802"/>
        <w:gridCol w:w="6486"/>
      </w:tblGrid>
      <w:tr w:rsidR="00F261A3" w14:paraId="6A5DE60C"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056C401E" w14:textId="6C3A5FCF"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Název a označení indikátoru: </w:t>
            </w:r>
          </w:p>
        </w:tc>
        <w:tc>
          <w:tcPr>
            <w:tcW w:w="6486" w:type="dxa"/>
            <w:tcBorders>
              <w:top w:val="single" w:sz="4" w:space="0" w:color="auto"/>
              <w:left w:val="single" w:sz="4" w:space="0" w:color="auto"/>
              <w:bottom w:val="single" w:sz="4" w:space="0" w:color="auto"/>
              <w:right w:val="single" w:sz="4" w:space="0" w:color="auto"/>
            </w:tcBorders>
            <w:hideMark/>
          </w:tcPr>
          <w:p w14:paraId="24E46E08" w14:textId="77777777" w:rsidR="00F261A3" w:rsidRDefault="00F261A3" w:rsidP="0062345D">
            <w:pPr>
              <w:spacing w:line="276" w:lineRule="auto"/>
              <w:rPr>
                <w:rFonts w:ascii="Arial" w:hAnsi="Arial" w:cs="Arial"/>
                <w:b/>
                <w:sz w:val="22"/>
                <w:szCs w:val="22"/>
                <w:lang w:eastAsia="en-US"/>
              </w:rPr>
            </w:pPr>
            <w:r>
              <w:rPr>
                <w:rFonts w:ascii="Arial" w:hAnsi="Arial" w:cs="Arial"/>
                <w:b/>
                <w:sz w:val="22"/>
                <w:szCs w:val="22"/>
                <w:lang w:eastAsia="en-US"/>
              </w:rPr>
              <w:t xml:space="preserve">25.2.2 Počet osob využívajících ke komunikaci s úřady internet </w:t>
            </w:r>
          </w:p>
        </w:tc>
      </w:tr>
      <w:tr w:rsidR="00F261A3" w14:paraId="246983AC"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2F4F3C97" w14:textId="2CBC1B9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Stručná definice: </w:t>
            </w:r>
          </w:p>
        </w:tc>
        <w:tc>
          <w:tcPr>
            <w:tcW w:w="6486" w:type="dxa"/>
            <w:tcBorders>
              <w:top w:val="single" w:sz="4" w:space="0" w:color="auto"/>
              <w:left w:val="single" w:sz="4" w:space="0" w:color="auto"/>
              <w:bottom w:val="single" w:sz="4" w:space="0" w:color="auto"/>
              <w:right w:val="single" w:sz="4" w:space="0" w:color="auto"/>
            </w:tcBorders>
            <w:hideMark/>
          </w:tcPr>
          <w:p w14:paraId="0DD44BB8" w14:textId="77777777" w:rsidR="00F261A3" w:rsidRDefault="00F261A3" w:rsidP="00362C76">
            <w:pPr>
              <w:spacing w:line="276" w:lineRule="auto"/>
              <w:jc w:val="both"/>
              <w:rPr>
                <w:rFonts w:ascii="Arial" w:hAnsi="Arial" w:cs="Arial"/>
                <w:sz w:val="22"/>
                <w:szCs w:val="22"/>
                <w:lang w:eastAsia="en-US"/>
              </w:rPr>
            </w:pPr>
            <w:r>
              <w:rPr>
                <w:rFonts w:ascii="Arial" w:hAnsi="Arial" w:cs="Arial"/>
                <w:bCs/>
                <w:sz w:val="22"/>
                <w:szCs w:val="22"/>
                <w:lang w:eastAsia="en-US"/>
              </w:rPr>
              <w:t xml:space="preserve">Jednotlivci, kteří využili ke komunikaci s úřady v posledních 12 měsících před dotazováním internet. Rozděleno podle typu aktivity. Typem aktivity se rozumí: i) komunikace s úřady pomocí e-mailu či chatu, </w:t>
            </w:r>
            <w:proofErr w:type="spellStart"/>
            <w:r>
              <w:rPr>
                <w:rFonts w:ascii="Arial" w:hAnsi="Arial" w:cs="Arial"/>
                <w:bCs/>
                <w:sz w:val="22"/>
                <w:szCs w:val="22"/>
                <w:lang w:eastAsia="en-US"/>
              </w:rPr>
              <w:t>ii</w:t>
            </w:r>
            <w:proofErr w:type="spellEnd"/>
            <w:r>
              <w:rPr>
                <w:rFonts w:ascii="Arial" w:hAnsi="Arial" w:cs="Arial"/>
                <w:bCs/>
                <w:sz w:val="22"/>
                <w:szCs w:val="22"/>
                <w:lang w:eastAsia="en-US"/>
              </w:rPr>
              <w:t>) vyplnění a odeslání formuláře online.</w:t>
            </w:r>
          </w:p>
        </w:tc>
      </w:tr>
      <w:tr w:rsidR="00F261A3" w14:paraId="6E6C01D0"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7EED2F4D"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Jednotka:</w:t>
            </w:r>
          </w:p>
        </w:tc>
        <w:tc>
          <w:tcPr>
            <w:tcW w:w="6486" w:type="dxa"/>
            <w:tcBorders>
              <w:top w:val="single" w:sz="4" w:space="0" w:color="auto"/>
              <w:left w:val="single" w:sz="4" w:space="0" w:color="auto"/>
              <w:bottom w:val="single" w:sz="4" w:space="0" w:color="auto"/>
              <w:right w:val="single" w:sz="4" w:space="0" w:color="auto"/>
            </w:tcBorders>
            <w:hideMark/>
          </w:tcPr>
          <w:p w14:paraId="6C3CAAA9"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 z uživatelů internetu, % ze všech jednotlivců starších 16 let</w:t>
            </w:r>
          </w:p>
        </w:tc>
      </w:tr>
      <w:tr w:rsidR="00F261A3" w14:paraId="6FDAC3D1"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408E8279"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Gestor: </w:t>
            </w:r>
          </w:p>
        </w:tc>
        <w:tc>
          <w:tcPr>
            <w:tcW w:w="6486" w:type="dxa"/>
            <w:tcBorders>
              <w:top w:val="single" w:sz="4" w:space="0" w:color="auto"/>
              <w:left w:val="single" w:sz="4" w:space="0" w:color="auto"/>
              <w:bottom w:val="single" w:sz="4" w:space="0" w:color="auto"/>
              <w:right w:val="single" w:sz="4" w:space="0" w:color="auto"/>
            </w:tcBorders>
            <w:hideMark/>
          </w:tcPr>
          <w:p w14:paraId="363023D0" w14:textId="77777777" w:rsidR="00F261A3" w:rsidRDefault="00F261A3" w:rsidP="00362C76">
            <w:pPr>
              <w:spacing w:line="276" w:lineRule="auto"/>
              <w:jc w:val="both"/>
              <w:rPr>
                <w:rFonts w:ascii="Arial" w:hAnsi="Arial" w:cs="Arial"/>
                <w:color w:val="FF0000"/>
                <w:sz w:val="22"/>
                <w:szCs w:val="22"/>
                <w:lang w:eastAsia="en-US"/>
              </w:rPr>
            </w:pPr>
            <w:r>
              <w:rPr>
                <w:rFonts w:ascii="Arial" w:hAnsi="Arial" w:cs="Arial"/>
                <w:sz w:val="22"/>
                <w:szCs w:val="22"/>
                <w:lang w:eastAsia="en-US"/>
              </w:rPr>
              <w:t>Český statistický úřad</w:t>
            </w:r>
          </w:p>
        </w:tc>
      </w:tr>
      <w:tr w:rsidR="00F261A3" w14:paraId="4C0E458E"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3697204A"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Význam indikátoru: </w:t>
            </w:r>
          </w:p>
        </w:tc>
        <w:tc>
          <w:tcPr>
            <w:tcW w:w="6486" w:type="dxa"/>
            <w:tcBorders>
              <w:top w:val="single" w:sz="4" w:space="0" w:color="auto"/>
              <w:left w:val="single" w:sz="4" w:space="0" w:color="auto"/>
              <w:bottom w:val="single" w:sz="4" w:space="0" w:color="auto"/>
              <w:right w:val="single" w:sz="4" w:space="0" w:color="auto"/>
            </w:tcBorders>
            <w:hideMark/>
          </w:tcPr>
          <w:p w14:paraId="5EBE77FE"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 xml:space="preserve">Demokratičnost vládnutí, dlouhodobá efektivita vládnutí: Předpoklad elektronické komunikace jako nejpohodlnějšího způsobu komunikace (z domova nebo z jednoho blízkého veřejného místa); evropsky srovnatelný. </w:t>
            </w:r>
          </w:p>
        </w:tc>
      </w:tr>
      <w:tr w:rsidR="00F261A3" w14:paraId="666D44F6"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5A8F4335"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Časová řada: </w:t>
            </w:r>
          </w:p>
        </w:tc>
        <w:tc>
          <w:tcPr>
            <w:tcW w:w="6486" w:type="dxa"/>
            <w:tcBorders>
              <w:top w:val="single" w:sz="4" w:space="0" w:color="auto"/>
              <w:left w:val="single" w:sz="4" w:space="0" w:color="auto"/>
              <w:bottom w:val="single" w:sz="4" w:space="0" w:color="auto"/>
              <w:right w:val="single" w:sz="4" w:space="0" w:color="auto"/>
            </w:tcBorders>
            <w:hideMark/>
          </w:tcPr>
          <w:p w14:paraId="4512344D"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Od roku 2008</w:t>
            </w:r>
          </w:p>
        </w:tc>
      </w:tr>
      <w:tr w:rsidR="00F261A3" w14:paraId="29863AF6"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08FB8D27"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Frekvence výstupu: </w:t>
            </w:r>
          </w:p>
        </w:tc>
        <w:tc>
          <w:tcPr>
            <w:tcW w:w="6486" w:type="dxa"/>
            <w:tcBorders>
              <w:top w:val="single" w:sz="4" w:space="0" w:color="auto"/>
              <w:left w:val="single" w:sz="4" w:space="0" w:color="auto"/>
              <w:bottom w:val="single" w:sz="4" w:space="0" w:color="auto"/>
              <w:right w:val="single" w:sz="4" w:space="0" w:color="auto"/>
            </w:tcBorders>
            <w:hideMark/>
          </w:tcPr>
          <w:p w14:paraId="3562C758"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Ročně</w:t>
            </w:r>
          </w:p>
        </w:tc>
      </w:tr>
      <w:tr w:rsidR="00F261A3" w14:paraId="40D385B0" w14:textId="77777777" w:rsidTr="0062345D">
        <w:trPr>
          <w:trHeight w:val="70"/>
        </w:trPr>
        <w:tc>
          <w:tcPr>
            <w:tcW w:w="2802" w:type="dxa"/>
            <w:tcBorders>
              <w:top w:val="single" w:sz="4" w:space="0" w:color="auto"/>
              <w:left w:val="single" w:sz="4" w:space="0" w:color="auto"/>
              <w:bottom w:val="single" w:sz="4" w:space="0" w:color="auto"/>
              <w:right w:val="single" w:sz="4" w:space="0" w:color="auto"/>
            </w:tcBorders>
            <w:hideMark/>
          </w:tcPr>
          <w:p w14:paraId="1D90A77E"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Členění indikátoru: </w:t>
            </w:r>
          </w:p>
        </w:tc>
        <w:tc>
          <w:tcPr>
            <w:tcW w:w="6486" w:type="dxa"/>
            <w:tcBorders>
              <w:top w:val="single" w:sz="4" w:space="0" w:color="auto"/>
              <w:left w:val="single" w:sz="4" w:space="0" w:color="auto"/>
              <w:bottom w:val="single" w:sz="4" w:space="0" w:color="auto"/>
              <w:right w:val="single" w:sz="4" w:space="0" w:color="auto"/>
            </w:tcBorders>
            <w:hideMark/>
          </w:tcPr>
          <w:p w14:paraId="5176421F"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Podle pohlaví, nevyššího dosaženého vzdělání, věku</w:t>
            </w:r>
          </w:p>
        </w:tc>
      </w:tr>
      <w:tr w:rsidR="00F261A3" w14:paraId="036D8B2D" w14:textId="77777777" w:rsidTr="0062345D">
        <w:trPr>
          <w:trHeight w:val="70"/>
        </w:trPr>
        <w:tc>
          <w:tcPr>
            <w:tcW w:w="2802" w:type="dxa"/>
            <w:tcBorders>
              <w:top w:val="single" w:sz="4" w:space="0" w:color="auto"/>
              <w:left w:val="single" w:sz="4" w:space="0" w:color="auto"/>
              <w:bottom w:val="single" w:sz="4" w:space="0" w:color="auto"/>
              <w:right w:val="single" w:sz="4" w:space="0" w:color="auto"/>
            </w:tcBorders>
            <w:hideMark/>
          </w:tcPr>
          <w:p w14:paraId="0DBC9665"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Mezinárodní srovnání:</w:t>
            </w:r>
          </w:p>
        </w:tc>
        <w:tc>
          <w:tcPr>
            <w:tcW w:w="6486" w:type="dxa"/>
            <w:tcBorders>
              <w:top w:val="single" w:sz="4" w:space="0" w:color="auto"/>
              <w:left w:val="single" w:sz="4" w:space="0" w:color="auto"/>
              <w:bottom w:val="single" w:sz="4" w:space="0" w:color="auto"/>
              <w:right w:val="single" w:sz="4" w:space="0" w:color="auto"/>
            </w:tcBorders>
            <w:hideMark/>
          </w:tcPr>
          <w:p w14:paraId="16E251EC"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 xml:space="preserve">EU (součást měření udržitelného rozvoje), pouze </w:t>
            </w:r>
            <w:proofErr w:type="spellStart"/>
            <w:r>
              <w:rPr>
                <w:rFonts w:ascii="Arial" w:hAnsi="Arial" w:cs="Arial"/>
                <w:sz w:val="22"/>
                <w:szCs w:val="22"/>
                <w:lang w:eastAsia="en-US"/>
              </w:rPr>
              <w:t>ii</w:t>
            </w:r>
            <w:proofErr w:type="spellEnd"/>
            <w:r>
              <w:rPr>
                <w:rFonts w:ascii="Arial" w:hAnsi="Arial" w:cs="Arial"/>
                <w:sz w:val="22"/>
                <w:szCs w:val="22"/>
                <w:lang w:eastAsia="en-US"/>
              </w:rPr>
              <w:t>. typ aktivity</w:t>
            </w:r>
          </w:p>
        </w:tc>
      </w:tr>
    </w:tbl>
    <w:p w14:paraId="1C80F8EB" w14:textId="0A53BEB9" w:rsidR="00F261A3" w:rsidRDefault="00F261A3" w:rsidP="00362C76">
      <w:pPr>
        <w:pStyle w:val="r2030podcle"/>
        <w:numPr>
          <w:ilvl w:val="1"/>
          <w:numId w:val="17"/>
        </w:numPr>
        <w:ind w:left="567" w:hanging="425"/>
      </w:pPr>
      <w:r>
        <w:t>Bude rozvinut systém výměny zkušeností mezi vyššími a nižšími úrovněmi veřejné správy, mezi různými sektory vládnutí a mezi českou veřejnou správou a veřejnými správami v</w:t>
      </w:r>
      <w:r w:rsidR="00846A07">
        <w:t> </w:t>
      </w:r>
      <w:r>
        <w:t>zahraničí</w:t>
      </w:r>
      <w:r w:rsidR="00846A07">
        <w:t>.</w:t>
      </w:r>
    </w:p>
    <w:tbl>
      <w:tblPr>
        <w:tblStyle w:val="Mkatabulky"/>
        <w:tblW w:w="0" w:type="auto"/>
        <w:tblLook w:val="04A0" w:firstRow="1" w:lastRow="0" w:firstColumn="1" w:lastColumn="0" w:noHBand="0" w:noVBand="1"/>
      </w:tblPr>
      <w:tblGrid>
        <w:gridCol w:w="2802"/>
        <w:gridCol w:w="6486"/>
      </w:tblGrid>
      <w:tr w:rsidR="00F261A3" w14:paraId="66F19D9E"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1ADA125C"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Název a označení indikátoru: </w:t>
            </w:r>
          </w:p>
        </w:tc>
        <w:tc>
          <w:tcPr>
            <w:tcW w:w="6486" w:type="dxa"/>
            <w:tcBorders>
              <w:top w:val="single" w:sz="4" w:space="0" w:color="auto"/>
              <w:left w:val="single" w:sz="4" w:space="0" w:color="auto"/>
              <w:bottom w:val="single" w:sz="4" w:space="0" w:color="auto"/>
              <w:right w:val="single" w:sz="4" w:space="0" w:color="auto"/>
            </w:tcBorders>
            <w:hideMark/>
          </w:tcPr>
          <w:p w14:paraId="3AFF15BC" w14:textId="77777777" w:rsidR="00F261A3" w:rsidRDefault="00F261A3" w:rsidP="0062345D">
            <w:pPr>
              <w:spacing w:line="276" w:lineRule="auto"/>
              <w:rPr>
                <w:rFonts w:ascii="Arial" w:hAnsi="Arial" w:cs="Arial"/>
                <w:b/>
                <w:sz w:val="22"/>
                <w:szCs w:val="22"/>
                <w:lang w:eastAsia="en-US"/>
              </w:rPr>
            </w:pPr>
            <w:r>
              <w:rPr>
                <w:rFonts w:ascii="Arial" w:hAnsi="Arial" w:cs="Arial"/>
                <w:b/>
                <w:sz w:val="22"/>
                <w:szCs w:val="22"/>
                <w:lang w:eastAsia="en-US"/>
              </w:rPr>
              <w:t>25.3.1 Míra využití existujících forem stáží a studií mezi českou veřejnou správou a EU</w:t>
            </w:r>
          </w:p>
        </w:tc>
      </w:tr>
      <w:tr w:rsidR="00F261A3" w14:paraId="66760D88"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5E38ABCF"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Stručná definice: </w:t>
            </w:r>
          </w:p>
        </w:tc>
        <w:tc>
          <w:tcPr>
            <w:tcW w:w="6486" w:type="dxa"/>
            <w:tcBorders>
              <w:top w:val="single" w:sz="4" w:space="0" w:color="auto"/>
              <w:left w:val="single" w:sz="4" w:space="0" w:color="auto"/>
              <w:bottom w:val="single" w:sz="4" w:space="0" w:color="auto"/>
              <w:right w:val="single" w:sz="4" w:space="0" w:color="auto"/>
            </w:tcBorders>
            <w:hideMark/>
          </w:tcPr>
          <w:p w14:paraId="3F24163E"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 xml:space="preserve">Kolik míst pro krátkodobé stáže (Erasmus </w:t>
            </w:r>
            <w:proofErr w:type="spellStart"/>
            <w:r>
              <w:rPr>
                <w:rFonts w:ascii="Arial" w:hAnsi="Arial" w:cs="Arial"/>
                <w:sz w:val="22"/>
                <w:szCs w:val="22"/>
                <w:lang w:eastAsia="en-US"/>
              </w:rPr>
              <w:t>for</w:t>
            </w:r>
            <w:proofErr w:type="spellEnd"/>
            <w:r>
              <w:rPr>
                <w:rFonts w:ascii="Arial" w:hAnsi="Arial" w:cs="Arial"/>
                <w:sz w:val="22"/>
                <w:szCs w:val="22"/>
                <w:lang w:eastAsia="en-US"/>
              </w:rPr>
              <w:t xml:space="preserve"> Public </w:t>
            </w:r>
            <w:proofErr w:type="spellStart"/>
            <w:r>
              <w:rPr>
                <w:rFonts w:ascii="Arial" w:hAnsi="Arial" w:cs="Arial"/>
                <w:sz w:val="22"/>
                <w:szCs w:val="22"/>
                <w:lang w:eastAsia="en-US"/>
              </w:rPr>
              <w:t>Administration</w:t>
            </w:r>
            <w:proofErr w:type="spellEnd"/>
            <w:r>
              <w:rPr>
                <w:rFonts w:ascii="Arial" w:hAnsi="Arial" w:cs="Arial"/>
                <w:sz w:val="22"/>
                <w:szCs w:val="22"/>
                <w:lang w:eastAsia="en-US"/>
              </w:rPr>
              <w:t xml:space="preserve"> a NEPT - </w:t>
            </w:r>
            <w:proofErr w:type="spellStart"/>
            <w:r>
              <w:rPr>
                <w:rFonts w:ascii="Arial" w:hAnsi="Arial" w:cs="Arial"/>
                <w:sz w:val="22"/>
                <w:szCs w:val="22"/>
                <w:lang w:eastAsia="en-US"/>
              </w:rPr>
              <w:t>National</w:t>
            </w:r>
            <w:proofErr w:type="spellEnd"/>
            <w:r>
              <w:rPr>
                <w:rFonts w:ascii="Arial" w:hAnsi="Arial" w:cs="Arial"/>
                <w:sz w:val="22"/>
                <w:szCs w:val="22"/>
                <w:lang w:eastAsia="en-US"/>
              </w:rPr>
              <w:t xml:space="preserve"> </w:t>
            </w:r>
            <w:proofErr w:type="spellStart"/>
            <w:r>
              <w:rPr>
                <w:rFonts w:ascii="Arial" w:hAnsi="Arial" w:cs="Arial"/>
                <w:sz w:val="22"/>
                <w:szCs w:val="22"/>
                <w:lang w:eastAsia="en-US"/>
              </w:rPr>
              <w:t>Experts</w:t>
            </w:r>
            <w:proofErr w:type="spellEnd"/>
            <w:r>
              <w:rPr>
                <w:rFonts w:ascii="Arial" w:hAnsi="Arial" w:cs="Arial"/>
                <w:sz w:val="22"/>
                <w:szCs w:val="22"/>
                <w:lang w:eastAsia="en-US"/>
              </w:rPr>
              <w:t xml:space="preserve"> in Professional </w:t>
            </w:r>
            <w:proofErr w:type="spellStart"/>
            <w:r>
              <w:rPr>
                <w:rFonts w:ascii="Arial" w:hAnsi="Arial" w:cs="Arial"/>
                <w:sz w:val="22"/>
                <w:szCs w:val="22"/>
                <w:lang w:eastAsia="en-US"/>
              </w:rPr>
              <w:t>Training</w:t>
            </w:r>
            <w:proofErr w:type="spellEnd"/>
            <w:r>
              <w:rPr>
                <w:rFonts w:ascii="Arial" w:hAnsi="Arial" w:cs="Arial"/>
                <w:sz w:val="22"/>
                <w:szCs w:val="22"/>
                <w:lang w:eastAsia="en-US"/>
              </w:rPr>
              <w:t>) a podporovaných studijních pobytů (</w:t>
            </w:r>
            <w:proofErr w:type="spellStart"/>
            <w:r>
              <w:rPr>
                <w:rFonts w:ascii="Arial" w:hAnsi="Arial" w:cs="Arial"/>
                <w:sz w:val="22"/>
                <w:szCs w:val="22"/>
                <w:lang w:eastAsia="en-US"/>
              </w:rPr>
              <w:t>College</w:t>
            </w:r>
            <w:proofErr w:type="spellEnd"/>
            <w:r>
              <w:rPr>
                <w:rFonts w:ascii="Arial" w:hAnsi="Arial" w:cs="Arial"/>
                <w:sz w:val="22"/>
                <w:szCs w:val="22"/>
                <w:lang w:eastAsia="en-US"/>
              </w:rPr>
              <w:t xml:space="preserve"> </w:t>
            </w:r>
            <w:proofErr w:type="spellStart"/>
            <w:r>
              <w:rPr>
                <w:rFonts w:ascii="Arial" w:hAnsi="Arial" w:cs="Arial"/>
                <w:sz w:val="22"/>
                <w:szCs w:val="22"/>
                <w:lang w:eastAsia="en-US"/>
              </w:rPr>
              <w:t>of</w:t>
            </w:r>
            <w:proofErr w:type="spellEnd"/>
            <w:r>
              <w:rPr>
                <w:rFonts w:ascii="Arial" w:hAnsi="Arial" w:cs="Arial"/>
                <w:sz w:val="22"/>
                <w:szCs w:val="22"/>
                <w:lang w:eastAsia="en-US"/>
              </w:rPr>
              <w:t xml:space="preserve"> </w:t>
            </w:r>
            <w:proofErr w:type="spellStart"/>
            <w:r>
              <w:rPr>
                <w:rFonts w:ascii="Arial" w:hAnsi="Arial" w:cs="Arial"/>
                <w:sz w:val="22"/>
                <w:szCs w:val="22"/>
                <w:lang w:eastAsia="en-US"/>
              </w:rPr>
              <w:lastRenderedPageBreak/>
              <w:t>Europe</w:t>
            </w:r>
            <w:proofErr w:type="spellEnd"/>
            <w:r>
              <w:rPr>
                <w:rFonts w:ascii="Arial" w:hAnsi="Arial" w:cs="Arial"/>
                <w:sz w:val="22"/>
                <w:szCs w:val="22"/>
                <w:lang w:eastAsia="en-US"/>
              </w:rPr>
              <w:t>), zajišťovaných veřejnou správou, bylo obsazeno. Počet a procentuální podíl.</w:t>
            </w:r>
          </w:p>
        </w:tc>
      </w:tr>
      <w:tr w:rsidR="00F261A3" w14:paraId="3B1C770C"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59F1FF69"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lastRenderedPageBreak/>
              <w:t>Jednotka:</w:t>
            </w:r>
          </w:p>
        </w:tc>
        <w:tc>
          <w:tcPr>
            <w:tcW w:w="6486" w:type="dxa"/>
            <w:tcBorders>
              <w:top w:val="single" w:sz="4" w:space="0" w:color="auto"/>
              <w:left w:val="single" w:sz="4" w:space="0" w:color="auto"/>
              <w:bottom w:val="single" w:sz="4" w:space="0" w:color="auto"/>
              <w:right w:val="single" w:sz="4" w:space="0" w:color="auto"/>
            </w:tcBorders>
            <w:hideMark/>
          </w:tcPr>
          <w:p w14:paraId="33E0334A"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Počet a podíl</w:t>
            </w:r>
          </w:p>
        </w:tc>
      </w:tr>
      <w:tr w:rsidR="00F261A3" w14:paraId="77104863"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4E0FE70B"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Gestor: </w:t>
            </w:r>
          </w:p>
        </w:tc>
        <w:tc>
          <w:tcPr>
            <w:tcW w:w="6486" w:type="dxa"/>
            <w:tcBorders>
              <w:top w:val="single" w:sz="4" w:space="0" w:color="auto"/>
              <w:left w:val="single" w:sz="4" w:space="0" w:color="auto"/>
              <w:bottom w:val="single" w:sz="4" w:space="0" w:color="auto"/>
              <w:right w:val="single" w:sz="4" w:space="0" w:color="auto"/>
            </w:tcBorders>
            <w:hideMark/>
          </w:tcPr>
          <w:p w14:paraId="531F691C"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Ministerstvo vnitra</w:t>
            </w:r>
          </w:p>
        </w:tc>
      </w:tr>
      <w:tr w:rsidR="00F261A3" w14:paraId="5E4907A9"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46B5E969"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Význam indikátoru: </w:t>
            </w:r>
          </w:p>
        </w:tc>
        <w:tc>
          <w:tcPr>
            <w:tcW w:w="6486" w:type="dxa"/>
            <w:tcBorders>
              <w:top w:val="single" w:sz="4" w:space="0" w:color="auto"/>
              <w:left w:val="single" w:sz="4" w:space="0" w:color="auto"/>
              <w:bottom w:val="single" w:sz="4" w:space="0" w:color="auto"/>
              <w:right w:val="single" w:sz="4" w:space="0" w:color="auto"/>
            </w:tcBorders>
            <w:hideMark/>
          </w:tcPr>
          <w:p w14:paraId="4BC84D44"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Dlouhodobá efektivita vládnutí: Pobyty v institucích EU příp. podporovaných EU jako zdroj inspirace a zároveň obrany před mechanickým přenosem zahraničních řešení. Cirkulace kádrů není univerzálním řešením, představuje však relativně nejméně složitou formu sdílení zkušeností.</w:t>
            </w:r>
          </w:p>
        </w:tc>
      </w:tr>
      <w:tr w:rsidR="00F261A3" w14:paraId="5D552077"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32B7D60E"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Časová řada: </w:t>
            </w:r>
          </w:p>
        </w:tc>
        <w:tc>
          <w:tcPr>
            <w:tcW w:w="6486" w:type="dxa"/>
            <w:tcBorders>
              <w:top w:val="single" w:sz="4" w:space="0" w:color="auto"/>
              <w:left w:val="single" w:sz="4" w:space="0" w:color="auto"/>
              <w:bottom w:val="single" w:sz="4" w:space="0" w:color="auto"/>
              <w:right w:val="single" w:sz="4" w:space="0" w:color="auto"/>
            </w:tcBorders>
          </w:tcPr>
          <w:p w14:paraId="519BB3FF"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w:t>
            </w:r>
          </w:p>
        </w:tc>
      </w:tr>
      <w:tr w:rsidR="00F261A3" w14:paraId="40819951"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25CB657A"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Frekvence výstupu: </w:t>
            </w:r>
          </w:p>
        </w:tc>
        <w:tc>
          <w:tcPr>
            <w:tcW w:w="6486" w:type="dxa"/>
            <w:tcBorders>
              <w:top w:val="single" w:sz="4" w:space="0" w:color="auto"/>
              <w:left w:val="single" w:sz="4" w:space="0" w:color="auto"/>
              <w:bottom w:val="single" w:sz="4" w:space="0" w:color="auto"/>
              <w:right w:val="single" w:sz="4" w:space="0" w:color="auto"/>
            </w:tcBorders>
            <w:hideMark/>
          </w:tcPr>
          <w:p w14:paraId="0700B08C"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Ročně</w:t>
            </w:r>
          </w:p>
        </w:tc>
      </w:tr>
      <w:tr w:rsidR="00F261A3" w14:paraId="085185B3" w14:textId="77777777" w:rsidTr="0062345D">
        <w:trPr>
          <w:trHeight w:val="70"/>
        </w:trPr>
        <w:tc>
          <w:tcPr>
            <w:tcW w:w="2802" w:type="dxa"/>
            <w:tcBorders>
              <w:top w:val="single" w:sz="4" w:space="0" w:color="auto"/>
              <w:left w:val="single" w:sz="4" w:space="0" w:color="auto"/>
              <w:bottom w:val="single" w:sz="4" w:space="0" w:color="auto"/>
              <w:right w:val="single" w:sz="4" w:space="0" w:color="auto"/>
            </w:tcBorders>
            <w:hideMark/>
          </w:tcPr>
          <w:p w14:paraId="46E38394"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Členění indikátoru: </w:t>
            </w:r>
          </w:p>
        </w:tc>
        <w:tc>
          <w:tcPr>
            <w:tcW w:w="6486" w:type="dxa"/>
            <w:tcBorders>
              <w:top w:val="single" w:sz="4" w:space="0" w:color="auto"/>
              <w:left w:val="single" w:sz="4" w:space="0" w:color="auto"/>
              <w:bottom w:val="single" w:sz="4" w:space="0" w:color="auto"/>
              <w:right w:val="single" w:sz="4" w:space="0" w:color="auto"/>
            </w:tcBorders>
            <w:hideMark/>
          </w:tcPr>
          <w:p w14:paraId="213BA5BA"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w:t>
            </w:r>
          </w:p>
        </w:tc>
      </w:tr>
      <w:tr w:rsidR="00F261A3" w14:paraId="5D61144B" w14:textId="77777777" w:rsidTr="0062345D">
        <w:trPr>
          <w:trHeight w:val="70"/>
        </w:trPr>
        <w:tc>
          <w:tcPr>
            <w:tcW w:w="2802" w:type="dxa"/>
            <w:tcBorders>
              <w:top w:val="single" w:sz="4" w:space="0" w:color="auto"/>
              <w:left w:val="single" w:sz="4" w:space="0" w:color="auto"/>
              <w:bottom w:val="single" w:sz="4" w:space="0" w:color="auto"/>
              <w:right w:val="single" w:sz="4" w:space="0" w:color="auto"/>
            </w:tcBorders>
            <w:hideMark/>
          </w:tcPr>
          <w:p w14:paraId="3A82CF30"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Mezinárodní srovnání:</w:t>
            </w:r>
          </w:p>
        </w:tc>
        <w:tc>
          <w:tcPr>
            <w:tcW w:w="6486" w:type="dxa"/>
            <w:tcBorders>
              <w:top w:val="single" w:sz="4" w:space="0" w:color="auto"/>
              <w:left w:val="single" w:sz="4" w:space="0" w:color="auto"/>
              <w:bottom w:val="single" w:sz="4" w:space="0" w:color="auto"/>
              <w:right w:val="single" w:sz="4" w:space="0" w:color="auto"/>
            </w:tcBorders>
            <w:hideMark/>
          </w:tcPr>
          <w:p w14:paraId="47532FE4"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w:t>
            </w:r>
          </w:p>
        </w:tc>
      </w:tr>
    </w:tbl>
    <w:p w14:paraId="7054729C" w14:textId="77777777" w:rsidR="00F261A3" w:rsidRPr="00890762" w:rsidRDefault="00F261A3" w:rsidP="00362C76">
      <w:pPr>
        <w:pStyle w:val="r2030cle"/>
        <w:numPr>
          <w:ilvl w:val="0"/>
          <w:numId w:val="17"/>
        </w:numPr>
        <w:jc w:val="both"/>
      </w:pPr>
      <w:r w:rsidRPr="00890762">
        <w:t>Inovace v tvorbě veřejných politik jsou progresivním řešením, které zvyšuje demokratičnost a/nebo dlouhodobou efektivitu veřejných politik; takové inovace jsou trvalou součástí fungování veřejné správy na všech úrovních.</w:t>
      </w:r>
    </w:p>
    <w:p w14:paraId="72BDC40E" w14:textId="77777777" w:rsidR="00F261A3" w:rsidRDefault="00F261A3" w:rsidP="00362C76">
      <w:pPr>
        <w:pStyle w:val="r2030podcle"/>
        <w:numPr>
          <w:ilvl w:val="1"/>
          <w:numId w:val="17"/>
        </w:numPr>
        <w:ind w:left="567" w:hanging="425"/>
      </w:pPr>
      <w:r>
        <w:t>Rozvine se systém podpory ino</w:t>
      </w:r>
      <w:r w:rsidR="00FA6CB1">
        <w:t>vací v tvorbě veřejných politik.</w:t>
      </w:r>
    </w:p>
    <w:tbl>
      <w:tblPr>
        <w:tblStyle w:val="Mkatabulky"/>
        <w:tblW w:w="0" w:type="auto"/>
        <w:tblLook w:val="04A0" w:firstRow="1" w:lastRow="0" w:firstColumn="1" w:lastColumn="0" w:noHBand="0" w:noVBand="1"/>
      </w:tblPr>
      <w:tblGrid>
        <w:gridCol w:w="2802"/>
        <w:gridCol w:w="6486"/>
      </w:tblGrid>
      <w:tr w:rsidR="00F261A3" w14:paraId="64E38F78"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751730D0"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Název a označení indikátoru: </w:t>
            </w:r>
          </w:p>
        </w:tc>
        <w:tc>
          <w:tcPr>
            <w:tcW w:w="6486" w:type="dxa"/>
            <w:tcBorders>
              <w:top w:val="single" w:sz="4" w:space="0" w:color="auto"/>
              <w:left w:val="single" w:sz="4" w:space="0" w:color="auto"/>
              <w:bottom w:val="single" w:sz="4" w:space="0" w:color="auto"/>
              <w:right w:val="single" w:sz="4" w:space="0" w:color="auto"/>
            </w:tcBorders>
            <w:hideMark/>
          </w:tcPr>
          <w:p w14:paraId="15B892C7" w14:textId="77777777" w:rsidR="00F261A3" w:rsidRDefault="00F261A3" w:rsidP="0062345D">
            <w:pPr>
              <w:autoSpaceDE w:val="0"/>
              <w:autoSpaceDN w:val="0"/>
              <w:adjustRightInd w:val="0"/>
              <w:spacing w:line="276" w:lineRule="auto"/>
              <w:rPr>
                <w:rFonts w:ascii="Arial" w:hAnsi="Arial" w:cs="Arial"/>
                <w:sz w:val="22"/>
                <w:szCs w:val="22"/>
                <w:lang w:eastAsia="en-US"/>
              </w:rPr>
            </w:pPr>
            <w:r>
              <w:rPr>
                <w:rFonts w:ascii="Arial" w:eastAsia="MyriadPro-Light" w:hAnsi="Arial" w:cs="Arial"/>
                <w:b/>
                <w:sz w:val="22"/>
                <w:szCs w:val="22"/>
                <w:lang w:eastAsia="en-US"/>
              </w:rPr>
              <w:t xml:space="preserve">26.1.1 Počet přihlášek do </w:t>
            </w:r>
            <w:proofErr w:type="spellStart"/>
            <w:r>
              <w:rPr>
                <w:rFonts w:ascii="Arial" w:eastAsia="MyriadPro-Light" w:hAnsi="Arial" w:cs="Arial"/>
                <w:b/>
                <w:sz w:val="22"/>
                <w:szCs w:val="22"/>
                <w:lang w:eastAsia="en-US"/>
              </w:rPr>
              <w:t>European</w:t>
            </w:r>
            <w:proofErr w:type="spellEnd"/>
            <w:r>
              <w:rPr>
                <w:rFonts w:ascii="Arial" w:eastAsia="MyriadPro-Light" w:hAnsi="Arial" w:cs="Arial"/>
                <w:b/>
                <w:sz w:val="22"/>
                <w:szCs w:val="22"/>
                <w:lang w:eastAsia="en-US"/>
              </w:rPr>
              <w:t xml:space="preserve"> Public </w:t>
            </w:r>
            <w:proofErr w:type="spellStart"/>
            <w:r>
              <w:rPr>
                <w:rFonts w:ascii="Arial" w:eastAsia="MyriadPro-Light" w:hAnsi="Arial" w:cs="Arial"/>
                <w:b/>
                <w:sz w:val="22"/>
                <w:szCs w:val="22"/>
                <w:lang w:eastAsia="en-US"/>
              </w:rPr>
              <w:t>Sector</w:t>
            </w:r>
            <w:proofErr w:type="spellEnd"/>
            <w:r>
              <w:rPr>
                <w:rFonts w:ascii="Arial" w:eastAsia="MyriadPro-Light" w:hAnsi="Arial" w:cs="Arial"/>
                <w:b/>
                <w:sz w:val="22"/>
                <w:szCs w:val="22"/>
                <w:lang w:eastAsia="en-US"/>
              </w:rPr>
              <w:t xml:space="preserve"> </w:t>
            </w:r>
            <w:proofErr w:type="spellStart"/>
            <w:r>
              <w:rPr>
                <w:rFonts w:ascii="Arial" w:eastAsia="MyriadPro-Light" w:hAnsi="Arial" w:cs="Arial"/>
                <w:b/>
                <w:sz w:val="22"/>
                <w:szCs w:val="22"/>
                <w:lang w:eastAsia="en-US"/>
              </w:rPr>
              <w:t>Awards</w:t>
            </w:r>
            <w:proofErr w:type="spellEnd"/>
            <w:r>
              <w:rPr>
                <w:rFonts w:ascii="Arial" w:eastAsia="MyriadPro-Light" w:hAnsi="Arial" w:cs="Arial"/>
                <w:b/>
                <w:sz w:val="22"/>
                <w:szCs w:val="22"/>
                <w:lang w:eastAsia="en-US"/>
              </w:rPr>
              <w:t xml:space="preserve"> </w:t>
            </w:r>
          </w:p>
        </w:tc>
      </w:tr>
      <w:tr w:rsidR="00F261A3" w14:paraId="2BE221DE"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0903CAC2"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Stručná definice: </w:t>
            </w:r>
          </w:p>
        </w:tc>
        <w:tc>
          <w:tcPr>
            <w:tcW w:w="6486" w:type="dxa"/>
            <w:tcBorders>
              <w:top w:val="single" w:sz="4" w:space="0" w:color="auto"/>
              <w:left w:val="single" w:sz="4" w:space="0" w:color="auto"/>
              <w:bottom w:val="single" w:sz="4" w:space="0" w:color="auto"/>
              <w:right w:val="single" w:sz="4" w:space="0" w:color="auto"/>
            </w:tcBorders>
          </w:tcPr>
          <w:p w14:paraId="718637FC" w14:textId="77777777" w:rsidR="00F261A3" w:rsidRPr="00890762" w:rsidRDefault="00F261A3" w:rsidP="00362C76">
            <w:pPr>
              <w:autoSpaceDE w:val="0"/>
              <w:autoSpaceDN w:val="0"/>
              <w:adjustRightInd w:val="0"/>
              <w:spacing w:line="276" w:lineRule="auto"/>
              <w:jc w:val="both"/>
              <w:rPr>
                <w:rFonts w:ascii="Arial" w:eastAsia="MyriadPro-Light" w:hAnsi="Arial" w:cs="Arial"/>
                <w:sz w:val="22"/>
                <w:szCs w:val="22"/>
                <w:lang w:eastAsia="en-US"/>
              </w:rPr>
            </w:pPr>
            <w:r w:rsidRPr="00890762">
              <w:rPr>
                <w:rFonts w:ascii="Arial" w:eastAsia="MyriadPro-Light" w:hAnsi="Arial" w:cs="Arial"/>
                <w:sz w:val="22"/>
                <w:szCs w:val="22"/>
                <w:lang w:eastAsia="en-US"/>
              </w:rPr>
              <w:t xml:space="preserve">Počet přihlášek do </w:t>
            </w:r>
            <w:proofErr w:type="spellStart"/>
            <w:r w:rsidRPr="00890762">
              <w:rPr>
                <w:rFonts w:ascii="Arial" w:eastAsia="MyriadPro-Light" w:hAnsi="Arial" w:cs="Arial"/>
                <w:sz w:val="22"/>
                <w:szCs w:val="22"/>
                <w:lang w:eastAsia="en-US"/>
              </w:rPr>
              <w:t>European</w:t>
            </w:r>
            <w:proofErr w:type="spellEnd"/>
            <w:r w:rsidRPr="00890762">
              <w:rPr>
                <w:rFonts w:ascii="Arial" w:eastAsia="MyriadPro-Light" w:hAnsi="Arial" w:cs="Arial"/>
                <w:sz w:val="22"/>
                <w:szCs w:val="22"/>
                <w:lang w:eastAsia="en-US"/>
              </w:rPr>
              <w:t xml:space="preserve"> Public </w:t>
            </w:r>
            <w:proofErr w:type="spellStart"/>
            <w:r w:rsidRPr="00890762">
              <w:rPr>
                <w:rFonts w:ascii="Arial" w:eastAsia="MyriadPro-Light" w:hAnsi="Arial" w:cs="Arial"/>
                <w:sz w:val="22"/>
                <w:szCs w:val="22"/>
                <w:lang w:eastAsia="en-US"/>
              </w:rPr>
              <w:t>Sector</w:t>
            </w:r>
            <w:proofErr w:type="spellEnd"/>
            <w:r w:rsidRPr="00890762">
              <w:rPr>
                <w:rFonts w:ascii="Arial" w:eastAsia="MyriadPro-Light" w:hAnsi="Arial" w:cs="Arial"/>
                <w:sz w:val="22"/>
                <w:szCs w:val="22"/>
                <w:lang w:eastAsia="en-US"/>
              </w:rPr>
              <w:t xml:space="preserve"> </w:t>
            </w:r>
            <w:proofErr w:type="spellStart"/>
            <w:r w:rsidRPr="00890762">
              <w:rPr>
                <w:rFonts w:ascii="Arial" w:eastAsia="MyriadPro-Light" w:hAnsi="Arial" w:cs="Arial"/>
                <w:sz w:val="22"/>
                <w:szCs w:val="22"/>
                <w:lang w:eastAsia="en-US"/>
              </w:rPr>
              <w:t>Awards</w:t>
            </w:r>
            <w:proofErr w:type="spellEnd"/>
            <w:r w:rsidRPr="00890762">
              <w:rPr>
                <w:rFonts w:ascii="Arial" w:eastAsia="MyriadPro-Light" w:hAnsi="Arial" w:cs="Arial"/>
                <w:sz w:val="22"/>
                <w:szCs w:val="22"/>
                <w:lang w:eastAsia="en-US"/>
              </w:rPr>
              <w:t xml:space="preserve"> </w:t>
            </w:r>
            <w:hyperlink r:id="rId16" w:history="1">
              <w:r w:rsidRPr="00890762">
                <w:rPr>
                  <w:rStyle w:val="Hypertextovodkaz"/>
                  <w:rFonts w:ascii="Arial" w:eastAsia="MyriadPro-Light" w:hAnsi="Arial" w:cs="Arial"/>
                  <w:sz w:val="22"/>
                  <w:szCs w:val="22"/>
                  <w:lang w:eastAsia="en-US"/>
                </w:rPr>
                <w:t>http://www.eipa.nl/en/topic/show/&amp;tid=282</w:t>
              </w:r>
            </w:hyperlink>
            <w:r w:rsidRPr="00890762">
              <w:rPr>
                <w:rFonts w:ascii="Arial" w:eastAsia="MyriadPro-Light" w:hAnsi="Arial" w:cs="Arial"/>
                <w:sz w:val="22"/>
                <w:szCs w:val="22"/>
                <w:lang w:eastAsia="en-US"/>
              </w:rPr>
              <w:t xml:space="preserve"> ; aktuálně </w:t>
            </w:r>
          </w:p>
          <w:p w14:paraId="451EB1A3" w14:textId="77777777" w:rsidR="00F261A3" w:rsidRPr="00890762" w:rsidRDefault="008B7571" w:rsidP="00362C76">
            <w:pPr>
              <w:spacing w:line="276" w:lineRule="auto"/>
              <w:jc w:val="both"/>
              <w:rPr>
                <w:rFonts w:ascii="Arial" w:eastAsia="MyriadPro-Light" w:hAnsi="Arial" w:cs="Arial"/>
                <w:sz w:val="22"/>
                <w:szCs w:val="22"/>
                <w:lang w:eastAsia="en-US"/>
              </w:rPr>
            </w:pPr>
            <w:hyperlink r:id="rId17" w:history="1">
              <w:r w:rsidR="00F261A3" w:rsidRPr="00890762">
                <w:rPr>
                  <w:rStyle w:val="Hypertextovodkaz"/>
                  <w:rFonts w:ascii="Arial" w:eastAsia="MyriadPro-Light" w:hAnsi="Arial" w:cs="Arial"/>
                  <w:sz w:val="22"/>
                  <w:szCs w:val="22"/>
                  <w:lang w:eastAsia="en-US"/>
                </w:rPr>
                <w:t>http://www.epsa2015.eu/</w:t>
              </w:r>
            </w:hyperlink>
            <w:r w:rsidR="00F261A3" w:rsidRPr="00890762">
              <w:rPr>
                <w:rFonts w:ascii="Arial" w:eastAsia="MyriadPro-Light" w:hAnsi="Arial" w:cs="Arial"/>
                <w:sz w:val="22"/>
                <w:szCs w:val="22"/>
                <w:lang w:eastAsia="en-US"/>
              </w:rPr>
              <w:t xml:space="preserve"> </w:t>
            </w:r>
          </w:p>
          <w:p w14:paraId="4591940E" w14:textId="77777777" w:rsidR="00F261A3" w:rsidRPr="00890762" w:rsidRDefault="00F261A3" w:rsidP="00362C76">
            <w:pPr>
              <w:spacing w:line="276" w:lineRule="auto"/>
              <w:jc w:val="both"/>
              <w:rPr>
                <w:rFonts w:ascii="Arial" w:eastAsia="MyriadPro-Light" w:hAnsi="Arial" w:cs="Arial"/>
                <w:sz w:val="22"/>
                <w:szCs w:val="22"/>
                <w:lang w:eastAsia="en-US"/>
              </w:rPr>
            </w:pPr>
          </w:p>
          <w:p w14:paraId="7CE9AEC1" w14:textId="77777777" w:rsidR="00F261A3" w:rsidRDefault="00F261A3" w:rsidP="00362C76">
            <w:pPr>
              <w:spacing w:line="276" w:lineRule="auto"/>
              <w:jc w:val="both"/>
              <w:rPr>
                <w:rFonts w:ascii="Arial" w:hAnsi="Arial" w:cs="Arial"/>
                <w:sz w:val="22"/>
                <w:szCs w:val="22"/>
                <w:lang w:eastAsia="en-US"/>
              </w:rPr>
            </w:pPr>
            <w:r w:rsidRPr="00890762">
              <w:rPr>
                <w:rFonts w:ascii="Arial" w:eastAsia="MyriadPro-Light" w:hAnsi="Arial" w:cs="Arial"/>
                <w:sz w:val="22"/>
                <w:szCs w:val="22"/>
                <w:lang w:eastAsia="en-US"/>
              </w:rPr>
              <w:t>Kvalitativní aspekt: Počet cen v jednotlivých kategoriích a podoba inovace</w:t>
            </w:r>
          </w:p>
        </w:tc>
      </w:tr>
      <w:tr w:rsidR="00F261A3" w14:paraId="4BA6B7DB"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1D3A0FF3"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Jednotka:</w:t>
            </w:r>
          </w:p>
        </w:tc>
        <w:tc>
          <w:tcPr>
            <w:tcW w:w="6486" w:type="dxa"/>
            <w:tcBorders>
              <w:top w:val="single" w:sz="4" w:space="0" w:color="auto"/>
              <w:left w:val="single" w:sz="4" w:space="0" w:color="auto"/>
              <w:bottom w:val="single" w:sz="4" w:space="0" w:color="auto"/>
              <w:right w:val="single" w:sz="4" w:space="0" w:color="auto"/>
            </w:tcBorders>
            <w:hideMark/>
          </w:tcPr>
          <w:p w14:paraId="5782AFFF"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Počet</w:t>
            </w:r>
          </w:p>
        </w:tc>
      </w:tr>
      <w:tr w:rsidR="00F261A3" w14:paraId="76C8F422"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55E82DD1"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Gestor: </w:t>
            </w:r>
          </w:p>
        </w:tc>
        <w:tc>
          <w:tcPr>
            <w:tcW w:w="6486" w:type="dxa"/>
            <w:tcBorders>
              <w:top w:val="single" w:sz="4" w:space="0" w:color="auto"/>
              <w:left w:val="single" w:sz="4" w:space="0" w:color="auto"/>
              <w:bottom w:val="single" w:sz="4" w:space="0" w:color="auto"/>
              <w:right w:val="single" w:sz="4" w:space="0" w:color="auto"/>
            </w:tcBorders>
            <w:hideMark/>
          </w:tcPr>
          <w:p w14:paraId="47327BEC" w14:textId="2F0DDE1C"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 xml:space="preserve">Úřad vlády, </w:t>
            </w:r>
            <w:r w:rsidR="009101C8">
              <w:rPr>
                <w:rFonts w:ascii="Arial" w:hAnsi="Arial" w:cs="Arial"/>
                <w:sz w:val="22"/>
                <w:szCs w:val="22"/>
                <w:lang w:eastAsia="en-US"/>
              </w:rPr>
              <w:t>Odbor</w:t>
            </w:r>
            <w:r>
              <w:rPr>
                <w:rFonts w:ascii="Arial" w:hAnsi="Arial" w:cs="Arial"/>
                <w:sz w:val="22"/>
                <w:szCs w:val="22"/>
                <w:lang w:eastAsia="en-US"/>
              </w:rPr>
              <w:t xml:space="preserve"> pro udržitelný rozvoj</w:t>
            </w:r>
          </w:p>
        </w:tc>
      </w:tr>
      <w:tr w:rsidR="00F261A3" w14:paraId="605D290A"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164AAFAB"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Význam indikátoru: </w:t>
            </w:r>
          </w:p>
        </w:tc>
        <w:tc>
          <w:tcPr>
            <w:tcW w:w="6486" w:type="dxa"/>
            <w:tcBorders>
              <w:top w:val="single" w:sz="4" w:space="0" w:color="auto"/>
              <w:left w:val="single" w:sz="4" w:space="0" w:color="auto"/>
              <w:bottom w:val="single" w:sz="4" w:space="0" w:color="auto"/>
              <w:right w:val="single" w:sz="4" w:space="0" w:color="auto"/>
            </w:tcBorders>
            <w:hideMark/>
          </w:tcPr>
          <w:p w14:paraId="4A41FB94"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Dlouhodobá efektivita vládnutí: Pokud bude v české veřejné správě rozšířena kultura inovací, měla by se projevit v jejich přelévání na evropskou úroveň; umožňuje brát v potaz různé úrovně veřejné správy; umožňuje sdílení zkušeností na evropské úrovni.</w:t>
            </w:r>
          </w:p>
        </w:tc>
      </w:tr>
      <w:tr w:rsidR="00F261A3" w14:paraId="7B74AFEC"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70FC6163"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Časová řada: </w:t>
            </w:r>
          </w:p>
        </w:tc>
        <w:tc>
          <w:tcPr>
            <w:tcW w:w="6486" w:type="dxa"/>
            <w:tcBorders>
              <w:top w:val="single" w:sz="4" w:space="0" w:color="auto"/>
              <w:left w:val="single" w:sz="4" w:space="0" w:color="auto"/>
              <w:bottom w:val="single" w:sz="4" w:space="0" w:color="auto"/>
              <w:right w:val="single" w:sz="4" w:space="0" w:color="auto"/>
            </w:tcBorders>
            <w:hideMark/>
          </w:tcPr>
          <w:p w14:paraId="1D30FD5E"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Od roku 2007</w:t>
            </w:r>
          </w:p>
        </w:tc>
      </w:tr>
      <w:tr w:rsidR="00F261A3" w14:paraId="2E2C312B"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468DFA74"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Frekvence výstupu: </w:t>
            </w:r>
          </w:p>
        </w:tc>
        <w:tc>
          <w:tcPr>
            <w:tcW w:w="6486" w:type="dxa"/>
            <w:tcBorders>
              <w:top w:val="single" w:sz="4" w:space="0" w:color="auto"/>
              <w:left w:val="single" w:sz="4" w:space="0" w:color="auto"/>
              <w:bottom w:val="single" w:sz="4" w:space="0" w:color="auto"/>
              <w:right w:val="single" w:sz="4" w:space="0" w:color="auto"/>
            </w:tcBorders>
            <w:hideMark/>
          </w:tcPr>
          <w:p w14:paraId="4FCE0896" w14:textId="68EC675A" w:rsidR="00F261A3" w:rsidRDefault="00362C76" w:rsidP="00362C76">
            <w:pPr>
              <w:spacing w:line="276" w:lineRule="auto"/>
              <w:jc w:val="both"/>
              <w:rPr>
                <w:rFonts w:ascii="Arial" w:hAnsi="Arial" w:cs="Arial"/>
                <w:sz w:val="22"/>
                <w:szCs w:val="22"/>
                <w:lang w:eastAsia="en-US"/>
              </w:rPr>
            </w:pPr>
            <w:r>
              <w:rPr>
                <w:rFonts w:ascii="Arial" w:hAnsi="Arial" w:cs="Arial"/>
                <w:sz w:val="22"/>
                <w:szCs w:val="22"/>
                <w:lang w:eastAsia="en-US"/>
              </w:rPr>
              <w:t>Jednou za dva</w:t>
            </w:r>
            <w:r w:rsidR="00F261A3">
              <w:rPr>
                <w:rFonts w:ascii="Arial" w:hAnsi="Arial" w:cs="Arial"/>
                <w:sz w:val="22"/>
                <w:szCs w:val="22"/>
                <w:lang w:eastAsia="en-US"/>
              </w:rPr>
              <w:t xml:space="preserve"> roky, nejbližší 2017</w:t>
            </w:r>
          </w:p>
        </w:tc>
      </w:tr>
      <w:tr w:rsidR="00F261A3" w14:paraId="16D1230D" w14:textId="77777777" w:rsidTr="0062345D">
        <w:trPr>
          <w:trHeight w:val="70"/>
        </w:trPr>
        <w:tc>
          <w:tcPr>
            <w:tcW w:w="2802" w:type="dxa"/>
            <w:tcBorders>
              <w:top w:val="single" w:sz="4" w:space="0" w:color="auto"/>
              <w:left w:val="single" w:sz="4" w:space="0" w:color="auto"/>
              <w:bottom w:val="single" w:sz="4" w:space="0" w:color="auto"/>
              <w:right w:val="single" w:sz="4" w:space="0" w:color="auto"/>
            </w:tcBorders>
            <w:hideMark/>
          </w:tcPr>
          <w:p w14:paraId="70670DD1"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Členění indikátoru: </w:t>
            </w:r>
          </w:p>
        </w:tc>
        <w:tc>
          <w:tcPr>
            <w:tcW w:w="6486" w:type="dxa"/>
            <w:tcBorders>
              <w:top w:val="single" w:sz="4" w:space="0" w:color="auto"/>
              <w:left w:val="single" w:sz="4" w:space="0" w:color="auto"/>
              <w:bottom w:val="single" w:sz="4" w:space="0" w:color="auto"/>
              <w:right w:val="single" w:sz="4" w:space="0" w:color="auto"/>
            </w:tcBorders>
            <w:hideMark/>
          </w:tcPr>
          <w:p w14:paraId="3C8A0AE7"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w:t>
            </w:r>
          </w:p>
        </w:tc>
      </w:tr>
      <w:tr w:rsidR="00F261A3" w14:paraId="103F259C" w14:textId="77777777" w:rsidTr="0062345D">
        <w:trPr>
          <w:trHeight w:val="70"/>
        </w:trPr>
        <w:tc>
          <w:tcPr>
            <w:tcW w:w="2802" w:type="dxa"/>
            <w:tcBorders>
              <w:top w:val="single" w:sz="4" w:space="0" w:color="auto"/>
              <w:left w:val="single" w:sz="4" w:space="0" w:color="auto"/>
              <w:bottom w:val="single" w:sz="4" w:space="0" w:color="auto"/>
              <w:right w:val="single" w:sz="4" w:space="0" w:color="auto"/>
            </w:tcBorders>
            <w:hideMark/>
          </w:tcPr>
          <w:p w14:paraId="703A691C"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Mezinárodní srovnání:</w:t>
            </w:r>
          </w:p>
        </w:tc>
        <w:tc>
          <w:tcPr>
            <w:tcW w:w="6486" w:type="dxa"/>
            <w:tcBorders>
              <w:top w:val="single" w:sz="4" w:space="0" w:color="auto"/>
              <w:left w:val="single" w:sz="4" w:space="0" w:color="auto"/>
              <w:bottom w:val="single" w:sz="4" w:space="0" w:color="auto"/>
              <w:right w:val="single" w:sz="4" w:space="0" w:color="auto"/>
            </w:tcBorders>
            <w:hideMark/>
          </w:tcPr>
          <w:p w14:paraId="0BDF4AA4"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EU</w:t>
            </w:r>
          </w:p>
        </w:tc>
      </w:tr>
    </w:tbl>
    <w:p w14:paraId="619295B4" w14:textId="77777777" w:rsidR="00F261A3" w:rsidRDefault="00F261A3" w:rsidP="0061774A"/>
    <w:tbl>
      <w:tblPr>
        <w:tblStyle w:val="Mkatabulky"/>
        <w:tblW w:w="0" w:type="auto"/>
        <w:tblLook w:val="04A0" w:firstRow="1" w:lastRow="0" w:firstColumn="1" w:lastColumn="0" w:noHBand="0" w:noVBand="1"/>
      </w:tblPr>
      <w:tblGrid>
        <w:gridCol w:w="2802"/>
        <w:gridCol w:w="6486"/>
      </w:tblGrid>
      <w:tr w:rsidR="00F261A3" w14:paraId="1542C228"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4F8617E5"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Název a označení indikátoru: </w:t>
            </w:r>
          </w:p>
        </w:tc>
        <w:tc>
          <w:tcPr>
            <w:tcW w:w="6486" w:type="dxa"/>
            <w:tcBorders>
              <w:top w:val="single" w:sz="4" w:space="0" w:color="auto"/>
              <w:left w:val="single" w:sz="4" w:space="0" w:color="auto"/>
              <w:bottom w:val="single" w:sz="4" w:space="0" w:color="auto"/>
              <w:right w:val="single" w:sz="4" w:space="0" w:color="auto"/>
            </w:tcBorders>
            <w:hideMark/>
          </w:tcPr>
          <w:p w14:paraId="664F8F8B" w14:textId="77777777" w:rsidR="00F261A3" w:rsidRDefault="00F261A3" w:rsidP="0062345D">
            <w:pPr>
              <w:autoSpaceDE w:val="0"/>
              <w:autoSpaceDN w:val="0"/>
              <w:adjustRightInd w:val="0"/>
              <w:spacing w:line="276" w:lineRule="auto"/>
              <w:rPr>
                <w:rFonts w:ascii="Arial" w:hAnsi="Arial" w:cs="Arial"/>
                <w:b/>
                <w:sz w:val="22"/>
                <w:szCs w:val="22"/>
                <w:lang w:val="en-GB" w:eastAsia="en-US"/>
              </w:rPr>
            </w:pPr>
            <w:r>
              <w:rPr>
                <w:rFonts w:ascii="Arial" w:eastAsia="MyriadPro-Light" w:hAnsi="Arial" w:cs="Arial"/>
                <w:b/>
                <w:sz w:val="22"/>
                <w:szCs w:val="22"/>
                <w:lang w:eastAsia="en-US"/>
              </w:rPr>
              <w:t xml:space="preserve">26.1.2 Počet záznamů v databázi OECD </w:t>
            </w:r>
            <w:r>
              <w:rPr>
                <w:rFonts w:ascii="Arial" w:hAnsi="Arial" w:cs="Arial"/>
                <w:b/>
                <w:sz w:val="22"/>
                <w:szCs w:val="22"/>
                <w:lang w:val="en-GB" w:eastAsia="en-US"/>
              </w:rPr>
              <w:t xml:space="preserve">Observatory of Public Sector Innovation </w:t>
            </w:r>
          </w:p>
        </w:tc>
      </w:tr>
      <w:tr w:rsidR="00F261A3" w14:paraId="57F6B275"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3D1F3945"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Stručná definice: </w:t>
            </w:r>
          </w:p>
        </w:tc>
        <w:tc>
          <w:tcPr>
            <w:tcW w:w="6486" w:type="dxa"/>
            <w:tcBorders>
              <w:top w:val="single" w:sz="4" w:space="0" w:color="auto"/>
              <w:left w:val="single" w:sz="4" w:space="0" w:color="auto"/>
              <w:bottom w:val="single" w:sz="4" w:space="0" w:color="auto"/>
              <w:right w:val="single" w:sz="4" w:space="0" w:color="auto"/>
            </w:tcBorders>
          </w:tcPr>
          <w:p w14:paraId="71E4E381" w14:textId="77777777" w:rsidR="00F261A3" w:rsidRPr="00890762" w:rsidRDefault="00F261A3" w:rsidP="00362C76">
            <w:pPr>
              <w:spacing w:line="276" w:lineRule="auto"/>
              <w:jc w:val="both"/>
              <w:rPr>
                <w:rFonts w:ascii="Arial" w:hAnsi="Arial" w:cs="Arial"/>
                <w:sz w:val="22"/>
                <w:szCs w:val="22"/>
                <w:lang w:val="en-GB" w:eastAsia="en-US"/>
              </w:rPr>
            </w:pPr>
            <w:r w:rsidRPr="00890762">
              <w:rPr>
                <w:rFonts w:ascii="Arial" w:eastAsia="MyriadPro-Light" w:hAnsi="Arial" w:cs="Arial"/>
                <w:sz w:val="22"/>
                <w:szCs w:val="22"/>
                <w:lang w:eastAsia="en-US"/>
              </w:rPr>
              <w:t xml:space="preserve">Počet záznamů v databázi OECD </w:t>
            </w:r>
            <w:r w:rsidRPr="00890762">
              <w:rPr>
                <w:rFonts w:ascii="Arial" w:hAnsi="Arial" w:cs="Arial"/>
                <w:sz w:val="22"/>
                <w:szCs w:val="22"/>
                <w:lang w:val="en-GB" w:eastAsia="en-US"/>
              </w:rPr>
              <w:t xml:space="preserve">Observatory of Public Sector Innovation </w:t>
            </w:r>
            <w:hyperlink r:id="rId18" w:history="1">
              <w:r w:rsidRPr="00890762">
                <w:rPr>
                  <w:rStyle w:val="Hypertextovodkaz"/>
                  <w:rFonts w:ascii="Arial" w:hAnsi="Arial" w:cs="Arial"/>
                  <w:sz w:val="22"/>
                  <w:szCs w:val="22"/>
                  <w:lang w:val="en-GB" w:eastAsia="en-US"/>
                </w:rPr>
                <w:t>https://www.oecd.org/governance/observatory-public-sector-</w:t>
              </w:r>
              <w:r w:rsidRPr="00890762">
                <w:rPr>
                  <w:rStyle w:val="Hypertextovodkaz"/>
                  <w:rFonts w:ascii="Arial" w:hAnsi="Arial" w:cs="Arial"/>
                  <w:sz w:val="22"/>
                  <w:szCs w:val="22"/>
                  <w:lang w:val="en-GB" w:eastAsia="en-US"/>
                </w:rPr>
                <w:lastRenderedPageBreak/>
                <w:t>innovation/</w:t>
              </w:r>
            </w:hyperlink>
            <w:r w:rsidRPr="00890762">
              <w:rPr>
                <w:rFonts w:ascii="Arial" w:hAnsi="Arial" w:cs="Arial"/>
                <w:sz w:val="22"/>
                <w:szCs w:val="22"/>
                <w:lang w:val="en-GB" w:eastAsia="en-US"/>
              </w:rPr>
              <w:t xml:space="preserve"> </w:t>
            </w:r>
          </w:p>
          <w:p w14:paraId="74F8CB17" w14:textId="77777777" w:rsidR="00F261A3" w:rsidRPr="00890762" w:rsidRDefault="00F261A3" w:rsidP="00362C76">
            <w:pPr>
              <w:spacing w:line="276" w:lineRule="auto"/>
              <w:jc w:val="both"/>
              <w:rPr>
                <w:rFonts w:ascii="Arial" w:hAnsi="Arial" w:cs="Arial"/>
                <w:sz w:val="22"/>
                <w:szCs w:val="22"/>
                <w:lang w:val="en-GB" w:eastAsia="en-US"/>
              </w:rPr>
            </w:pPr>
          </w:p>
          <w:p w14:paraId="07941BAF" w14:textId="77777777" w:rsidR="00F261A3" w:rsidRPr="00890762" w:rsidRDefault="00F261A3" w:rsidP="00362C76">
            <w:pPr>
              <w:spacing w:line="276" w:lineRule="auto"/>
              <w:jc w:val="both"/>
              <w:rPr>
                <w:rFonts w:ascii="Arial" w:hAnsi="Arial" w:cs="Arial"/>
                <w:sz w:val="22"/>
                <w:szCs w:val="22"/>
                <w:lang w:val="en-GB" w:eastAsia="en-US"/>
              </w:rPr>
            </w:pPr>
            <w:r w:rsidRPr="006C0AD0">
              <w:rPr>
                <w:rFonts w:ascii="Arial" w:hAnsi="Arial" w:cs="Arial"/>
                <w:sz w:val="22"/>
                <w:szCs w:val="22"/>
                <w:lang w:eastAsia="en-US"/>
              </w:rPr>
              <w:t>Kvalitativní aspekt: počet záznamů v jednotlivých kategoriích a</w:t>
            </w:r>
            <w:r w:rsidRPr="00890762">
              <w:rPr>
                <w:rFonts w:ascii="Arial" w:hAnsi="Arial" w:cs="Arial"/>
                <w:sz w:val="22"/>
                <w:szCs w:val="22"/>
                <w:lang w:val="en-GB" w:eastAsia="en-US"/>
              </w:rPr>
              <w:t xml:space="preserve"> </w:t>
            </w:r>
            <w:proofErr w:type="spellStart"/>
            <w:r w:rsidRPr="00890762">
              <w:rPr>
                <w:rFonts w:ascii="Arial" w:hAnsi="Arial" w:cs="Arial"/>
                <w:sz w:val="22"/>
                <w:szCs w:val="22"/>
                <w:lang w:val="en-GB" w:eastAsia="en-US"/>
              </w:rPr>
              <w:t>podoba</w:t>
            </w:r>
            <w:proofErr w:type="spellEnd"/>
            <w:r w:rsidRPr="00890762">
              <w:rPr>
                <w:rFonts w:ascii="Arial" w:hAnsi="Arial" w:cs="Arial"/>
                <w:sz w:val="22"/>
                <w:szCs w:val="22"/>
                <w:lang w:val="en-GB" w:eastAsia="en-US"/>
              </w:rPr>
              <w:t xml:space="preserve"> </w:t>
            </w:r>
            <w:proofErr w:type="spellStart"/>
            <w:r w:rsidRPr="00890762">
              <w:rPr>
                <w:rFonts w:ascii="Arial" w:hAnsi="Arial" w:cs="Arial"/>
                <w:sz w:val="22"/>
                <w:szCs w:val="22"/>
                <w:lang w:val="en-GB" w:eastAsia="en-US"/>
              </w:rPr>
              <w:t>inovace</w:t>
            </w:r>
            <w:proofErr w:type="spellEnd"/>
          </w:p>
        </w:tc>
      </w:tr>
      <w:tr w:rsidR="00F261A3" w14:paraId="4577F5E6"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2E2920F3"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lastRenderedPageBreak/>
              <w:t>Jednotka:</w:t>
            </w:r>
          </w:p>
        </w:tc>
        <w:tc>
          <w:tcPr>
            <w:tcW w:w="6486" w:type="dxa"/>
            <w:tcBorders>
              <w:top w:val="single" w:sz="4" w:space="0" w:color="auto"/>
              <w:left w:val="single" w:sz="4" w:space="0" w:color="auto"/>
              <w:bottom w:val="single" w:sz="4" w:space="0" w:color="auto"/>
              <w:right w:val="single" w:sz="4" w:space="0" w:color="auto"/>
            </w:tcBorders>
            <w:hideMark/>
          </w:tcPr>
          <w:p w14:paraId="7AE1DA13"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Počet</w:t>
            </w:r>
          </w:p>
        </w:tc>
      </w:tr>
      <w:tr w:rsidR="00F261A3" w14:paraId="4016E1BF"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26216115"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Gestor: </w:t>
            </w:r>
          </w:p>
        </w:tc>
        <w:tc>
          <w:tcPr>
            <w:tcW w:w="6486" w:type="dxa"/>
            <w:tcBorders>
              <w:top w:val="single" w:sz="4" w:space="0" w:color="auto"/>
              <w:left w:val="single" w:sz="4" w:space="0" w:color="auto"/>
              <w:bottom w:val="single" w:sz="4" w:space="0" w:color="auto"/>
              <w:right w:val="single" w:sz="4" w:space="0" w:color="auto"/>
            </w:tcBorders>
            <w:hideMark/>
          </w:tcPr>
          <w:p w14:paraId="69962503" w14:textId="7E4A4CEE"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 xml:space="preserve">Úřad vlády, </w:t>
            </w:r>
            <w:r w:rsidR="009101C8">
              <w:rPr>
                <w:rFonts w:ascii="Arial" w:hAnsi="Arial" w:cs="Arial"/>
                <w:sz w:val="22"/>
                <w:szCs w:val="22"/>
                <w:lang w:eastAsia="en-US"/>
              </w:rPr>
              <w:t>Odbor</w:t>
            </w:r>
            <w:r>
              <w:rPr>
                <w:rFonts w:ascii="Arial" w:hAnsi="Arial" w:cs="Arial"/>
                <w:sz w:val="22"/>
                <w:szCs w:val="22"/>
                <w:lang w:eastAsia="en-US"/>
              </w:rPr>
              <w:t xml:space="preserve"> pro udržitelný rozvoj</w:t>
            </w:r>
          </w:p>
        </w:tc>
      </w:tr>
      <w:tr w:rsidR="00F261A3" w14:paraId="36A8A22C"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48DF2751"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Význam indikátoru: </w:t>
            </w:r>
          </w:p>
        </w:tc>
        <w:tc>
          <w:tcPr>
            <w:tcW w:w="6486" w:type="dxa"/>
            <w:tcBorders>
              <w:top w:val="single" w:sz="4" w:space="0" w:color="auto"/>
              <w:left w:val="single" w:sz="4" w:space="0" w:color="auto"/>
              <w:bottom w:val="single" w:sz="4" w:space="0" w:color="auto"/>
              <w:right w:val="single" w:sz="4" w:space="0" w:color="auto"/>
            </w:tcBorders>
            <w:hideMark/>
          </w:tcPr>
          <w:p w14:paraId="33F41A7B"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Dlouhodobá efektivita vládnutí: Pokud bude v české veřejné správě rozšířena kultura inovací, měla by se projevit v jejich přelévání na evropskou úroveň; umožňuje brát v potaz různé úrovně veřejné správy; umožňuje sdílení zkušeností na evropské úrovni.</w:t>
            </w:r>
          </w:p>
        </w:tc>
      </w:tr>
      <w:tr w:rsidR="00F261A3" w14:paraId="0DC1BE52"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7E624261"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Časová řada: </w:t>
            </w:r>
          </w:p>
        </w:tc>
        <w:tc>
          <w:tcPr>
            <w:tcW w:w="6486" w:type="dxa"/>
            <w:tcBorders>
              <w:top w:val="single" w:sz="4" w:space="0" w:color="auto"/>
              <w:left w:val="single" w:sz="4" w:space="0" w:color="auto"/>
              <w:bottom w:val="single" w:sz="4" w:space="0" w:color="auto"/>
              <w:right w:val="single" w:sz="4" w:space="0" w:color="auto"/>
            </w:tcBorders>
            <w:hideMark/>
          </w:tcPr>
          <w:p w14:paraId="1A997F9F"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Relevantní od 1993</w:t>
            </w:r>
          </w:p>
        </w:tc>
      </w:tr>
      <w:tr w:rsidR="00F261A3" w14:paraId="08202D23"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5CAF152C"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Frekvence výstupu: </w:t>
            </w:r>
          </w:p>
        </w:tc>
        <w:tc>
          <w:tcPr>
            <w:tcW w:w="6486" w:type="dxa"/>
            <w:tcBorders>
              <w:top w:val="single" w:sz="4" w:space="0" w:color="auto"/>
              <w:left w:val="single" w:sz="4" w:space="0" w:color="auto"/>
              <w:bottom w:val="single" w:sz="4" w:space="0" w:color="auto"/>
              <w:right w:val="single" w:sz="4" w:space="0" w:color="auto"/>
            </w:tcBorders>
            <w:hideMark/>
          </w:tcPr>
          <w:p w14:paraId="43CC1A77"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Ročně</w:t>
            </w:r>
          </w:p>
        </w:tc>
      </w:tr>
      <w:tr w:rsidR="00F261A3" w14:paraId="45786199" w14:textId="77777777" w:rsidTr="0062345D">
        <w:trPr>
          <w:trHeight w:val="70"/>
        </w:trPr>
        <w:tc>
          <w:tcPr>
            <w:tcW w:w="2802" w:type="dxa"/>
            <w:tcBorders>
              <w:top w:val="single" w:sz="4" w:space="0" w:color="auto"/>
              <w:left w:val="single" w:sz="4" w:space="0" w:color="auto"/>
              <w:bottom w:val="single" w:sz="4" w:space="0" w:color="auto"/>
              <w:right w:val="single" w:sz="4" w:space="0" w:color="auto"/>
            </w:tcBorders>
            <w:hideMark/>
          </w:tcPr>
          <w:p w14:paraId="55704C63"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Členění indikátoru: </w:t>
            </w:r>
          </w:p>
        </w:tc>
        <w:tc>
          <w:tcPr>
            <w:tcW w:w="6486" w:type="dxa"/>
            <w:tcBorders>
              <w:top w:val="single" w:sz="4" w:space="0" w:color="auto"/>
              <w:left w:val="single" w:sz="4" w:space="0" w:color="auto"/>
              <w:bottom w:val="single" w:sz="4" w:space="0" w:color="auto"/>
              <w:right w:val="single" w:sz="4" w:space="0" w:color="auto"/>
            </w:tcBorders>
            <w:hideMark/>
          </w:tcPr>
          <w:p w14:paraId="502F6667"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w:t>
            </w:r>
          </w:p>
        </w:tc>
      </w:tr>
      <w:tr w:rsidR="00F261A3" w14:paraId="003BBBE0" w14:textId="77777777" w:rsidTr="0062345D">
        <w:trPr>
          <w:trHeight w:val="70"/>
        </w:trPr>
        <w:tc>
          <w:tcPr>
            <w:tcW w:w="2802" w:type="dxa"/>
            <w:tcBorders>
              <w:top w:val="single" w:sz="4" w:space="0" w:color="auto"/>
              <w:left w:val="single" w:sz="4" w:space="0" w:color="auto"/>
              <w:bottom w:val="single" w:sz="4" w:space="0" w:color="auto"/>
              <w:right w:val="single" w:sz="4" w:space="0" w:color="auto"/>
            </w:tcBorders>
            <w:hideMark/>
          </w:tcPr>
          <w:p w14:paraId="3644FECD"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Mezinárodní srovnání:</w:t>
            </w:r>
          </w:p>
        </w:tc>
        <w:tc>
          <w:tcPr>
            <w:tcW w:w="6486" w:type="dxa"/>
            <w:tcBorders>
              <w:top w:val="single" w:sz="4" w:space="0" w:color="auto"/>
              <w:left w:val="single" w:sz="4" w:space="0" w:color="auto"/>
              <w:bottom w:val="single" w:sz="4" w:space="0" w:color="auto"/>
              <w:right w:val="single" w:sz="4" w:space="0" w:color="auto"/>
            </w:tcBorders>
            <w:hideMark/>
          </w:tcPr>
          <w:p w14:paraId="0FEFDE9C"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OECD</w:t>
            </w:r>
          </w:p>
        </w:tc>
      </w:tr>
    </w:tbl>
    <w:p w14:paraId="0EA33281" w14:textId="77777777" w:rsidR="00F261A3" w:rsidRDefault="00F261A3" w:rsidP="0061774A"/>
    <w:tbl>
      <w:tblPr>
        <w:tblStyle w:val="Mkatabulky"/>
        <w:tblW w:w="0" w:type="auto"/>
        <w:tblLook w:val="04A0" w:firstRow="1" w:lastRow="0" w:firstColumn="1" w:lastColumn="0" w:noHBand="0" w:noVBand="1"/>
      </w:tblPr>
      <w:tblGrid>
        <w:gridCol w:w="2802"/>
        <w:gridCol w:w="6486"/>
      </w:tblGrid>
      <w:tr w:rsidR="00F261A3" w14:paraId="5B571A6D"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25D54633"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Název a označení indikátoru: </w:t>
            </w:r>
          </w:p>
        </w:tc>
        <w:tc>
          <w:tcPr>
            <w:tcW w:w="6486" w:type="dxa"/>
            <w:tcBorders>
              <w:top w:val="single" w:sz="4" w:space="0" w:color="auto"/>
              <w:left w:val="single" w:sz="4" w:space="0" w:color="auto"/>
              <w:bottom w:val="single" w:sz="4" w:space="0" w:color="auto"/>
              <w:right w:val="single" w:sz="4" w:space="0" w:color="auto"/>
            </w:tcBorders>
            <w:hideMark/>
          </w:tcPr>
          <w:p w14:paraId="01F2D161" w14:textId="77777777" w:rsidR="00F261A3" w:rsidRDefault="00F261A3" w:rsidP="0062345D">
            <w:pPr>
              <w:autoSpaceDE w:val="0"/>
              <w:autoSpaceDN w:val="0"/>
              <w:adjustRightInd w:val="0"/>
              <w:spacing w:line="276" w:lineRule="auto"/>
              <w:rPr>
                <w:rFonts w:ascii="Arial" w:hAnsi="Arial" w:cs="Arial"/>
                <w:b/>
                <w:sz w:val="22"/>
                <w:szCs w:val="22"/>
                <w:lang w:eastAsia="en-US"/>
              </w:rPr>
            </w:pPr>
            <w:r>
              <w:rPr>
                <w:rFonts w:ascii="Arial" w:hAnsi="Arial" w:cs="Arial"/>
                <w:b/>
                <w:sz w:val="22"/>
                <w:szCs w:val="22"/>
                <w:lang w:eastAsia="en-US"/>
              </w:rPr>
              <w:t>26.1.3 Počet institucí, které se přihlásily do soutěže o Cenu Ministerstva vnitra za inovaci ve veřejné správě.</w:t>
            </w:r>
          </w:p>
        </w:tc>
      </w:tr>
      <w:tr w:rsidR="00F261A3" w14:paraId="0418D4C3"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379DBD8A"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Stručná definice: </w:t>
            </w:r>
          </w:p>
        </w:tc>
        <w:tc>
          <w:tcPr>
            <w:tcW w:w="6486" w:type="dxa"/>
            <w:tcBorders>
              <w:top w:val="single" w:sz="4" w:space="0" w:color="auto"/>
              <w:left w:val="single" w:sz="4" w:space="0" w:color="auto"/>
              <w:bottom w:val="single" w:sz="4" w:space="0" w:color="auto"/>
              <w:right w:val="single" w:sz="4" w:space="0" w:color="auto"/>
            </w:tcBorders>
          </w:tcPr>
          <w:p w14:paraId="397D1DDE" w14:textId="77777777" w:rsidR="00F261A3" w:rsidRDefault="00F261A3" w:rsidP="00362C76">
            <w:pPr>
              <w:autoSpaceDE w:val="0"/>
              <w:autoSpaceDN w:val="0"/>
              <w:adjustRightInd w:val="0"/>
              <w:spacing w:line="276" w:lineRule="auto"/>
              <w:jc w:val="both"/>
              <w:rPr>
                <w:rFonts w:ascii="Arial" w:hAnsi="Arial" w:cs="Arial"/>
                <w:sz w:val="22"/>
                <w:szCs w:val="22"/>
                <w:lang w:eastAsia="en-US"/>
              </w:rPr>
            </w:pPr>
            <w:r>
              <w:rPr>
                <w:rFonts w:ascii="Arial" w:hAnsi="Arial" w:cs="Arial"/>
                <w:sz w:val="22"/>
                <w:szCs w:val="22"/>
                <w:lang w:eastAsia="en-US"/>
              </w:rPr>
              <w:t>Počet institucí, které se přihlásily do soutěže o Cenu MV za inovaci ve veřejné správě.</w:t>
            </w:r>
          </w:p>
          <w:p w14:paraId="0FEF931C" w14:textId="77777777" w:rsidR="00F261A3" w:rsidRDefault="00F261A3" w:rsidP="00362C76">
            <w:pPr>
              <w:autoSpaceDE w:val="0"/>
              <w:autoSpaceDN w:val="0"/>
              <w:adjustRightInd w:val="0"/>
              <w:spacing w:line="276" w:lineRule="auto"/>
              <w:jc w:val="both"/>
              <w:rPr>
                <w:rFonts w:ascii="Arial" w:hAnsi="Arial" w:cs="Arial"/>
                <w:sz w:val="22"/>
                <w:szCs w:val="22"/>
                <w:lang w:eastAsia="en-US"/>
              </w:rPr>
            </w:pPr>
          </w:p>
          <w:p w14:paraId="74EB5B41" w14:textId="77777777" w:rsidR="00F261A3" w:rsidRDefault="00F261A3" w:rsidP="00362C76">
            <w:pPr>
              <w:autoSpaceDE w:val="0"/>
              <w:autoSpaceDN w:val="0"/>
              <w:adjustRightInd w:val="0"/>
              <w:spacing w:line="276" w:lineRule="auto"/>
              <w:jc w:val="both"/>
              <w:rPr>
                <w:rFonts w:ascii="Arial" w:hAnsi="Arial" w:cs="Arial"/>
                <w:sz w:val="22"/>
                <w:szCs w:val="22"/>
                <w:lang w:eastAsia="en-US"/>
              </w:rPr>
            </w:pPr>
            <w:r>
              <w:rPr>
                <w:rFonts w:ascii="Arial" w:hAnsi="Arial" w:cs="Arial"/>
                <w:sz w:val="22"/>
                <w:szCs w:val="22"/>
                <w:lang w:eastAsia="en-US"/>
              </w:rPr>
              <w:t>Kvalitativní aspekt: zprávy hodnotitelů, informace MV o rozšíření inovace ve veřejné správě</w:t>
            </w:r>
          </w:p>
        </w:tc>
      </w:tr>
      <w:tr w:rsidR="00F261A3" w14:paraId="32CF2311"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47A6F1F7"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Jednotka:</w:t>
            </w:r>
          </w:p>
        </w:tc>
        <w:tc>
          <w:tcPr>
            <w:tcW w:w="6486" w:type="dxa"/>
            <w:tcBorders>
              <w:top w:val="single" w:sz="4" w:space="0" w:color="auto"/>
              <w:left w:val="single" w:sz="4" w:space="0" w:color="auto"/>
              <w:bottom w:val="single" w:sz="4" w:space="0" w:color="auto"/>
              <w:right w:val="single" w:sz="4" w:space="0" w:color="auto"/>
            </w:tcBorders>
            <w:hideMark/>
          </w:tcPr>
          <w:p w14:paraId="6A9D6240"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Počet</w:t>
            </w:r>
          </w:p>
        </w:tc>
      </w:tr>
      <w:tr w:rsidR="00F261A3" w14:paraId="6C3BABEF"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4F8119A4"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Gestor: </w:t>
            </w:r>
          </w:p>
        </w:tc>
        <w:tc>
          <w:tcPr>
            <w:tcW w:w="6486" w:type="dxa"/>
            <w:tcBorders>
              <w:top w:val="single" w:sz="4" w:space="0" w:color="auto"/>
              <w:left w:val="single" w:sz="4" w:space="0" w:color="auto"/>
              <w:bottom w:val="single" w:sz="4" w:space="0" w:color="auto"/>
              <w:right w:val="single" w:sz="4" w:space="0" w:color="auto"/>
            </w:tcBorders>
            <w:hideMark/>
          </w:tcPr>
          <w:p w14:paraId="26C199F2"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Ministerstvo vnitra</w:t>
            </w:r>
          </w:p>
        </w:tc>
      </w:tr>
      <w:tr w:rsidR="00F261A3" w14:paraId="4BF3DECA"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483FD38E"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Význam indikátoru: </w:t>
            </w:r>
          </w:p>
        </w:tc>
        <w:tc>
          <w:tcPr>
            <w:tcW w:w="6486" w:type="dxa"/>
            <w:tcBorders>
              <w:top w:val="single" w:sz="4" w:space="0" w:color="auto"/>
              <w:left w:val="single" w:sz="4" w:space="0" w:color="auto"/>
              <w:bottom w:val="single" w:sz="4" w:space="0" w:color="auto"/>
              <w:right w:val="single" w:sz="4" w:space="0" w:color="auto"/>
            </w:tcBorders>
            <w:hideMark/>
          </w:tcPr>
          <w:p w14:paraId="53A3BF6F"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Dlouhodobá efektivita vládnutí: Pokud bude v české veřejné správě rozšířena kultura inovací, měla by se projevit nárůstem zájmu; umožňuje zachytit česká specifika.</w:t>
            </w:r>
          </w:p>
        </w:tc>
      </w:tr>
      <w:tr w:rsidR="00F261A3" w14:paraId="2F69D668"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65B6C093"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Časová řada: </w:t>
            </w:r>
          </w:p>
        </w:tc>
        <w:tc>
          <w:tcPr>
            <w:tcW w:w="6486" w:type="dxa"/>
            <w:tcBorders>
              <w:top w:val="single" w:sz="4" w:space="0" w:color="auto"/>
              <w:left w:val="single" w:sz="4" w:space="0" w:color="auto"/>
              <w:bottom w:val="single" w:sz="4" w:space="0" w:color="auto"/>
              <w:right w:val="single" w:sz="4" w:space="0" w:color="auto"/>
            </w:tcBorders>
            <w:hideMark/>
          </w:tcPr>
          <w:p w14:paraId="2F06B566"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Od roku 2005</w:t>
            </w:r>
          </w:p>
        </w:tc>
      </w:tr>
      <w:tr w:rsidR="00F261A3" w14:paraId="3D603293"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0A533125"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Frekvence výstupu: </w:t>
            </w:r>
          </w:p>
        </w:tc>
        <w:tc>
          <w:tcPr>
            <w:tcW w:w="6486" w:type="dxa"/>
            <w:tcBorders>
              <w:top w:val="single" w:sz="4" w:space="0" w:color="auto"/>
              <w:left w:val="single" w:sz="4" w:space="0" w:color="auto"/>
              <w:bottom w:val="single" w:sz="4" w:space="0" w:color="auto"/>
              <w:right w:val="single" w:sz="4" w:space="0" w:color="auto"/>
            </w:tcBorders>
            <w:hideMark/>
          </w:tcPr>
          <w:p w14:paraId="3491185B"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Ročně</w:t>
            </w:r>
          </w:p>
        </w:tc>
      </w:tr>
      <w:tr w:rsidR="00F261A3" w14:paraId="2DB63DCF" w14:textId="77777777" w:rsidTr="0062345D">
        <w:trPr>
          <w:trHeight w:val="70"/>
        </w:trPr>
        <w:tc>
          <w:tcPr>
            <w:tcW w:w="2802" w:type="dxa"/>
            <w:tcBorders>
              <w:top w:val="single" w:sz="4" w:space="0" w:color="auto"/>
              <w:left w:val="single" w:sz="4" w:space="0" w:color="auto"/>
              <w:bottom w:val="single" w:sz="4" w:space="0" w:color="auto"/>
              <w:right w:val="single" w:sz="4" w:space="0" w:color="auto"/>
            </w:tcBorders>
            <w:hideMark/>
          </w:tcPr>
          <w:p w14:paraId="2E81113D"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Členění indikátoru: </w:t>
            </w:r>
          </w:p>
        </w:tc>
        <w:tc>
          <w:tcPr>
            <w:tcW w:w="6486" w:type="dxa"/>
            <w:tcBorders>
              <w:top w:val="single" w:sz="4" w:space="0" w:color="auto"/>
              <w:left w:val="single" w:sz="4" w:space="0" w:color="auto"/>
              <w:bottom w:val="single" w:sz="4" w:space="0" w:color="auto"/>
              <w:right w:val="single" w:sz="4" w:space="0" w:color="auto"/>
            </w:tcBorders>
            <w:hideMark/>
          </w:tcPr>
          <w:p w14:paraId="287F10DA"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w:t>
            </w:r>
          </w:p>
        </w:tc>
      </w:tr>
      <w:tr w:rsidR="00F261A3" w14:paraId="312DCDEB" w14:textId="77777777" w:rsidTr="0062345D">
        <w:trPr>
          <w:trHeight w:val="70"/>
        </w:trPr>
        <w:tc>
          <w:tcPr>
            <w:tcW w:w="2802" w:type="dxa"/>
            <w:tcBorders>
              <w:top w:val="single" w:sz="4" w:space="0" w:color="auto"/>
              <w:left w:val="single" w:sz="4" w:space="0" w:color="auto"/>
              <w:bottom w:val="single" w:sz="4" w:space="0" w:color="auto"/>
              <w:right w:val="single" w:sz="4" w:space="0" w:color="auto"/>
            </w:tcBorders>
            <w:hideMark/>
          </w:tcPr>
          <w:p w14:paraId="436DF408"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Mezinárodní srovnání:</w:t>
            </w:r>
          </w:p>
        </w:tc>
        <w:tc>
          <w:tcPr>
            <w:tcW w:w="6486" w:type="dxa"/>
            <w:tcBorders>
              <w:top w:val="single" w:sz="4" w:space="0" w:color="auto"/>
              <w:left w:val="single" w:sz="4" w:space="0" w:color="auto"/>
              <w:bottom w:val="single" w:sz="4" w:space="0" w:color="auto"/>
              <w:right w:val="single" w:sz="4" w:space="0" w:color="auto"/>
            </w:tcBorders>
            <w:hideMark/>
          </w:tcPr>
          <w:p w14:paraId="6C37BBD5"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w:t>
            </w:r>
          </w:p>
        </w:tc>
      </w:tr>
    </w:tbl>
    <w:p w14:paraId="45418DCF" w14:textId="73E3C8FC" w:rsidR="00F261A3" w:rsidRDefault="004830D0" w:rsidP="00362C76">
      <w:pPr>
        <w:pStyle w:val="r2030podcle"/>
        <w:numPr>
          <w:ilvl w:val="1"/>
          <w:numId w:val="17"/>
        </w:numPr>
        <w:ind w:left="567" w:hanging="425"/>
      </w:pPr>
      <w:r w:rsidRPr="00020BA6">
        <w:t>Pilotáže se stanou součástí tvorby veřejných politik</w:t>
      </w:r>
      <w:r>
        <w:t xml:space="preserve"> všude tam, kde to bude dle charakteru politiky vhodné</w:t>
      </w:r>
      <w:r w:rsidRPr="00020BA6">
        <w:t>.</w:t>
      </w:r>
    </w:p>
    <w:tbl>
      <w:tblPr>
        <w:tblStyle w:val="Mkatabulky"/>
        <w:tblW w:w="0" w:type="auto"/>
        <w:tblLook w:val="04A0" w:firstRow="1" w:lastRow="0" w:firstColumn="1" w:lastColumn="0" w:noHBand="0" w:noVBand="1"/>
      </w:tblPr>
      <w:tblGrid>
        <w:gridCol w:w="2802"/>
        <w:gridCol w:w="6486"/>
      </w:tblGrid>
      <w:tr w:rsidR="00F261A3" w14:paraId="75402876"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7EEA0514" w14:textId="77777777" w:rsidR="00F261A3" w:rsidRDefault="00F261A3" w:rsidP="0062345D">
            <w:pPr>
              <w:rPr>
                <w:rFonts w:ascii="Arial" w:hAnsi="Arial" w:cs="Arial"/>
                <w:sz w:val="22"/>
                <w:szCs w:val="22"/>
                <w:lang w:eastAsia="en-US"/>
              </w:rPr>
            </w:pPr>
            <w:r>
              <w:rPr>
                <w:rFonts w:ascii="Arial" w:hAnsi="Arial" w:cs="Arial"/>
                <w:sz w:val="22"/>
                <w:szCs w:val="22"/>
                <w:lang w:eastAsia="en-US"/>
              </w:rPr>
              <w:t xml:space="preserve">Název a označení indikátoru: </w:t>
            </w:r>
          </w:p>
        </w:tc>
        <w:tc>
          <w:tcPr>
            <w:tcW w:w="6486" w:type="dxa"/>
            <w:tcBorders>
              <w:top w:val="single" w:sz="4" w:space="0" w:color="auto"/>
              <w:left w:val="single" w:sz="4" w:space="0" w:color="auto"/>
              <w:bottom w:val="single" w:sz="4" w:space="0" w:color="auto"/>
              <w:right w:val="single" w:sz="4" w:space="0" w:color="auto"/>
            </w:tcBorders>
            <w:hideMark/>
          </w:tcPr>
          <w:p w14:paraId="72D1CA05" w14:textId="77777777" w:rsidR="00F261A3" w:rsidRDefault="00F261A3" w:rsidP="0062345D">
            <w:pPr>
              <w:autoSpaceDE w:val="0"/>
              <w:autoSpaceDN w:val="0"/>
              <w:adjustRightInd w:val="0"/>
              <w:spacing w:line="276" w:lineRule="auto"/>
              <w:rPr>
                <w:rFonts w:ascii="Arial" w:hAnsi="Arial" w:cs="Arial"/>
                <w:b/>
                <w:sz w:val="22"/>
                <w:szCs w:val="22"/>
                <w:lang w:eastAsia="en-US"/>
              </w:rPr>
            </w:pPr>
            <w:r>
              <w:rPr>
                <w:rFonts w:ascii="Arial" w:hAnsi="Arial" w:cs="Arial"/>
                <w:b/>
                <w:sz w:val="22"/>
                <w:szCs w:val="22"/>
                <w:lang w:eastAsia="en-US"/>
              </w:rPr>
              <w:t xml:space="preserve">26.2.1 Experimentální testování veřejných politik  </w:t>
            </w:r>
          </w:p>
        </w:tc>
      </w:tr>
      <w:tr w:rsidR="00F261A3" w14:paraId="4364C129"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395D2071" w14:textId="77777777" w:rsidR="00F261A3" w:rsidRDefault="00F261A3" w:rsidP="0062345D">
            <w:pPr>
              <w:rPr>
                <w:rFonts w:ascii="Arial" w:hAnsi="Arial" w:cs="Arial"/>
                <w:sz w:val="22"/>
                <w:szCs w:val="22"/>
                <w:lang w:eastAsia="en-US"/>
              </w:rPr>
            </w:pPr>
            <w:r>
              <w:rPr>
                <w:rFonts w:ascii="Arial" w:hAnsi="Arial" w:cs="Arial"/>
                <w:sz w:val="22"/>
                <w:szCs w:val="22"/>
                <w:lang w:eastAsia="en-US"/>
              </w:rPr>
              <w:t xml:space="preserve">Stručná definice: </w:t>
            </w:r>
          </w:p>
        </w:tc>
        <w:tc>
          <w:tcPr>
            <w:tcW w:w="6486" w:type="dxa"/>
            <w:tcBorders>
              <w:top w:val="single" w:sz="4" w:space="0" w:color="auto"/>
              <w:left w:val="single" w:sz="4" w:space="0" w:color="auto"/>
              <w:bottom w:val="single" w:sz="4" w:space="0" w:color="auto"/>
              <w:right w:val="single" w:sz="4" w:space="0" w:color="auto"/>
            </w:tcBorders>
          </w:tcPr>
          <w:p w14:paraId="44B26658" w14:textId="38BE0E17" w:rsidR="00F261A3" w:rsidRDefault="00F261A3" w:rsidP="00362C76">
            <w:pPr>
              <w:autoSpaceDE w:val="0"/>
              <w:autoSpaceDN w:val="0"/>
              <w:adjustRightInd w:val="0"/>
              <w:spacing w:line="276" w:lineRule="auto"/>
              <w:jc w:val="both"/>
              <w:rPr>
                <w:rFonts w:ascii="Arial" w:hAnsi="Arial" w:cs="Arial"/>
                <w:sz w:val="22"/>
                <w:szCs w:val="22"/>
                <w:lang w:eastAsia="en-US"/>
              </w:rPr>
            </w:pPr>
            <w:r>
              <w:rPr>
                <w:rFonts w:ascii="Arial" w:hAnsi="Arial" w:cs="Arial"/>
                <w:sz w:val="22"/>
                <w:szCs w:val="22"/>
                <w:lang w:eastAsia="en-US"/>
              </w:rPr>
              <w:t>Používají/nepoužívají ministerstva pro ověření efektu navrhovaného řešení v jakékoli fázi přípravy</w:t>
            </w:r>
            <w:r w:rsidR="008E3683">
              <w:rPr>
                <w:rFonts w:ascii="Arial" w:hAnsi="Arial" w:cs="Arial"/>
                <w:sz w:val="22"/>
                <w:szCs w:val="22"/>
                <w:lang w:eastAsia="en-US"/>
              </w:rPr>
              <w:t xml:space="preserve"> návrhů metodu experimentu (RCT</w:t>
            </w:r>
            <w:r>
              <w:rPr>
                <w:rFonts w:ascii="Arial" w:hAnsi="Arial" w:cs="Arial"/>
                <w:sz w:val="22"/>
                <w:szCs w:val="22"/>
                <w:lang w:eastAsia="en-US"/>
              </w:rPr>
              <w:t>). Sledováno u každého ministerstva.</w:t>
            </w:r>
          </w:p>
          <w:p w14:paraId="0B0D08E7" w14:textId="77777777" w:rsidR="00F261A3" w:rsidRDefault="00F261A3" w:rsidP="00362C76">
            <w:pPr>
              <w:autoSpaceDE w:val="0"/>
              <w:autoSpaceDN w:val="0"/>
              <w:adjustRightInd w:val="0"/>
              <w:spacing w:line="276" w:lineRule="auto"/>
              <w:jc w:val="both"/>
              <w:rPr>
                <w:rFonts w:ascii="Arial" w:hAnsi="Arial" w:cs="Arial"/>
                <w:sz w:val="22"/>
                <w:szCs w:val="22"/>
                <w:lang w:eastAsia="en-US"/>
              </w:rPr>
            </w:pPr>
          </w:p>
          <w:p w14:paraId="0E1B2B9C" w14:textId="77777777" w:rsidR="00F261A3" w:rsidRDefault="00F261A3" w:rsidP="00362C76">
            <w:pPr>
              <w:autoSpaceDE w:val="0"/>
              <w:autoSpaceDN w:val="0"/>
              <w:adjustRightInd w:val="0"/>
              <w:spacing w:line="276" w:lineRule="auto"/>
              <w:jc w:val="both"/>
              <w:rPr>
                <w:rFonts w:ascii="Arial" w:hAnsi="Arial" w:cs="Arial"/>
                <w:sz w:val="22"/>
                <w:szCs w:val="22"/>
                <w:lang w:eastAsia="en-US"/>
              </w:rPr>
            </w:pPr>
            <w:r>
              <w:rPr>
                <w:rFonts w:ascii="Arial" w:hAnsi="Arial" w:cs="Arial"/>
                <w:sz w:val="22"/>
                <w:szCs w:val="22"/>
                <w:lang w:eastAsia="en-US"/>
              </w:rPr>
              <w:t>Založeno na komunikace OUR s ministerstvy.</w:t>
            </w:r>
          </w:p>
        </w:tc>
      </w:tr>
      <w:tr w:rsidR="00F261A3" w14:paraId="2C2B0143"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0B53124C" w14:textId="77777777" w:rsidR="00F261A3" w:rsidRDefault="00F261A3" w:rsidP="0062345D">
            <w:pPr>
              <w:rPr>
                <w:rFonts w:ascii="Arial" w:hAnsi="Arial" w:cs="Arial"/>
                <w:sz w:val="22"/>
                <w:szCs w:val="22"/>
                <w:lang w:eastAsia="en-US"/>
              </w:rPr>
            </w:pPr>
            <w:r>
              <w:rPr>
                <w:rFonts w:ascii="Arial" w:hAnsi="Arial" w:cs="Arial"/>
                <w:sz w:val="22"/>
                <w:szCs w:val="22"/>
                <w:lang w:eastAsia="en-US"/>
              </w:rPr>
              <w:t>Jednotka:</w:t>
            </w:r>
          </w:p>
        </w:tc>
        <w:tc>
          <w:tcPr>
            <w:tcW w:w="6486" w:type="dxa"/>
            <w:tcBorders>
              <w:top w:val="single" w:sz="4" w:space="0" w:color="auto"/>
              <w:left w:val="single" w:sz="4" w:space="0" w:color="auto"/>
              <w:bottom w:val="single" w:sz="4" w:space="0" w:color="auto"/>
              <w:right w:val="single" w:sz="4" w:space="0" w:color="auto"/>
            </w:tcBorders>
            <w:hideMark/>
          </w:tcPr>
          <w:p w14:paraId="0CF19D44" w14:textId="77777777" w:rsidR="00F261A3" w:rsidRDefault="00F261A3" w:rsidP="00362C76">
            <w:pPr>
              <w:jc w:val="both"/>
              <w:rPr>
                <w:rFonts w:ascii="Arial" w:hAnsi="Arial" w:cs="Arial"/>
                <w:sz w:val="22"/>
                <w:szCs w:val="22"/>
                <w:lang w:eastAsia="en-US"/>
              </w:rPr>
            </w:pPr>
            <w:r>
              <w:rPr>
                <w:rFonts w:ascii="Arial" w:hAnsi="Arial" w:cs="Arial"/>
                <w:sz w:val="22"/>
                <w:szCs w:val="22"/>
                <w:lang w:eastAsia="en-US"/>
              </w:rPr>
              <w:t>ANO / NE (pro jednotlivá ministerstva)</w:t>
            </w:r>
          </w:p>
        </w:tc>
      </w:tr>
      <w:tr w:rsidR="00F261A3" w14:paraId="551DC3D7"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08DC2CBA" w14:textId="77777777" w:rsidR="00F261A3" w:rsidRDefault="00F261A3" w:rsidP="0062345D">
            <w:pPr>
              <w:rPr>
                <w:rFonts w:ascii="Arial" w:hAnsi="Arial" w:cs="Arial"/>
                <w:sz w:val="22"/>
                <w:szCs w:val="22"/>
                <w:lang w:eastAsia="en-US"/>
              </w:rPr>
            </w:pPr>
            <w:r>
              <w:rPr>
                <w:rFonts w:ascii="Arial" w:hAnsi="Arial" w:cs="Arial"/>
                <w:sz w:val="22"/>
                <w:szCs w:val="22"/>
                <w:lang w:eastAsia="en-US"/>
              </w:rPr>
              <w:t xml:space="preserve">Gestor: </w:t>
            </w:r>
          </w:p>
        </w:tc>
        <w:tc>
          <w:tcPr>
            <w:tcW w:w="6486" w:type="dxa"/>
            <w:tcBorders>
              <w:top w:val="single" w:sz="4" w:space="0" w:color="auto"/>
              <w:left w:val="single" w:sz="4" w:space="0" w:color="auto"/>
              <w:bottom w:val="single" w:sz="4" w:space="0" w:color="auto"/>
              <w:right w:val="single" w:sz="4" w:space="0" w:color="auto"/>
            </w:tcBorders>
            <w:hideMark/>
          </w:tcPr>
          <w:p w14:paraId="01AC96B1" w14:textId="6B64FACC" w:rsidR="00F261A3" w:rsidRDefault="00F261A3" w:rsidP="00362C76">
            <w:pPr>
              <w:jc w:val="both"/>
              <w:rPr>
                <w:rFonts w:ascii="Arial" w:hAnsi="Arial" w:cs="Arial"/>
                <w:sz w:val="22"/>
                <w:szCs w:val="22"/>
                <w:lang w:eastAsia="en-US"/>
              </w:rPr>
            </w:pPr>
            <w:r>
              <w:rPr>
                <w:rFonts w:ascii="Arial" w:hAnsi="Arial" w:cs="Arial"/>
                <w:sz w:val="22"/>
                <w:szCs w:val="22"/>
                <w:lang w:eastAsia="en-US"/>
              </w:rPr>
              <w:t xml:space="preserve">Úřad vlády, </w:t>
            </w:r>
            <w:r w:rsidR="009101C8">
              <w:rPr>
                <w:rFonts w:ascii="Arial" w:hAnsi="Arial" w:cs="Arial"/>
                <w:sz w:val="22"/>
                <w:szCs w:val="22"/>
                <w:lang w:eastAsia="en-US"/>
              </w:rPr>
              <w:t>Odbor</w:t>
            </w:r>
            <w:r>
              <w:rPr>
                <w:rFonts w:ascii="Arial" w:hAnsi="Arial" w:cs="Arial"/>
                <w:sz w:val="22"/>
                <w:szCs w:val="22"/>
                <w:lang w:eastAsia="en-US"/>
              </w:rPr>
              <w:t xml:space="preserve"> pro udržitelný rozvoj</w:t>
            </w:r>
          </w:p>
        </w:tc>
      </w:tr>
      <w:tr w:rsidR="00F261A3" w14:paraId="1ACB3382"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71EEEA25" w14:textId="77777777" w:rsidR="00F261A3" w:rsidRDefault="00F261A3" w:rsidP="0062345D">
            <w:pPr>
              <w:rPr>
                <w:rFonts w:ascii="Arial" w:hAnsi="Arial" w:cs="Arial"/>
                <w:sz w:val="22"/>
                <w:szCs w:val="22"/>
                <w:lang w:eastAsia="en-US"/>
              </w:rPr>
            </w:pPr>
            <w:r>
              <w:rPr>
                <w:rFonts w:ascii="Arial" w:hAnsi="Arial" w:cs="Arial"/>
                <w:sz w:val="22"/>
                <w:szCs w:val="22"/>
                <w:lang w:eastAsia="en-US"/>
              </w:rPr>
              <w:t xml:space="preserve">Význam indikátoru: </w:t>
            </w:r>
          </w:p>
        </w:tc>
        <w:tc>
          <w:tcPr>
            <w:tcW w:w="6486" w:type="dxa"/>
            <w:tcBorders>
              <w:top w:val="single" w:sz="4" w:space="0" w:color="auto"/>
              <w:left w:val="single" w:sz="4" w:space="0" w:color="auto"/>
              <w:bottom w:val="single" w:sz="4" w:space="0" w:color="auto"/>
              <w:right w:val="single" w:sz="4" w:space="0" w:color="auto"/>
            </w:tcBorders>
            <w:hideMark/>
          </w:tcPr>
          <w:p w14:paraId="75997284" w14:textId="77777777" w:rsidR="00F261A3" w:rsidRDefault="00F261A3" w:rsidP="00362C76">
            <w:pPr>
              <w:jc w:val="both"/>
              <w:rPr>
                <w:rFonts w:ascii="Arial" w:hAnsi="Arial" w:cs="Arial"/>
                <w:sz w:val="22"/>
                <w:szCs w:val="22"/>
                <w:lang w:eastAsia="en-US"/>
              </w:rPr>
            </w:pPr>
            <w:r>
              <w:rPr>
                <w:rFonts w:ascii="Arial" w:hAnsi="Arial" w:cs="Arial"/>
                <w:sz w:val="22"/>
                <w:szCs w:val="22"/>
                <w:lang w:eastAsia="en-US"/>
              </w:rPr>
              <w:t xml:space="preserve">Demokratičnost vládnutí, dlouhodobá efektivita vládnutí: </w:t>
            </w:r>
            <w:r>
              <w:rPr>
                <w:rFonts w:ascii="Arial" w:hAnsi="Arial" w:cs="Arial"/>
                <w:sz w:val="22"/>
                <w:szCs w:val="22"/>
                <w:lang w:eastAsia="en-US"/>
              </w:rPr>
              <w:lastRenderedPageBreak/>
              <w:t>Testování efektů navrhovaných řešení na menších vzorcích před definitivním rozhodnutím o volbě řešení jako jeden z předpokladů účinnosti veřejné politiky a pro hladký způsob její implementace. RCT nejsou nutné a smysluplné vždy a všude, prostor k jejich využití je však velmi široký.</w:t>
            </w:r>
          </w:p>
        </w:tc>
      </w:tr>
      <w:tr w:rsidR="00F261A3" w14:paraId="7BF083EB"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0083B7F4" w14:textId="77777777" w:rsidR="00F261A3" w:rsidRDefault="00F261A3" w:rsidP="0062345D">
            <w:pPr>
              <w:rPr>
                <w:rFonts w:ascii="Arial" w:hAnsi="Arial" w:cs="Arial"/>
                <w:sz w:val="22"/>
                <w:szCs w:val="22"/>
                <w:lang w:eastAsia="en-US"/>
              </w:rPr>
            </w:pPr>
            <w:r>
              <w:rPr>
                <w:rFonts w:ascii="Arial" w:hAnsi="Arial" w:cs="Arial"/>
                <w:sz w:val="22"/>
                <w:szCs w:val="22"/>
                <w:lang w:eastAsia="en-US"/>
              </w:rPr>
              <w:lastRenderedPageBreak/>
              <w:t xml:space="preserve">Časová řada: </w:t>
            </w:r>
          </w:p>
        </w:tc>
        <w:tc>
          <w:tcPr>
            <w:tcW w:w="6486" w:type="dxa"/>
            <w:tcBorders>
              <w:top w:val="single" w:sz="4" w:space="0" w:color="auto"/>
              <w:left w:val="single" w:sz="4" w:space="0" w:color="auto"/>
              <w:bottom w:val="single" w:sz="4" w:space="0" w:color="auto"/>
              <w:right w:val="single" w:sz="4" w:space="0" w:color="auto"/>
            </w:tcBorders>
            <w:hideMark/>
          </w:tcPr>
          <w:p w14:paraId="5834C82E" w14:textId="77777777" w:rsidR="00F261A3" w:rsidRDefault="00F261A3" w:rsidP="00362C76">
            <w:pPr>
              <w:jc w:val="both"/>
              <w:rPr>
                <w:rFonts w:ascii="Arial" w:hAnsi="Arial" w:cs="Arial"/>
                <w:sz w:val="22"/>
                <w:szCs w:val="22"/>
                <w:lang w:eastAsia="en-US"/>
              </w:rPr>
            </w:pPr>
            <w:r>
              <w:rPr>
                <w:rFonts w:ascii="Arial" w:hAnsi="Arial" w:cs="Arial"/>
                <w:sz w:val="22"/>
                <w:szCs w:val="22"/>
                <w:lang w:eastAsia="en-US"/>
              </w:rPr>
              <w:t>Od roku 2017</w:t>
            </w:r>
          </w:p>
        </w:tc>
      </w:tr>
      <w:tr w:rsidR="00F261A3" w14:paraId="29275CFB"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5501D9A9" w14:textId="77777777" w:rsidR="00F261A3" w:rsidRDefault="00F261A3" w:rsidP="0062345D">
            <w:pPr>
              <w:rPr>
                <w:rFonts w:ascii="Arial" w:hAnsi="Arial" w:cs="Arial"/>
                <w:sz w:val="22"/>
                <w:szCs w:val="22"/>
                <w:lang w:eastAsia="en-US"/>
              </w:rPr>
            </w:pPr>
            <w:r>
              <w:rPr>
                <w:rFonts w:ascii="Arial" w:hAnsi="Arial" w:cs="Arial"/>
                <w:sz w:val="22"/>
                <w:szCs w:val="22"/>
                <w:lang w:eastAsia="en-US"/>
              </w:rPr>
              <w:t xml:space="preserve">Frekvence výstupu: </w:t>
            </w:r>
          </w:p>
        </w:tc>
        <w:tc>
          <w:tcPr>
            <w:tcW w:w="6486" w:type="dxa"/>
            <w:tcBorders>
              <w:top w:val="single" w:sz="4" w:space="0" w:color="auto"/>
              <w:left w:val="single" w:sz="4" w:space="0" w:color="auto"/>
              <w:bottom w:val="single" w:sz="4" w:space="0" w:color="auto"/>
              <w:right w:val="single" w:sz="4" w:space="0" w:color="auto"/>
            </w:tcBorders>
            <w:hideMark/>
          </w:tcPr>
          <w:p w14:paraId="43081C02" w14:textId="77777777" w:rsidR="00F261A3" w:rsidRDefault="00F261A3" w:rsidP="00362C76">
            <w:pPr>
              <w:jc w:val="both"/>
              <w:rPr>
                <w:rFonts w:ascii="Arial" w:hAnsi="Arial" w:cs="Arial"/>
                <w:sz w:val="22"/>
                <w:szCs w:val="22"/>
                <w:lang w:eastAsia="en-US"/>
              </w:rPr>
            </w:pPr>
            <w:r>
              <w:rPr>
                <w:rFonts w:ascii="Arial" w:hAnsi="Arial" w:cs="Arial"/>
                <w:sz w:val="22"/>
                <w:szCs w:val="22"/>
                <w:lang w:eastAsia="en-US"/>
              </w:rPr>
              <w:t>Ročně</w:t>
            </w:r>
          </w:p>
        </w:tc>
      </w:tr>
      <w:tr w:rsidR="00F261A3" w14:paraId="0065AC9F" w14:textId="77777777" w:rsidTr="0062345D">
        <w:trPr>
          <w:trHeight w:val="70"/>
        </w:trPr>
        <w:tc>
          <w:tcPr>
            <w:tcW w:w="2802" w:type="dxa"/>
            <w:tcBorders>
              <w:top w:val="single" w:sz="4" w:space="0" w:color="auto"/>
              <w:left w:val="single" w:sz="4" w:space="0" w:color="auto"/>
              <w:bottom w:val="single" w:sz="4" w:space="0" w:color="auto"/>
              <w:right w:val="single" w:sz="4" w:space="0" w:color="auto"/>
            </w:tcBorders>
            <w:hideMark/>
          </w:tcPr>
          <w:p w14:paraId="6626E45F" w14:textId="77777777" w:rsidR="00F261A3" w:rsidRDefault="00F261A3" w:rsidP="0062345D">
            <w:pPr>
              <w:rPr>
                <w:rFonts w:ascii="Arial" w:hAnsi="Arial" w:cs="Arial"/>
                <w:sz w:val="22"/>
                <w:szCs w:val="22"/>
                <w:lang w:eastAsia="en-US"/>
              </w:rPr>
            </w:pPr>
            <w:r>
              <w:rPr>
                <w:rFonts w:ascii="Arial" w:hAnsi="Arial" w:cs="Arial"/>
                <w:sz w:val="22"/>
                <w:szCs w:val="22"/>
                <w:lang w:eastAsia="en-US"/>
              </w:rPr>
              <w:t xml:space="preserve">Členění indikátoru: </w:t>
            </w:r>
          </w:p>
        </w:tc>
        <w:tc>
          <w:tcPr>
            <w:tcW w:w="6486" w:type="dxa"/>
            <w:tcBorders>
              <w:top w:val="single" w:sz="4" w:space="0" w:color="auto"/>
              <w:left w:val="single" w:sz="4" w:space="0" w:color="auto"/>
              <w:bottom w:val="single" w:sz="4" w:space="0" w:color="auto"/>
              <w:right w:val="single" w:sz="4" w:space="0" w:color="auto"/>
            </w:tcBorders>
            <w:hideMark/>
          </w:tcPr>
          <w:p w14:paraId="7D13EC85" w14:textId="77777777" w:rsidR="00F261A3" w:rsidRDefault="00F261A3" w:rsidP="00362C76">
            <w:pPr>
              <w:jc w:val="both"/>
              <w:rPr>
                <w:rFonts w:ascii="Arial" w:hAnsi="Arial" w:cs="Arial"/>
                <w:sz w:val="22"/>
                <w:szCs w:val="22"/>
                <w:lang w:eastAsia="en-US"/>
              </w:rPr>
            </w:pPr>
            <w:r>
              <w:rPr>
                <w:rFonts w:ascii="Arial" w:hAnsi="Arial" w:cs="Arial"/>
                <w:sz w:val="22"/>
                <w:szCs w:val="22"/>
                <w:lang w:eastAsia="en-US"/>
              </w:rPr>
              <w:t>-</w:t>
            </w:r>
          </w:p>
        </w:tc>
      </w:tr>
      <w:tr w:rsidR="00F261A3" w14:paraId="579FB627" w14:textId="77777777" w:rsidTr="0062345D">
        <w:trPr>
          <w:trHeight w:val="70"/>
        </w:trPr>
        <w:tc>
          <w:tcPr>
            <w:tcW w:w="2802" w:type="dxa"/>
            <w:tcBorders>
              <w:top w:val="single" w:sz="4" w:space="0" w:color="auto"/>
              <w:left w:val="single" w:sz="4" w:space="0" w:color="auto"/>
              <w:bottom w:val="single" w:sz="4" w:space="0" w:color="auto"/>
              <w:right w:val="single" w:sz="4" w:space="0" w:color="auto"/>
            </w:tcBorders>
            <w:hideMark/>
          </w:tcPr>
          <w:p w14:paraId="579BFE71" w14:textId="77777777" w:rsidR="00F261A3" w:rsidRDefault="00F261A3" w:rsidP="0062345D">
            <w:pPr>
              <w:rPr>
                <w:rFonts w:ascii="Arial" w:hAnsi="Arial" w:cs="Arial"/>
                <w:sz w:val="22"/>
                <w:szCs w:val="22"/>
                <w:lang w:eastAsia="en-US"/>
              </w:rPr>
            </w:pPr>
            <w:r>
              <w:rPr>
                <w:rFonts w:ascii="Arial" w:hAnsi="Arial" w:cs="Arial"/>
                <w:sz w:val="22"/>
                <w:szCs w:val="22"/>
                <w:lang w:eastAsia="en-US"/>
              </w:rPr>
              <w:t>Mezinárodní srovnání:</w:t>
            </w:r>
          </w:p>
        </w:tc>
        <w:tc>
          <w:tcPr>
            <w:tcW w:w="6486" w:type="dxa"/>
            <w:tcBorders>
              <w:top w:val="single" w:sz="4" w:space="0" w:color="auto"/>
              <w:left w:val="single" w:sz="4" w:space="0" w:color="auto"/>
              <w:bottom w:val="single" w:sz="4" w:space="0" w:color="auto"/>
              <w:right w:val="single" w:sz="4" w:space="0" w:color="auto"/>
            </w:tcBorders>
            <w:hideMark/>
          </w:tcPr>
          <w:p w14:paraId="167D151D" w14:textId="77777777" w:rsidR="00F261A3" w:rsidRDefault="00F261A3" w:rsidP="00362C76">
            <w:pPr>
              <w:jc w:val="both"/>
              <w:rPr>
                <w:rFonts w:ascii="Arial" w:hAnsi="Arial" w:cs="Arial"/>
                <w:sz w:val="22"/>
                <w:szCs w:val="22"/>
                <w:lang w:eastAsia="en-US"/>
              </w:rPr>
            </w:pPr>
            <w:r>
              <w:rPr>
                <w:rFonts w:ascii="Arial" w:hAnsi="Arial" w:cs="Arial"/>
                <w:sz w:val="22"/>
                <w:szCs w:val="22"/>
                <w:lang w:eastAsia="en-US"/>
              </w:rPr>
              <w:t>-</w:t>
            </w:r>
          </w:p>
        </w:tc>
      </w:tr>
    </w:tbl>
    <w:p w14:paraId="251BCDFC" w14:textId="77777777" w:rsidR="00F261A3" w:rsidRDefault="00F261A3" w:rsidP="00F261A3">
      <w:pPr>
        <w:spacing w:line="276" w:lineRule="auto"/>
        <w:ind w:left="708"/>
        <w:rPr>
          <w:rFonts w:ascii="Arial" w:eastAsiaTheme="minorHAnsi" w:hAnsi="Arial" w:cs="Arial"/>
          <w:sz w:val="22"/>
          <w:szCs w:val="22"/>
          <w:lang w:eastAsia="en-US"/>
        </w:rPr>
      </w:pPr>
    </w:p>
    <w:tbl>
      <w:tblPr>
        <w:tblStyle w:val="Mkatabulky"/>
        <w:tblW w:w="0" w:type="auto"/>
        <w:tblLook w:val="04A0" w:firstRow="1" w:lastRow="0" w:firstColumn="1" w:lastColumn="0" w:noHBand="0" w:noVBand="1"/>
      </w:tblPr>
      <w:tblGrid>
        <w:gridCol w:w="2802"/>
        <w:gridCol w:w="6486"/>
      </w:tblGrid>
      <w:tr w:rsidR="00F261A3" w:rsidRPr="00530245" w14:paraId="7AD36629"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36BA11E4" w14:textId="68EF6663" w:rsidR="00F261A3" w:rsidRPr="009D56C2" w:rsidRDefault="00F261A3" w:rsidP="0062345D">
            <w:pPr>
              <w:rPr>
                <w:rFonts w:ascii="Arial" w:hAnsi="Arial" w:cs="Arial"/>
                <w:sz w:val="22"/>
                <w:szCs w:val="22"/>
              </w:rPr>
            </w:pPr>
            <w:r w:rsidRPr="009D56C2">
              <w:rPr>
                <w:rFonts w:ascii="Arial" w:hAnsi="Arial" w:cs="Arial"/>
                <w:sz w:val="22"/>
                <w:szCs w:val="22"/>
              </w:rPr>
              <w:t xml:space="preserve">Název a označení indikátoru: </w:t>
            </w:r>
          </w:p>
        </w:tc>
        <w:tc>
          <w:tcPr>
            <w:tcW w:w="6486" w:type="dxa"/>
            <w:tcBorders>
              <w:top w:val="single" w:sz="4" w:space="0" w:color="auto"/>
              <w:left w:val="single" w:sz="4" w:space="0" w:color="auto"/>
              <w:bottom w:val="single" w:sz="4" w:space="0" w:color="auto"/>
              <w:right w:val="single" w:sz="4" w:space="0" w:color="auto"/>
            </w:tcBorders>
          </w:tcPr>
          <w:p w14:paraId="1B4D2D66" w14:textId="77777777" w:rsidR="00F261A3" w:rsidRPr="0037568B" w:rsidRDefault="00F261A3" w:rsidP="0062345D">
            <w:pPr>
              <w:autoSpaceDE w:val="0"/>
              <w:autoSpaceDN w:val="0"/>
              <w:adjustRightInd w:val="0"/>
              <w:spacing w:line="276" w:lineRule="auto"/>
              <w:rPr>
                <w:rFonts w:ascii="Arial" w:hAnsi="Arial" w:cs="Arial"/>
                <w:b/>
                <w:sz w:val="22"/>
                <w:szCs w:val="22"/>
              </w:rPr>
            </w:pPr>
            <w:r>
              <w:rPr>
                <w:rFonts w:ascii="Arial" w:hAnsi="Arial" w:cs="Arial"/>
                <w:b/>
                <w:sz w:val="22"/>
                <w:szCs w:val="22"/>
              </w:rPr>
              <w:t>26</w:t>
            </w:r>
            <w:r w:rsidRPr="0037568B">
              <w:rPr>
                <w:rFonts w:ascii="Arial" w:hAnsi="Arial" w:cs="Arial"/>
                <w:b/>
                <w:sz w:val="22"/>
                <w:szCs w:val="22"/>
              </w:rPr>
              <w:t>.2.</w:t>
            </w:r>
            <w:r>
              <w:rPr>
                <w:rFonts w:ascii="Arial" w:hAnsi="Arial" w:cs="Arial"/>
                <w:b/>
                <w:sz w:val="22"/>
                <w:szCs w:val="22"/>
              </w:rPr>
              <w:t>2</w:t>
            </w:r>
            <w:r w:rsidRPr="003B0450">
              <w:rPr>
                <w:rFonts w:ascii="Arial" w:hAnsi="Arial" w:cs="Arial"/>
                <w:b/>
                <w:sz w:val="22"/>
                <w:szCs w:val="22"/>
              </w:rPr>
              <w:t xml:space="preserve"> </w:t>
            </w:r>
            <w:r>
              <w:rPr>
                <w:rFonts w:ascii="Arial" w:hAnsi="Arial" w:cs="Arial"/>
                <w:b/>
                <w:sz w:val="22"/>
                <w:szCs w:val="22"/>
              </w:rPr>
              <w:t xml:space="preserve">Systematická analýza aktuálního stavu vědění </w:t>
            </w:r>
          </w:p>
        </w:tc>
      </w:tr>
      <w:tr w:rsidR="00F261A3" w:rsidRPr="00530245" w14:paraId="38F00924"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1B03375F" w14:textId="77777777" w:rsidR="00F261A3" w:rsidRPr="009D56C2" w:rsidRDefault="00F261A3" w:rsidP="0062345D">
            <w:pPr>
              <w:rPr>
                <w:rFonts w:ascii="Arial" w:hAnsi="Arial" w:cs="Arial"/>
                <w:sz w:val="22"/>
                <w:szCs w:val="22"/>
              </w:rPr>
            </w:pPr>
            <w:r w:rsidRPr="009D56C2">
              <w:rPr>
                <w:rFonts w:ascii="Arial" w:hAnsi="Arial" w:cs="Arial"/>
                <w:sz w:val="22"/>
                <w:szCs w:val="22"/>
              </w:rPr>
              <w:t xml:space="preserve">Stručná definice: </w:t>
            </w:r>
          </w:p>
        </w:tc>
        <w:tc>
          <w:tcPr>
            <w:tcW w:w="6486" w:type="dxa"/>
            <w:tcBorders>
              <w:top w:val="single" w:sz="4" w:space="0" w:color="auto"/>
              <w:left w:val="single" w:sz="4" w:space="0" w:color="auto"/>
              <w:bottom w:val="single" w:sz="4" w:space="0" w:color="auto"/>
              <w:right w:val="single" w:sz="4" w:space="0" w:color="auto"/>
            </w:tcBorders>
          </w:tcPr>
          <w:p w14:paraId="656FF061" w14:textId="77777777" w:rsidR="00F261A3" w:rsidRDefault="00F261A3" w:rsidP="00362C76">
            <w:pPr>
              <w:autoSpaceDE w:val="0"/>
              <w:autoSpaceDN w:val="0"/>
              <w:adjustRightInd w:val="0"/>
              <w:spacing w:line="276" w:lineRule="auto"/>
              <w:jc w:val="both"/>
              <w:rPr>
                <w:rFonts w:ascii="Arial" w:hAnsi="Arial" w:cs="Arial"/>
                <w:sz w:val="22"/>
                <w:szCs w:val="22"/>
              </w:rPr>
            </w:pPr>
            <w:r>
              <w:rPr>
                <w:rFonts w:ascii="Arial" w:hAnsi="Arial" w:cs="Arial"/>
                <w:sz w:val="22"/>
                <w:szCs w:val="22"/>
              </w:rPr>
              <w:t>Používají/nepoužívají ministerstva pro návrh řešení dostupná data a akademické a evaluační studie zkoumající účinnost a efektivitu navrhovaných řešení. Sledováno u každého ministerstva.</w:t>
            </w:r>
          </w:p>
          <w:p w14:paraId="1265B446" w14:textId="77777777" w:rsidR="00F261A3" w:rsidRDefault="00F261A3" w:rsidP="00362C76">
            <w:pPr>
              <w:autoSpaceDE w:val="0"/>
              <w:autoSpaceDN w:val="0"/>
              <w:adjustRightInd w:val="0"/>
              <w:spacing w:line="276" w:lineRule="auto"/>
              <w:jc w:val="both"/>
              <w:rPr>
                <w:rFonts w:ascii="Arial" w:hAnsi="Arial" w:cs="Arial"/>
                <w:sz w:val="22"/>
                <w:szCs w:val="22"/>
              </w:rPr>
            </w:pPr>
          </w:p>
          <w:p w14:paraId="62C19EA5" w14:textId="77777777" w:rsidR="00F261A3" w:rsidRPr="009D56C2" w:rsidRDefault="00F261A3" w:rsidP="00362C76">
            <w:pPr>
              <w:autoSpaceDE w:val="0"/>
              <w:autoSpaceDN w:val="0"/>
              <w:adjustRightInd w:val="0"/>
              <w:spacing w:line="276" w:lineRule="auto"/>
              <w:jc w:val="both"/>
              <w:rPr>
                <w:rFonts w:ascii="Arial" w:hAnsi="Arial" w:cs="Arial"/>
                <w:sz w:val="22"/>
                <w:szCs w:val="22"/>
              </w:rPr>
            </w:pPr>
            <w:r>
              <w:rPr>
                <w:rFonts w:ascii="Arial" w:hAnsi="Arial" w:cs="Arial"/>
                <w:sz w:val="22"/>
                <w:szCs w:val="22"/>
              </w:rPr>
              <w:t>J</w:t>
            </w:r>
            <w:r w:rsidRPr="00B0146D">
              <w:rPr>
                <w:rFonts w:ascii="Arial" w:hAnsi="Arial" w:cs="Arial"/>
                <w:sz w:val="22"/>
                <w:szCs w:val="22"/>
              </w:rPr>
              <w:t xml:space="preserve">ednou za dvouleté hodnotící období bude pro každé ministerstvo losem vybrán </w:t>
            </w:r>
            <w:r>
              <w:rPr>
                <w:rFonts w:ascii="Arial" w:hAnsi="Arial" w:cs="Arial"/>
                <w:sz w:val="22"/>
                <w:szCs w:val="22"/>
              </w:rPr>
              <w:t xml:space="preserve">minimálně </w:t>
            </w:r>
            <w:r w:rsidRPr="00B0146D">
              <w:rPr>
                <w:rFonts w:ascii="Arial" w:hAnsi="Arial" w:cs="Arial"/>
                <w:sz w:val="22"/>
                <w:szCs w:val="22"/>
              </w:rPr>
              <w:t>jede</w:t>
            </w:r>
            <w:r>
              <w:rPr>
                <w:rFonts w:ascii="Arial" w:hAnsi="Arial" w:cs="Arial"/>
                <w:sz w:val="22"/>
                <w:szCs w:val="22"/>
              </w:rPr>
              <w:t>n vládou projednaný návrh a budou</w:t>
            </w:r>
            <w:r w:rsidRPr="00B0146D">
              <w:rPr>
                <w:rFonts w:ascii="Arial" w:hAnsi="Arial" w:cs="Arial"/>
                <w:sz w:val="22"/>
                <w:szCs w:val="22"/>
              </w:rPr>
              <w:t xml:space="preserve"> prozkoumán</w:t>
            </w:r>
            <w:r>
              <w:rPr>
                <w:rFonts w:ascii="Arial" w:hAnsi="Arial" w:cs="Arial"/>
                <w:sz w:val="22"/>
                <w:szCs w:val="22"/>
              </w:rPr>
              <w:t>y</w:t>
            </w:r>
            <w:r w:rsidRPr="00B0146D">
              <w:rPr>
                <w:rFonts w:ascii="Arial" w:hAnsi="Arial" w:cs="Arial"/>
                <w:sz w:val="22"/>
                <w:szCs w:val="22"/>
              </w:rPr>
              <w:t xml:space="preserve"> </w:t>
            </w:r>
            <w:r>
              <w:rPr>
                <w:rFonts w:ascii="Arial" w:hAnsi="Arial" w:cs="Arial"/>
                <w:sz w:val="22"/>
                <w:szCs w:val="22"/>
              </w:rPr>
              <w:t>zdroje využité při návrhu řešení</w:t>
            </w:r>
            <w:r w:rsidRPr="00B0146D">
              <w:rPr>
                <w:rFonts w:ascii="Arial" w:hAnsi="Arial" w:cs="Arial"/>
                <w:sz w:val="22"/>
                <w:szCs w:val="22"/>
              </w:rPr>
              <w:t>.</w:t>
            </w:r>
          </w:p>
        </w:tc>
      </w:tr>
      <w:tr w:rsidR="00F261A3" w:rsidRPr="00530245" w14:paraId="51F59639"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6B9B84D0" w14:textId="77777777" w:rsidR="00F261A3" w:rsidRPr="009D56C2" w:rsidRDefault="00F261A3" w:rsidP="0062345D">
            <w:pPr>
              <w:rPr>
                <w:rFonts w:ascii="Arial" w:hAnsi="Arial" w:cs="Arial"/>
                <w:sz w:val="22"/>
                <w:szCs w:val="22"/>
              </w:rPr>
            </w:pPr>
            <w:r w:rsidRPr="009D56C2">
              <w:rPr>
                <w:rFonts w:ascii="Arial" w:hAnsi="Arial" w:cs="Arial"/>
                <w:sz w:val="22"/>
                <w:szCs w:val="22"/>
              </w:rPr>
              <w:t>Jednotka:</w:t>
            </w:r>
          </w:p>
        </w:tc>
        <w:tc>
          <w:tcPr>
            <w:tcW w:w="6486" w:type="dxa"/>
            <w:tcBorders>
              <w:top w:val="single" w:sz="4" w:space="0" w:color="auto"/>
              <w:left w:val="single" w:sz="4" w:space="0" w:color="auto"/>
              <w:bottom w:val="single" w:sz="4" w:space="0" w:color="auto"/>
              <w:right w:val="single" w:sz="4" w:space="0" w:color="auto"/>
            </w:tcBorders>
          </w:tcPr>
          <w:p w14:paraId="48431E7E" w14:textId="77777777" w:rsidR="00F261A3" w:rsidRPr="009D56C2" w:rsidRDefault="00F261A3" w:rsidP="00362C76">
            <w:pPr>
              <w:jc w:val="both"/>
              <w:rPr>
                <w:rFonts w:ascii="Arial" w:hAnsi="Arial" w:cs="Arial"/>
                <w:sz w:val="22"/>
                <w:szCs w:val="22"/>
              </w:rPr>
            </w:pPr>
            <w:r>
              <w:rPr>
                <w:rFonts w:ascii="Arial" w:hAnsi="Arial" w:cs="Arial"/>
                <w:sz w:val="22"/>
                <w:szCs w:val="22"/>
              </w:rPr>
              <w:t>ANO / NE (pro jednotlivá ministerstva)</w:t>
            </w:r>
          </w:p>
        </w:tc>
      </w:tr>
      <w:tr w:rsidR="00F261A3" w:rsidRPr="00530245" w14:paraId="71536CD8"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5590E95D" w14:textId="77777777" w:rsidR="00F261A3" w:rsidRPr="009D56C2" w:rsidRDefault="00F261A3" w:rsidP="0062345D">
            <w:pPr>
              <w:rPr>
                <w:rFonts w:ascii="Arial" w:hAnsi="Arial" w:cs="Arial"/>
                <w:sz w:val="22"/>
                <w:szCs w:val="22"/>
              </w:rPr>
            </w:pPr>
            <w:r w:rsidRPr="009D56C2">
              <w:rPr>
                <w:rFonts w:ascii="Arial" w:hAnsi="Arial" w:cs="Arial"/>
                <w:sz w:val="22"/>
                <w:szCs w:val="22"/>
              </w:rPr>
              <w:t xml:space="preserve">Gestor: </w:t>
            </w:r>
          </w:p>
        </w:tc>
        <w:tc>
          <w:tcPr>
            <w:tcW w:w="6486" w:type="dxa"/>
            <w:tcBorders>
              <w:top w:val="single" w:sz="4" w:space="0" w:color="auto"/>
              <w:left w:val="single" w:sz="4" w:space="0" w:color="auto"/>
              <w:bottom w:val="single" w:sz="4" w:space="0" w:color="auto"/>
              <w:right w:val="single" w:sz="4" w:space="0" w:color="auto"/>
            </w:tcBorders>
            <w:hideMark/>
          </w:tcPr>
          <w:p w14:paraId="33557AC3" w14:textId="521AB4C8" w:rsidR="00F261A3" w:rsidRPr="009D56C2" w:rsidRDefault="00F261A3" w:rsidP="00362C76">
            <w:pPr>
              <w:jc w:val="both"/>
              <w:rPr>
                <w:rFonts w:ascii="Arial" w:hAnsi="Arial" w:cs="Arial"/>
                <w:sz w:val="22"/>
                <w:szCs w:val="22"/>
              </w:rPr>
            </w:pPr>
            <w:r>
              <w:rPr>
                <w:rFonts w:ascii="Arial" w:hAnsi="Arial" w:cs="Arial"/>
                <w:sz w:val="22"/>
                <w:szCs w:val="22"/>
              </w:rPr>
              <w:t xml:space="preserve">Úřad vlády, </w:t>
            </w:r>
            <w:r w:rsidR="009101C8">
              <w:rPr>
                <w:rFonts w:ascii="Arial" w:hAnsi="Arial" w:cs="Arial"/>
                <w:sz w:val="22"/>
                <w:szCs w:val="22"/>
              </w:rPr>
              <w:t>Odbor</w:t>
            </w:r>
            <w:r>
              <w:rPr>
                <w:rFonts w:ascii="Arial" w:hAnsi="Arial" w:cs="Arial"/>
                <w:sz w:val="22"/>
                <w:szCs w:val="22"/>
              </w:rPr>
              <w:t xml:space="preserve"> pro udržitelný rozvoj</w:t>
            </w:r>
          </w:p>
        </w:tc>
      </w:tr>
      <w:tr w:rsidR="00F261A3" w:rsidRPr="00530245" w14:paraId="3E6128F9"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28838ACA" w14:textId="77777777" w:rsidR="00F261A3" w:rsidRPr="009D56C2" w:rsidRDefault="00F261A3" w:rsidP="0062345D">
            <w:pPr>
              <w:rPr>
                <w:rFonts w:ascii="Arial" w:hAnsi="Arial" w:cs="Arial"/>
                <w:sz w:val="22"/>
                <w:szCs w:val="22"/>
              </w:rPr>
            </w:pPr>
            <w:r w:rsidRPr="009D56C2">
              <w:rPr>
                <w:rFonts w:ascii="Arial" w:hAnsi="Arial" w:cs="Arial"/>
                <w:sz w:val="22"/>
                <w:szCs w:val="22"/>
              </w:rPr>
              <w:t xml:space="preserve">Význam indikátoru: </w:t>
            </w:r>
          </w:p>
        </w:tc>
        <w:tc>
          <w:tcPr>
            <w:tcW w:w="6486" w:type="dxa"/>
            <w:tcBorders>
              <w:top w:val="single" w:sz="4" w:space="0" w:color="auto"/>
              <w:left w:val="single" w:sz="4" w:space="0" w:color="auto"/>
              <w:bottom w:val="single" w:sz="4" w:space="0" w:color="auto"/>
              <w:right w:val="single" w:sz="4" w:space="0" w:color="auto"/>
            </w:tcBorders>
          </w:tcPr>
          <w:p w14:paraId="597025A6" w14:textId="77777777" w:rsidR="00F261A3" w:rsidRPr="009D56C2" w:rsidRDefault="00F45981" w:rsidP="00362C76">
            <w:pPr>
              <w:jc w:val="both"/>
              <w:rPr>
                <w:rFonts w:ascii="Arial" w:hAnsi="Arial" w:cs="Arial"/>
                <w:sz w:val="22"/>
                <w:szCs w:val="22"/>
              </w:rPr>
            </w:pPr>
            <w:r>
              <w:rPr>
                <w:rFonts w:ascii="Arial" w:hAnsi="Arial" w:cs="Arial"/>
                <w:sz w:val="22"/>
                <w:szCs w:val="22"/>
              </w:rPr>
              <w:t>D</w:t>
            </w:r>
            <w:r w:rsidR="00F261A3" w:rsidRPr="00477E8D">
              <w:rPr>
                <w:rFonts w:ascii="Arial" w:hAnsi="Arial" w:cs="Arial"/>
                <w:sz w:val="22"/>
                <w:szCs w:val="22"/>
              </w:rPr>
              <w:t xml:space="preserve">louhodobá efektivita vládnutí: </w:t>
            </w:r>
            <w:r w:rsidR="00F261A3">
              <w:rPr>
                <w:rFonts w:ascii="Arial" w:hAnsi="Arial" w:cs="Arial"/>
                <w:sz w:val="22"/>
                <w:szCs w:val="22"/>
              </w:rPr>
              <w:t>N</w:t>
            </w:r>
            <w:r w:rsidR="00F261A3" w:rsidRPr="00477E8D">
              <w:rPr>
                <w:rFonts w:ascii="Arial" w:hAnsi="Arial" w:cs="Arial"/>
                <w:sz w:val="22"/>
                <w:szCs w:val="22"/>
              </w:rPr>
              <w:t>avrhovan</w:t>
            </w:r>
            <w:r w:rsidR="00F261A3">
              <w:rPr>
                <w:rFonts w:ascii="Arial" w:hAnsi="Arial" w:cs="Arial"/>
                <w:sz w:val="22"/>
                <w:szCs w:val="22"/>
              </w:rPr>
              <w:t>á řešení by měla vycházet v maximální možné míře z ověřených znalostí „co funguje“ (evidence) a dostupných dat. Jako hlavní zdroj je možné využívat tzv. systematické přehledy dříve realizovaných RCT a dále pak evaluační studie účinnosti a efektivity daných řešení doma i v zahraničí.</w:t>
            </w:r>
          </w:p>
        </w:tc>
      </w:tr>
      <w:tr w:rsidR="00F261A3" w:rsidRPr="00530245" w14:paraId="63A1E571"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306D9FDD" w14:textId="77777777" w:rsidR="00F261A3" w:rsidRPr="009D56C2" w:rsidRDefault="00F261A3" w:rsidP="0062345D">
            <w:pPr>
              <w:rPr>
                <w:rFonts w:ascii="Arial" w:hAnsi="Arial" w:cs="Arial"/>
                <w:sz w:val="22"/>
                <w:szCs w:val="22"/>
              </w:rPr>
            </w:pPr>
            <w:r w:rsidRPr="009D56C2">
              <w:rPr>
                <w:rFonts w:ascii="Arial" w:hAnsi="Arial" w:cs="Arial"/>
                <w:sz w:val="22"/>
                <w:szCs w:val="22"/>
              </w:rPr>
              <w:t xml:space="preserve">Časová řada: </w:t>
            </w:r>
          </w:p>
        </w:tc>
        <w:tc>
          <w:tcPr>
            <w:tcW w:w="6486" w:type="dxa"/>
            <w:tcBorders>
              <w:top w:val="single" w:sz="4" w:space="0" w:color="auto"/>
              <w:left w:val="single" w:sz="4" w:space="0" w:color="auto"/>
              <w:bottom w:val="single" w:sz="4" w:space="0" w:color="auto"/>
              <w:right w:val="single" w:sz="4" w:space="0" w:color="auto"/>
            </w:tcBorders>
          </w:tcPr>
          <w:p w14:paraId="789ABF18" w14:textId="77777777" w:rsidR="00F261A3" w:rsidRPr="009D56C2" w:rsidRDefault="00F261A3" w:rsidP="00362C76">
            <w:pPr>
              <w:jc w:val="both"/>
              <w:rPr>
                <w:rFonts w:ascii="Arial" w:hAnsi="Arial" w:cs="Arial"/>
                <w:sz w:val="22"/>
                <w:szCs w:val="22"/>
              </w:rPr>
            </w:pPr>
            <w:r>
              <w:rPr>
                <w:rFonts w:ascii="Arial" w:hAnsi="Arial" w:cs="Arial"/>
                <w:sz w:val="22"/>
                <w:szCs w:val="22"/>
              </w:rPr>
              <w:t>Od roku 2019</w:t>
            </w:r>
          </w:p>
        </w:tc>
      </w:tr>
      <w:tr w:rsidR="00F261A3" w:rsidRPr="00530245" w14:paraId="1983F446"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54EC0547" w14:textId="77777777" w:rsidR="00F261A3" w:rsidRPr="009D56C2" w:rsidRDefault="00F261A3" w:rsidP="0062345D">
            <w:pPr>
              <w:rPr>
                <w:rFonts w:ascii="Arial" w:hAnsi="Arial" w:cs="Arial"/>
                <w:sz w:val="22"/>
                <w:szCs w:val="22"/>
              </w:rPr>
            </w:pPr>
            <w:r w:rsidRPr="009D56C2">
              <w:rPr>
                <w:rFonts w:ascii="Arial" w:hAnsi="Arial" w:cs="Arial"/>
                <w:sz w:val="22"/>
                <w:szCs w:val="22"/>
              </w:rPr>
              <w:t xml:space="preserve">Frekvence výstupu: </w:t>
            </w:r>
          </w:p>
        </w:tc>
        <w:tc>
          <w:tcPr>
            <w:tcW w:w="6486" w:type="dxa"/>
            <w:tcBorders>
              <w:top w:val="single" w:sz="4" w:space="0" w:color="auto"/>
              <w:left w:val="single" w:sz="4" w:space="0" w:color="auto"/>
              <w:bottom w:val="single" w:sz="4" w:space="0" w:color="auto"/>
              <w:right w:val="single" w:sz="4" w:space="0" w:color="auto"/>
            </w:tcBorders>
          </w:tcPr>
          <w:p w14:paraId="7D935DD7" w14:textId="22F41606" w:rsidR="00F261A3" w:rsidRPr="009D56C2" w:rsidRDefault="00362C76" w:rsidP="00362C76">
            <w:pPr>
              <w:jc w:val="both"/>
              <w:rPr>
                <w:rFonts w:ascii="Arial" w:hAnsi="Arial" w:cs="Arial"/>
                <w:sz w:val="22"/>
                <w:szCs w:val="22"/>
              </w:rPr>
            </w:pPr>
            <w:r>
              <w:rPr>
                <w:rFonts w:ascii="Arial" w:hAnsi="Arial" w:cs="Arial"/>
                <w:sz w:val="22"/>
                <w:szCs w:val="22"/>
              </w:rPr>
              <w:t>Jednou za dva</w:t>
            </w:r>
            <w:r w:rsidR="00F261A3">
              <w:rPr>
                <w:rFonts w:ascii="Arial" w:hAnsi="Arial" w:cs="Arial"/>
                <w:sz w:val="22"/>
                <w:szCs w:val="22"/>
              </w:rPr>
              <w:t xml:space="preserve"> roky</w:t>
            </w:r>
          </w:p>
        </w:tc>
      </w:tr>
      <w:tr w:rsidR="00F261A3" w:rsidRPr="00530245" w14:paraId="6F4BE0C0" w14:textId="77777777" w:rsidTr="0062345D">
        <w:trPr>
          <w:trHeight w:val="70"/>
        </w:trPr>
        <w:tc>
          <w:tcPr>
            <w:tcW w:w="2802" w:type="dxa"/>
            <w:tcBorders>
              <w:top w:val="single" w:sz="4" w:space="0" w:color="auto"/>
              <w:left w:val="single" w:sz="4" w:space="0" w:color="auto"/>
              <w:bottom w:val="single" w:sz="4" w:space="0" w:color="auto"/>
              <w:right w:val="single" w:sz="4" w:space="0" w:color="auto"/>
            </w:tcBorders>
            <w:hideMark/>
          </w:tcPr>
          <w:p w14:paraId="763EDBF2" w14:textId="77777777" w:rsidR="00F261A3" w:rsidRPr="009D56C2" w:rsidRDefault="00F261A3" w:rsidP="0062345D">
            <w:pPr>
              <w:rPr>
                <w:rFonts w:ascii="Arial" w:hAnsi="Arial" w:cs="Arial"/>
                <w:sz w:val="22"/>
                <w:szCs w:val="22"/>
              </w:rPr>
            </w:pPr>
            <w:r w:rsidRPr="009D56C2">
              <w:rPr>
                <w:rFonts w:ascii="Arial" w:hAnsi="Arial" w:cs="Arial"/>
                <w:sz w:val="22"/>
                <w:szCs w:val="22"/>
              </w:rPr>
              <w:t xml:space="preserve">Členění indikátoru: </w:t>
            </w:r>
          </w:p>
        </w:tc>
        <w:tc>
          <w:tcPr>
            <w:tcW w:w="6486" w:type="dxa"/>
            <w:tcBorders>
              <w:top w:val="single" w:sz="4" w:space="0" w:color="auto"/>
              <w:left w:val="single" w:sz="4" w:space="0" w:color="auto"/>
              <w:bottom w:val="single" w:sz="4" w:space="0" w:color="auto"/>
              <w:right w:val="single" w:sz="4" w:space="0" w:color="auto"/>
            </w:tcBorders>
          </w:tcPr>
          <w:p w14:paraId="6488CDCB" w14:textId="77777777" w:rsidR="00F261A3" w:rsidRPr="009D56C2" w:rsidRDefault="00F261A3" w:rsidP="00362C76">
            <w:pPr>
              <w:jc w:val="both"/>
              <w:rPr>
                <w:rFonts w:ascii="Arial" w:hAnsi="Arial" w:cs="Arial"/>
                <w:sz w:val="22"/>
                <w:szCs w:val="22"/>
              </w:rPr>
            </w:pPr>
            <w:r>
              <w:rPr>
                <w:rFonts w:ascii="Arial" w:hAnsi="Arial" w:cs="Arial"/>
                <w:sz w:val="22"/>
                <w:szCs w:val="22"/>
              </w:rPr>
              <w:t>-</w:t>
            </w:r>
          </w:p>
        </w:tc>
      </w:tr>
      <w:tr w:rsidR="00F261A3" w:rsidRPr="00530245" w14:paraId="2D23C0BC" w14:textId="77777777" w:rsidTr="0062345D">
        <w:trPr>
          <w:trHeight w:val="70"/>
        </w:trPr>
        <w:tc>
          <w:tcPr>
            <w:tcW w:w="2802" w:type="dxa"/>
            <w:tcBorders>
              <w:top w:val="single" w:sz="4" w:space="0" w:color="auto"/>
              <w:left w:val="single" w:sz="4" w:space="0" w:color="auto"/>
              <w:bottom w:val="single" w:sz="4" w:space="0" w:color="auto"/>
              <w:right w:val="single" w:sz="4" w:space="0" w:color="auto"/>
            </w:tcBorders>
            <w:hideMark/>
          </w:tcPr>
          <w:p w14:paraId="4CFA1731" w14:textId="77777777" w:rsidR="00F261A3" w:rsidRPr="009D56C2" w:rsidRDefault="00F261A3" w:rsidP="0062345D">
            <w:pPr>
              <w:rPr>
                <w:rFonts w:ascii="Arial" w:hAnsi="Arial" w:cs="Arial"/>
                <w:sz w:val="22"/>
                <w:szCs w:val="22"/>
              </w:rPr>
            </w:pPr>
            <w:r w:rsidRPr="009D56C2">
              <w:rPr>
                <w:rFonts w:ascii="Arial" w:hAnsi="Arial" w:cs="Arial"/>
                <w:sz w:val="22"/>
                <w:szCs w:val="22"/>
              </w:rPr>
              <w:t>Mezinárodní srovnání:</w:t>
            </w:r>
          </w:p>
        </w:tc>
        <w:tc>
          <w:tcPr>
            <w:tcW w:w="6486" w:type="dxa"/>
            <w:tcBorders>
              <w:top w:val="single" w:sz="4" w:space="0" w:color="auto"/>
              <w:left w:val="single" w:sz="4" w:space="0" w:color="auto"/>
              <w:bottom w:val="single" w:sz="4" w:space="0" w:color="auto"/>
              <w:right w:val="single" w:sz="4" w:space="0" w:color="auto"/>
            </w:tcBorders>
          </w:tcPr>
          <w:p w14:paraId="31588CF1" w14:textId="77777777" w:rsidR="00F261A3" w:rsidRPr="009D56C2" w:rsidRDefault="00F261A3" w:rsidP="0062345D">
            <w:pPr>
              <w:rPr>
                <w:rFonts w:ascii="Arial" w:hAnsi="Arial" w:cs="Arial"/>
                <w:sz w:val="22"/>
                <w:szCs w:val="22"/>
              </w:rPr>
            </w:pPr>
            <w:r>
              <w:rPr>
                <w:rFonts w:ascii="Arial" w:hAnsi="Arial" w:cs="Arial"/>
                <w:sz w:val="22"/>
                <w:szCs w:val="22"/>
              </w:rPr>
              <w:t>-</w:t>
            </w:r>
          </w:p>
        </w:tc>
      </w:tr>
    </w:tbl>
    <w:p w14:paraId="4FA5B534" w14:textId="04A2702D" w:rsidR="00F261A3" w:rsidRDefault="004830D0" w:rsidP="00846A07">
      <w:pPr>
        <w:pStyle w:val="r2030podcle"/>
        <w:numPr>
          <w:ilvl w:val="1"/>
          <w:numId w:val="17"/>
        </w:numPr>
        <w:ind w:left="567" w:hanging="425"/>
      </w:pPr>
      <w:r w:rsidRPr="00020BA6">
        <w:t xml:space="preserve">Deliberace veřejných politik budou pravidlem </w:t>
      </w:r>
      <w:r>
        <w:t>všude tam, kde to bude dle charakteru politiky vhodné</w:t>
      </w:r>
      <w:r w:rsidRPr="00020BA6">
        <w:t>.</w:t>
      </w:r>
    </w:p>
    <w:tbl>
      <w:tblPr>
        <w:tblStyle w:val="Mkatabulky"/>
        <w:tblW w:w="0" w:type="auto"/>
        <w:tblLook w:val="04A0" w:firstRow="1" w:lastRow="0" w:firstColumn="1" w:lastColumn="0" w:noHBand="0" w:noVBand="1"/>
      </w:tblPr>
      <w:tblGrid>
        <w:gridCol w:w="2802"/>
        <w:gridCol w:w="6486"/>
      </w:tblGrid>
      <w:tr w:rsidR="00F261A3" w14:paraId="70AFA475"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23255B9E" w14:textId="0B5981ED" w:rsidR="00F261A3" w:rsidRDefault="00F261A3" w:rsidP="0062345D">
            <w:pPr>
              <w:rPr>
                <w:rFonts w:ascii="Arial" w:hAnsi="Arial" w:cs="Arial"/>
                <w:sz w:val="22"/>
                <w:szCs w:val="22"/>
                <w:lang w:eastAsia="en-US"/>
              </w:rPr>
            </w:pPr>
            <w:r>
              <w:rPr>
                <w:rFonts w:ascii="Arial" w:hAnsi="Arial" w:cs="Arial"/>
                <w:sz w:val="22"/>
                <w:szCs w:val="22"/>
                <w:lang w:eastAsia="en-US"/>
              </w:rPr>
              <w:t xml:space="preserve">Název a označení indikátoru: </w:t>
            </w:r>
          </w:p>
        </w:tc>
        <w:tc>
          <w:tcPr>
            <w:tcW w:w="6486" w:type="dxa"/>
            <w:tcBorders>
              <w:top w:val="single" w:sz="4" w:space="0" w:color="auto"/>
              <w:left w:val="single" w:sz="4" w:space="0" w:color="auto"/>
              <w:bottom w:val="single" w:sz="4" w:space="0" w:color="auto"/>
              <w:right w:val="single" w:sz="4" w:space="0" w:color="auto"/>
            </w:tcBorders>
            <w:hideMark/>
          </w:tcPr>
          <w:p w14:paraId="6B387A10" w14:textId="77777777" w:rsidR="00F261A3" w:rsidRDefault="00F261A3" w:rsidP="0062345D">
            <w:pPr>
              <w:autoSpaceDE w:val="0"/>
              <w:autoSpaceDN w:val="0"/>
              <w:adjustRightInd w:val="0"/>
              <w:spacing w:line="276" w:lineRule="auto"/>
              <w:rPr>
                <w:rFonts w:ascii="Arial" w:hAnsi="Arial" w:cs="Arial"/>
                <w:b/>
                <w:sz w:val="22"/>
                <w:szCs w:val="22"/>
                <w:lang w:eastAsia="en-US"/>
              </w:rPr>
            </w:pPr>
            <w:r>
              <w:rPr>
                <w:rFonts w:ascii="Arial" w:hAnsi="Arial" w:cs="Arial"/>
                <w:b/>
                <w:sz w:val="22"/>
                <w:szCs w:val="22"/>
                <w:lang w:eastAsia="en-US"/>
              </w:rPr>
              <w:t>26.3.1 Konzultace návrhů veřejných politik s dotčenými subjekty</w:t>
            </w:r>
          </w:p>
        </w:tc>
      </w:tr>
      <w:tr w:rsidR="00F261A3" w14:paraId="55D814E1"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1D450508" w14:textId="77777777" w:rsidR="00F261A3" w:rsidRDefault="00F261A3" w:rsidP="00362C76">
            <w:pPr>
              <w:jc w:val="both"/>
              <w:rPr>
                <w:rFonts w:ascii="Arial" w:hAnsi="Arial" w:cs="Arial"/>
                <w:sz w:val="22"/>
                <w:szCs w:val="22"/>
                <w:lang w:eastAsia="en-US"/>
              </w:rPr>
            </w:pPr>
            <w:r>
              <w:rPr>
                <w:rFonts w:ascii="Arial" w:hAnsi="Arial" w:cs="Arial"/>
                <w:sz w:val="22"/>
                <w:szCs w:val="22"/>
                <w:lang w:eastAsia="en-US"/>
              </w:rPr>
              <w:t xml:space="preserve">Stručná definice: </w:t>
            </w:r>
          </w:p>
        </w:tc>
        <w:tc>
          <w:tcPr>
            <w:tcW w:w="6486" w:type="dxa"/>
            <w:tcBorders>
              <w:top w:val="single" w:sz="4" w:space="0" w:color="auto"/>
              <w:left w:val="single" w:sz="4" w:space="0" w:color="auto"/>
              <w:bottom w:val="single" w:sz="4" w:space="0" w:color="auto"/>
              <w:right w:val="single" w:sz="4" w:space="0" w:color="auto"/>
            </w:tcBorders>
          </w:tcPr>
          <w:p w14:paraId="7BDEC65D" w14:textId="1D585205" w:rsidR="00F261A3" w:rsidRDefault="00F261A3" w:rsidP="00362C76">
            <w:pPr>
              <w:jc w:val="both"/>
              <w:rPr>
                <w:rFonts w:ascii="Arial" w:hAnsi="Arial" w:cs="Arial"/>
                <w:color w:val="000000"/>
                <w:sz w:val="22"/>
                <w:szCs w:val="22"/>
                <w:lang w:eastAsia="en-US"/>
              </w:rPr>
            </w:pPr>
            <w:r>
              <w:rPr>
                <w:rFonts w:ascii="Arial" w:hAnsi="Arial" w:cs="Arial"/>
                <w:color w:val="000000"/>
                <w:sz w:val="22"/>
                <w:szCs w:val="22"/>
                <w:lang w:eastAsia="en-US"/>
              </w:rPr>
              <w:t xml:space="preserve">Procentuální podíl projednaných návrhů, které Komise RIA doporučila s kladným stanoviskem. </w:t>
            </w:r>
          </w:p>
          <w:p w14:paraId="2C6CE269" w14:textId="77777777" w:rsidR="00F261A3" w:rsidRDefault="00F261A3" w:rsidP="00362C76">
            <w:pPr>
              <w:jc w:val="both"/>
              <w:rPr>
                <w:rFonts w:ascii="Arial" w:hAnsi="Arial" w:cs="Arial"/>
                <w:color w:val="000000"/>
                <w:sz w:val="22"/>
                <w:szCs w:val="22"/>
                <w:lang w:eastAsia="en-US"/>
              </w:rPr>
            </w:pPr>
          </w:p>
          <w:p w14:paraId="68369D19" w14:textId="77777777" w:rsidR="00F261A3" w:rsidRDefault="00F261A3" w:rsidP="00362C76">
            <w:pPr>
              <w:jc w:val="both"/>
              <w:rPr>
                <w:rFonts w:ascii="Arial" w:hAnsi="Arial" w:cs="Arial"/>
                <w:sz w:val="22"/>
                <w:szCs w:val="22"/>
                <w:lang w:eastAsia="en-US"/>
              </w:rPr>
            </w:pPr>
            <w:r>
              <w:rPr>
                <w:rFonts w:ascii="Arial" w:hAnsi="Arial" w:cs="Arial"/>
                <w:sz w:val="22"/>
                <w:szCs w:val="22"/>
                <w:lang w:eastAsia="en-US"/>
              </w:rPr>
              <w:t>Konzultace s dotčenými subjekty je v procesu RIA povinná. Jedním z důležitých nástrojů k tomuto účelu Databáze konzultujících organizací /</w:t>
            </w:r>
            <w:proofErr w:type="spellStart"/>
            <w:r>
              <w:rPr>
                <w:rFonts w:ascii="Arial" w:hAnsi="Arial" w:cs="Arial"/>
                <w:sz w:val="22"/>
                <w:szCs w:val="22"/>
                <w:lang w:eastAsia="en-US"/>
              </w:rPr>
              <w:t>DataKo</w:t>
            </w:r>
            <w:proofErr w:type="spellEnd"/>
            <w:r>
              <w:rPr>
                <w:rFonts w:ascii="Arial" w:hAnsi="Arial" w:cs="Arial"/>
                <w:sz w:val="22"/>
                <w:szCs w:val="22"/>
                <w:lang w:eastAsia="en-US"/>
              </w:rPr>
              <w:t>.</w:t>
            </w:r>
          </w:p>
          <w:p w14:paraId="1235C8D0" w14:textId="77777777" w:rsidR="00F261A3" w:rsidRDefault="00F261A3" w:rsidP="00362C76">
            <w:pPr>
              <w:jc w:val="both"/>
              <w:rPr>
                <w:rFonts w:ascii="Arial" w:hAnsi="Arial" w:cs="Arial"/>
                <w:sz w:val="22"/>
                <w:szCs w:val="22"/>
                <w:lang w:eastAsia="en-US"/>
              </w:rPr>
            </w:pPr>
          </w:p>
          <w:p w14:paraId="4CF45E72" w14:textId="5A3A2010" w:rsidR="00F261A3" w:rsidRDefault="00F261A3" w:rsidP="00362C76">
            <w:pPr>
              <w:jc w:val="both"/>
              <w:rPr>
                <w:rFonts w:ascii="Arial" w:hAnsi="Arial" w:cs="Arial"/>
                <w:sz w:val="22"/>
                <w:szCs w:val="22"/>
                <w:lang w:eastAsia="en-US"/>
              </w:rPr>
            </w:pPr>
            <w:r>
              <w:rPr>
                <w:rFonts w:ascii="Arial" w:hAnsi="Arial" w:cs="Arial"/>
                <w:sz w:val="22"/>
                <w:szCs w:val="22"/>
                <w:lang w:eastAsia="en-US"/>
              </w:rPr>
              <w:t>Kvalitativní aspekt (zajistí OUR): jednou za dvouleté hodnotící období bude pro každé ministerstvo vybrán jeden vládou projednaný návrh</w:t>
            </w:r>
            <w:r w:rsidR="004608B4">
              <w:rPr>
                <w:rFonts w:ascii="Arial" w:hAnsi="Arial" w:cs="Arial"/>
                <w:sz w:val="22"/>
                <w:szCs w:val="22"/>
                <w:lang w:eastAsia="en-US"/>
              </w:rPr>
              <w:t xml:space="preserve">, relevantní cílům strategického rámce </w:t>
            </w:r>
            <w:r w:rsidR="004608B4" w:rsidRPr="00C54BB7">
              <w:rPr>
                <w:rFonts w:ascii="Arial" w:hAnsi="Arial" w:cs="Arial"/>
                <w:i/>
                <w:sz w:val="22"/>
                <w:szCs w:val="22"/>
                <w:lang w:eastAsia="en-US"/>
              </w:rPr>
              <w:t>Česká republika 2030</w:t>
            </w:r>
            <w:r>
              <w:rPr>
                <w:rFonts w:ascii="Arial" w:hAnsi="Arial" w:cs="Arial"/>
                <w:sz w:val="22"/>
                <w:szCs w:val="22"/>
                <w:lang w:eastAsia="en-US"/>
              </w:rPr>
              <w:t xml:space="preserve"> a bude prozkoumán proces jeho konzultace do větších podrobností.</w:t>
            </w:r>
          </w:p>
        </w:tc>
      </w:tr>
      <w:tr w:rsidR="00F261A3" w14:paraId="5415DCDB"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5DA5D0EE" w14:textId="77777777" w:rsidR="00F261A3" w:rsidRDefault="00F261A3" w:rsidP="00362C76">
            <w:pPr>
              <w:jc w:val="both"/>
              <w:rPr>
                <w:rFonts w:ascii="Arial" w:hAnsi="Arial" w:cs="Arial"/>
                <w:sz w:val="22"/>
                <w:szCs w:val="22"/>
                <w:lang w:eastAsia="en-US"/>
              </w:rPr>
            </w:pPr>
            <w:r>
              <w:rPr>
                <w:rFonts w:ascii="Arial" w:hAnsi="Arial" w:cs="Arial"/>
                <w:sz w:val="22"/>
                <w:szCs w:val="22"/>
                <w:lang w:eastAsia="en-US"/>
              </w:rPr>
              <w:lastRenderedPageBreak/>
              <w:t>Jednotka:</w:t>
            </w:r>
          </w:p>
        </w:tc>
        <w:tc>
          <w:tcPr>
            <w:tcW w:w="6486" w:type="dxa"/>
            <w:tcBorders>
              <w:top w:val="single" w:sz="4" w:space="0" w:color="auto"/>
              <w:left w:val="single" w:sz="4" w:space="0" w:color="auto"/>
              <w:bottom w:val="single" w:sz="4" w:space="0" w:color="auto"/>
              <w:right w:val="single" w:sz="4" w:space="0" w:color="auto"/>
            </w:tcBorders>
            <w:hideMark/>
          </w:tcPr>
          <w:p w14:paraId="3D4D2875" w14:textId="77777777" w:rsidR="00F261A3" w:rsidRDefault="00F261A3" w:rsidP="00362C76">
            <w:pPr>
              <w:jc w:val="both"/>
              <w:rPr>
                <w:rFonts w:ascii="Arial" w:hAnsi="Arial" w:cs="Arial"/>
                <w:sz w:val="22"/>
                <w:szCs w:val="22"/>
                <w:lang w:eastAsia="en-US"/>
              </w:rPr>
            </w:pPr>
            <w:r>
              <w:rPr>
                <w:rFonts w:ascii="Arial" w:hAnsi="Arial" w:cs="Arial"/>
                <w:sz w:val="22"/>
                <w:szCs w:val="22"/>
                <w:lang w:eastAsia="en-US"/>
              </w:rPr>
              <w:t>Podíl (v %)</w:t>
            </w:r>
          </w:p>
        </w:tc>
      </w:tr>
      <w:tr w:rsidR="00F261A3" w14:paraId="0E8F2AD3"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65C69AEB" w14:textId="77777777" w:rsidR="00F261A3" w:rsidRDefault="00F261A3" w:rsidP="00362C76">
            <w:pPr>
              <w:jc w:val="both"/>
              <w:rPr>
                <w:rFonts w:ascii="Arial" w:hAnsi="Arial" w:cs="Arial"/>
                <w:sz w:val="22"/>
                <w:szCs w:val="22"/>
                <w:lang w:eastAsia="en-US"/>
              </w:rPr>
            </w:pPr>
            <w:r>
              <w:rPr>
                <w:rFonts w:ascii="Arial" w:hAnsi="Arial" w:cs="Arial"/>
                <w:sz w:val="22"/>
                <w:szCs w:val="22"/>
                <w:lang w:eastAsia="en-US"/>
              </w:rPr>
              <w:t xml:space="preserve">Gestor: </w:t>
            </w:r>
          </w:p>
        </w:tc>
        <w:tc>
          <w:tcPr>
            <w:tcW w:w="6486" w:type="dxa"/>
            <w:tcBorders>
              <w:top w:val="single" w:sz="4" w:space="0" w:color="auto"/>
              <w:left w:val="single" w:sz="4" w:space="0" w:color="auto"/>
              <w:bottom w:val="single" w:sz="4" w:space="0" w:color="auto"/>
              <w:right w:val="single" w:sz="4" w:space="0" w:color="auto"/>
            </w:tcBorders>
            <w:hideMark/>
          </w:tcPr>
          <w:p w14:paraId="0F320FA7" w14:textId="77777777" w:rsidR="00F261A3" w:rsidRDefault="00F261A3" w:rsidP="00362C76">
            <w:pPr>
              <w:jc w:val="both"/>
              <w:rPr>
                <w:rFonts w:ascii="Arial" w:hAnsi="Arial" w:cs="Arial"/>
                <w:sz w:val="22"/>
                <w:szCs w:val="22"/>
                <w:lang w:eastAsia="en-US"/>
              </w:rPr>
            </w:pPr>
            <w:r>
              <w:rPr>
                <w:rFonts w:ascii="Arial" w:hAnsi="Arial" w:cs="Arial"/>
                <w:sz w:val="22"/>
                <w:szCs w:val="22"/>
                <w:lang w:eastAsia="en-US"/>
              </w:rPr>
              <w:t>Úřad vlády, Sekce Legislativní rady vlády</w:t>
            </w:r>
          </w:p>
        </w:tc>
      </w:tr>
      <w:tr w:rsidR="00F261A3" w14:paraId="057F4F0A"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256A9A20" w14:textId="77777777" w:rsidR="00F261A3" w:rsidRDefault="00F261A3" w:rsidP="00362C76">
            <w:pPr>
              <w:jc w:val="both"/>
              <w:rPr>
                <w:rFonts w:ascii="Arial" w:hAnsi="Arial" w:cs="Arial"/>
                <w:sz w:val="22"/>
                <w:szCs w:val="22"/>
                <w:lang w:eastAsia="en-US"/>
              </w:rPr>
            </w:pPr>
            <w:r>
              <w:rPr>
                <w:rFonts w:ascii="Arial" w:hAnsi="Arial" w:cs="Arial"/>
                <w:sz w:val="22"/>
                <w:szCs w:val="22"/>
                <w:lang w:eastAsia="en-US"/>
              </w:rPr>
              <w:t xml:space="preserve">Význam indikátoru: </w:t>
            </w:r>
          </w:p>
        </w:tc>
        <w:tc>
          <w:tcPr>
            <w:tcW w:w="6486" w:type="dxa"/>
            <w:tcBorders>
              <w:top w:val="single" w:sz="4" w:space="0" w:color="auto"/>
              <w:left w:val="single" w:sz="4" w:space="0" w:color="auto"/>
              <w:bottom w:val="single" w:sz="4" w:space="0" w:color="auto"/>
              <w:right w:val="single" w:sz="4" w:space="0" w:color="auto"/>
            </w:tcBorders>
            <w:hideMark/>
          </w:tcPr>
          <w:p w14:paraId="05A77D51" w14:textId="77777777" w:rsidR="00F261A3" w:rsidRDefault="00F261A3" w:rsidP="00362C76">
            <w:pPr>
              <w:jc w:val="both"/>
              <w:rPr>
                <w:rFonts w:ascii="Arial" w:hAnsi="Arial" w:cs="Arial"/>
                <w:sz w:val="22"/>
                <w:szCs w:val="22"/>
                <w:lang w:eastAsia="en-US"/>
              </w:rPr>
            </w:pPr>
            <w:r>
              <w:rPr>
                <w:rFonts w:ascii="Arial" w:hAnsi="Arial" w:cs="Arial"/>
                <w:sz w:val="22"/>
                <w:szCs w:val="22"/>
                <w:lang w:eastAsia="en-US"/>
              </w:rPr>
              <w:t>Demokratičnost vládnutí, dlouhodobá efektivita vládnutí: deliberace jako předpoklad pro účinnost veřejné politiky a zároveň cesta k posilování legitimity zvolených řešení.</w:t>
            </w:r>
          </w:p>
        </w:tc>
      </w:tr>
      <w:tr w:rsidR="00F261A3" w14:paraId="75323C12"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0007F878" w14:textId="77777777" w:rsidR="00F261A3" w:rsidRDefault="00F261A3" w:rsidP="00362C76">
            <w:pPr>
              <w:jc w:val="both"/>
              <w:rPr>
                <w:rFonts w:ascii="Arial" w:hAnsi="Arial" w:cs="Arial"/>
                <w:sz w:val="22"/>
                <w:szCs w:val="22"/>
                <w:lang w:eastAsia="en-US"/>
              </w:rPr>
            </w:pPr>
            <w:r>
              <w:rPr>
                <w:rFonts w:ascii="Arial" w:hAnsi="Arial" w:cs="Arial"/>
                <w:sz w:val="22"/>
                <w:szCs w:val="22"/>
                <w:lang w:eastAsia="en-US"/>
              </w:rPr>
              <w:t xml:space="preserve">Časová řada: </w:t>
            </w:r>
          </w:p>
        </w:tc>
        <w:tc>
          <w:tcPr>
            <w:tcW w:w="6486" w:type="dxa"/>
            <w:tcBorders>
              <w:top w:val="single" w:sz="4" w:space="0" w:color="auto"/>
              <w:left w:val="single" w:sz="4" w:space="0" w:color="auto"/>
              <w:bottom w:val="single" w:sz="4" w:space="0" w:color="auto"/>
              <w:right w:val="single" w:sz="4" w:space="0" w:color="auto"/>
            </w:tcBorders>
            <w:hideMark/>
          </w:tcPr>
          <w:p w14:paraId="4CD3D229" w14:textId="77777777" w:rsidR="00F261A3" w:rsidRDefault="00F261A3" w:rsidP="00362C76">
            <w:pPr>
              <w:jc w:val="both"/>
              <w:rPr>
                <w:rFonts w:ascii="Arial" w:hAnsi="Arial" w:cs="Arial"/>
                <w:sz w:val="22"/>
                <w:szCs w:val="22"/>
                <w:lang w:eastAsia="en-US"/>
              </w:rPr>
            </w:pPr>
            <w:r>
              <w:rPr>
                <w:rFonts w:ascii="Arial" w:hAnsi="Arial" w:cs="Arial"/>
                <w:sz w:val="22"/>
                <w:szCs w:val="22"/>
                <w:lang w:eastAsia="en-US"/>
              </w:rPr>
              <w:t>Od roku 2017 (kvalitativní aspekt od 2019)</w:t>
            </w:r>
          </w:p>
        </w:tc>
      </w:tr>
      <w:tr w:rsidR="00F261A3" w14:paraId="64A0BCF9"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23376977" w14:textId="77777777" w:rsidR="00F261A3" w:rsidRDefault="00F261A3" w:rsidP="00362C76">
            <w:pPr>
              <w:jc w:val="both"/>
              <w:rPr>
                <w:rFonts w:ascii="Arial" w:hAnsi="Arial" w:cs="Arial"/>
                <w:sz w:val="22"/>
                <w:szCs w:val="22"/>
                <w:lang w:eastAsia="en-US"/>
              </w:rPr>
            </w:pPr>
            <w:r>
              <w:rPr>
                <w:rFonts w:ascii="Arial" w:hAnsi="Arial" w:cs="Arial"/>
                <w:sz w:val="22"/>
                <w:szCs w:val="22"/>
                <w:lang w:eastAsia="en-US"/>
              </w:rPr>
              <w:t xml:space="preserve">Frekvence výstupu: </w:t>
            </w:r>
          </w:p>
        </w:tc>
        <w:tc>
          <w:tcPr>
            <w:tcW w:w="6486" w:type="dxa"/>
            <w:tcBorders>
              <w:top w:val="single" w:sz="4" w:space="0" w:color="auto"/>
              <w:left w:val="single" w:sz="4" w:space="0" w:color="auto"/>
              <w:bottom w:val="single" w:sz="4" w:space="0" w:color="auto"/>
              <w:right w:val="single" w:sz="4" w:space="0" w:color="auto"/>
            </w:tcBorders>
            <w:hideMark/>
          </w:tcPr>
          <w:p w14:paraId="1FD5B580" w14:textId="039BC900" w:rsidR="00F261A3" w:rsidRDefault="00F261A3" w:rsidP="00362C76">
            <w:pPr>
              <w:jc w:val="both"/>
              <w:rPr>
                <w:rFonts w:ascii="Arial" w:hAnsi="Arial" w:cs="Arial"/>
                <w:sz w:val="22"/>
                <w:szCs w:val="22"/>
                <w:lang w:eastAsia="en-US"/>
              </w:rPr>
            </w:pPr>
            <w:r>
              <w:rPr>
                <w:rFonts w:ascii="Arial" w:hAnsi="Arial" w:cs="Arial"/>
                <w:sz w:val="22"/>
                <w:szCs w:val="22"/>
                <w:lang w:eastAsia="en-US"/>
              </w:rPr>
              <w:t xml:space="preserve">Ročně (kvalitativní aspekt </w:t>
            </w:r>
            <w:r w:rsidR="00362C76">
              <w:rPr>
                <w:rFonts w:ascii="Arial" w:hAnsi="Arial" w:cs="Arial"/>
                <w:sz w:val="22"/>
                <w:szCs w:val="22"/>
                <w:lang w:eastAsia="en-US"/>
              </w:rPr>
              <w:t>jednou za dva</w:t>
            </w:r>
            <w:r>
              <w:rPr>
                <w:rFonts w:ascii="Arial" w:hAnsi="Arial" w:cs="Arial"/>
                <w:sz w:val="22"/>
                <w:szCs w:val="22"/>
                <w:lang w:eastAsia="en-US"/>
              </w:rPr>
              <w:t xml:space="preserve"> roky)</w:t>
            </w:r>
          </w:p>
        </w:tc>
      </w:tr>
      <w:tr w:rsidR="00F261A3" w14:paraId="512270D8" w14:textId="77777777" w:rsidTr="0062345D">
        <w:trPr>
          <w:trHeight w:val="70"/>
        </w:trPr>
        <w:tc>
          <w:tcPr>
            <w:tcW w:w="2802" w:type="dxa"/>
            <w:tcBorders>
              <w:top w:val="single" w:sz="4" w:space="0" w:color="auto"/>
              <w:left w:val="single" w:sz="4" w:space="0" w:color="auto"/>
              <w:bottom w:val="single" w:sz="4" w:space="0" w:color="auto"/>
              <w:right w:val="single" w:sz="4" w:space="0" w:color="auto"/>
            </w:tcBorders>
            <w:hideMark/>
          </w:tcPr>
          <w:p w14:paraId="057E959F" w14:textId="77777777" w:rsidR="00F261A3" w:rsidRDefault="00F261A3" w:rsidP="00362C76">
            <w:pPr>
              <w:jc w:val="both"/>
              <w:rPr>
                <w:rFonts w:ascii="Arial" w:hAnsi="Arial" w:cs="Arial"/>
                <w:sz w:val="22"/>
                <w:szCs w:val="22"/>
                <w:lang w:eastAsia="en-US"/>
              </w:rPr>
            </w:pPr>
            <w:r>
              <w:rPr>
                <w:rFonts w:ascii="Arial" w:hAnsi="Arial" w:cs="Arial"/>
                <w:sz w:val="22"/>
                <w:szCs w:val="22"/>
                <w:lang w:eastAsia="en-US"/>
              </w:rPr>
              <w:t xml:space="preserve">Členění indikátoru: </w:t>
            </w:r>
          </w:p>
        </w:tc>
        <w:tc>
          <w:tcPr>
            <w:tcW w:w="6486" w:type="dxa"/>
            <w:tcBorders>
              <w:top w:val="single" w:sz="4" w:space="0" w:color="auto"/>
              <w:left w:val="single" w:sz="4" w:space="0" w:color="auto"/>
              <w:bottom w:val="single" w:sz="4" w:space="0" w:color="auto"/>
              <w:right w:val="single" w:sz="4" w:space="0" w:color="auto"/>
            </w:tcBorders>
            <w:hideMark/>
          </w:tcPr>
          <w:p w14:paraId="643E9D39" w14:textId="77777777" w:rsidR="00F261A3" w:rsidRDefault="00F261A3" w:rsidP="00362C76">
            <w:pPr>
              <w:jc w:val="both"/>
              <w:rPr>
                <w:rFonts w:ascii="Arial" w:hAnsi="Arial" w:cs="Arial"/>
                <w:sz w:val="22"/>
                <w:szCs w:val="22"/>
                <w:lang w:eastAsia="en-US"/>
              </w:rPr>
            </w:pPr>
            <w:r>
              <w:rPr>
                <w:rFonts w:ascii="Arial" w:hAnsi="Arial" w:cs="Arial"/>
                <w:sz w:val="22"/>
                <w:szCs w:val="22"/>
                <w:lang w:eastAsia="en-US"/>
              </w:rPr>
              <w:t>-</w:t>
            </w:r>
          </w:p>
        </w:tc>
      </w:tr>
      <w:tr w:rsidR="00F261A3" w14:paraId="3CF08842" w14:textId="77777777" w:rsidTr="0062345D">
        <w:trPr>
          <w:trHeight w:val="70"/>
        </w:trPr>
        <w:tc>
          <w:tcPr>
            <w:tcW w:w="2802" w:type="dxa"/>
            <w:tcBorders>
              <w:top w:val="single" w:sz="4" w:space="0" w:color="auto"/>
              <w:left w:val="single" w:sz="4" w:space="0" w:color="auto"/>
              <w:bottom w:val="single" w:sz="4" w:space="0" w:color="auto"/>
              <w:right w:val="single" w:sz="4" w:space="0" w:color="auto"/>
            </w:tcBorders>
            <w:hideMark/>
          </w:tcPr>
          <w:p w14:paraId="314FDFD8" w14:textId="77777777" w:rsidR="00F261A3" w:rsidRDefault="00F261A3" w:rsidP="00362C76">
            <w:pPr>
              <w:jc w:val="both"/>
              <w:rPr>
                <w:rFonts w:ascii="Arial" w:hAnsi="Arial" w:cs="Arial"/>
                <w:sz w:val="22"/>
                <w:szCs w:val="22"/>
                <w:lang w:eastAsia="en-US"/>
              </w:rPr>
            </w:pPr>
            <w:r>
              <w:rPr>
                <w:rFonts w:ascii="Arial" w:hAnsi="Arial" w:cs="Arial"/>
                <w:sz w:val="22"/>
                <w:szCs w:val="22"/>
                <w:lang w:eastAsia="en-US"/>
              </w:rPr>
              <w:t>Mezinárodní srovnání:</w:t>
            </w:r>
          </w:p>
        </w:tc>
        <w:tc>
          <w:tcPr>
            <w:tcW w:w="6486" w:type="dxa"/>
            <w:tcBorders>
              <w:top w:val="single" w:sz="4" w:space="0" w:color="auto"/>
              <w:left w:val="single" w:sz="4" w:space="0" w:color="auto"/>
              <w:bottom w:val="single" w:sz="4" w:space="0" w:color="auto"/>
              <w:right w:val="single" w:sz="4" w:space="0" w:color="auto"/>
            </w:tcBorders>
            <w:hideMark/>
          </w:tcPr>
          <w:p w14:paraId="604B1EFC" w14:textId="77777777" w:rsidR="00F261A3" w:rsidRDefault="00F261A3" w:rsidP="00362C76">
            <w:pPr>
              <w:jc w:val="both"/>
              <w:rPr>
                <w:rFonts w:ascii="Arial" w:hAnsi="Arial" w:cs="Arial"/>
                <w:sz w:val="22"/>
                <w:szCs w:val="22"/>
                <w:lang w:eastAsia="en-US"/>
              </w:rPr>
            </w:pPr>
            <w:r>
              <w:rPr>
                <w:rFonts w:ascii="Arial" w:hAnsi="Arial" w:cs="Arial"/>
                <w:sz w:val="22"/>
                <w:szCs w:val="22"/>
                <w:lang w:eastAsia="en-US"/>
              </w:rPr>
              <w:t>-</w:t>
            </w:r>
          </w:p>
        </w:tc>
      </w:tr>
    </w:tbl>
    <w:p w14:paraId="72A8163A" w14:textId="77777777" w:rsidR="00F261A3" w:rsidRDefault="00F261A3" w:rsidP="00362C76">
      <w:pPr>
        <w:spacing w:line="276" w:lineRule="auto"/>
        <w:ind w:left="708"/>
        <w:jc w:val="both"/>
        <w:rPr>
          <w:rFonts w:ascii="Arial" w:eastAsiaTheme="minorHAnsi" w:hAnsi="Arial" w:cs="Arial"/>
          <w:sz w:val="22"/>
          <w:szCs w:val="22"/>
          <w:lang w:eastAsia="en-US"/>
        </w:rPr>
      </w:pPr>
    </w:p>
    <w:tbl>
      <w:tblPr>
        <w:tblStyle w:val="Mkatabulky"/>
        <w:tblW w:w="0" w:type="auto"/>
        <w:tblLook w:val="04A0" w:firstRow="1" w:lastRow="0" w:firstColumn="1" w:lastColumn="0" w:noHBand="0" w:noVBand="1"/>
      </w:tblPr>
      <w:tblGrid>
        <w:gridCol w:w="2802"/>
        <w:gridCol w:w="6486"/>
      </w:tblGrid>
      <w:tr w:rsidR="00F261A3" w14:paraId="3A48D640"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3569AF80" w14:textId="2F79795C" w:rsidR="00F261A3" w:rsidRDefault="00F261A3" w:rsidP="00846A07">
            <w:pPr>
              <w:spacing w:line="276" w:lineRule="auto"/>
              <w:rPr>
                <w:rFonts w:ascii="Arial" w:hAnsi="Arial" w:cs="Arial"/>
                <w:sz w:val="22"/>
                <w:szCs w:val="22"/>
                <w:lang w:eastAsia="en-US"/>
              </w:rPr>
            </w:pPr>
            <w:r>
              <w:rPr>
                <w:rFonts w:ascii="Arial" w:hAnsi="Arial" w:cs="Arial"/>
                <w:sz w:val="22"/>
                <w:szCs w:val="22"/>
                <w:lang w:eastAsia="en-US"/>
              </w:rPr>
              <w:t xml:space="preserve">Název a označení indikátoru: </w:t>
            </w:r>
          </w:p>
        </w:tc>
        <w:tc>
          <w:tcPr>
            <w:tcW w:w="6486" w:type="dxa"/>
            <w:tcBorders>
              <w:top w:val="single" w:sz="4" w:space="0" w:color="auto"/>
              <w:left w:val="single" w:sz="4" w:space="0" w:color="auto"/>
              <w:bottom w:val="single" w:sz="4" w:space="0" w:color="auto"/>
              <w:right w:val="single" w:sz="4" w:space="0" w:color="auto"/>
            </w:tcBorders>
            <w:hideMark/>
          </w:tcPr>
          <w:p w14:paraId="327E81DD" w14:textId="77777777" w:rsidR="00F261A3" w:rsidRDefault="00F261A3" w:rsidP="00362C76">
            <w:pPr>
              <w:spacing w:line="276" w:lineRule="auto"/>
              <w:jc w:val="both"/>
              <w:rPr>
                <w:rFonts w:ascii="Arial" w:hAnsi="Arial" w:cs="Arial"/>
                <w:b/>
                <w:sz w:val="22"/>
                <w:szCs w:val="22"/>
                <w:lang w:eastAsia="en-US"/>
              </w:rPr>
            </w:pPr>
            <w:r>
              <w:rPr>
                <w:rFonts w:ascii="Arial" w:hAnsi="Arial" w:cs="Arial"/>
                <w:b/>
                <w:sz w:val="22"/>
                <w:szCs w:val="22"/>
                <w:lang w:eastAsia="en-US"/>
              </w:rPr>
              <w:t>26.3.2 Počet realizátorů MA21</w:t>
            </w:r>
          </w:p>
        </w:tc>
      </w:tr>
      <w:tr w:rsidR="00F261A3" w14:paraId="090D8F1A"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17501C5C"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 xml:space="preserve">Stručná definice: </w:t>
            </w:r>
          </w:p>
        </w:tc>
        <w:tc>
          <w:tcPr>
            <w:tcW w:w="6486" w:type="dxa"/>
            <w:tcBorders>
              <w:top w:val="single" w:sz="4" w:space="0" w:color="auto"/>
              <w:left w:val="single" w:sz="4" w:space="0" w:color="auto"/>
              <w:bottom w:val="single" w:sz="4" w:space="0" w:color="auto"/>
              <w:right w:val="single" w:sz="4" w:space="0" w:color="auto"/>
            </w:tcBorders>
          </w:tcPr>
          <w:p w14:paraId="775CB75B"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Počet municipalit zapojený do MA21 podle jednotlivých kategorií (A-D).</w:t>
            </w:r>
          </w:p>
          <w:p w14:paraId="3AF31844" w14:textId="77777777" w:rsidR="00F261A3" w:rsidRDefault="00F261A3" w:rsidP="00362C76">
            <w:pPr>
              <w:spacing w:line="276" w:lineRule="auto"/>
              <w:jc w:val="both"/>
              <w:rPr>
                <w:rFonts w:ascii="Arial" w:hAnsi="Arial" w:cs="Arial"/>
                <w:sz w:val="22"/>
                <w:szCs w:val="22"/>
                <w:lang w:eastAsia="en-US"/>
              </w:rPr>
            </w:pPr>
          </w:p>
          <w:p w14:paraId="1AF6CC6F"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Kvalitativní aspekt: informace z kontrol a hodnocení PS MA21.</w:t>
            </w:r>
          </w:p>
        </w:tc>
      </w:tr>
      <w:tr w:rsidR="00F261A3" w14:paraId="75DE1BE2"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68378493"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Jednotka:</w:t>
            </w:r>
          </w:p>
        </w:tc>
        <w:tc>
          <w:tcPr>
            <w:tcW w:w="6486" w:type="dxa"/>
            <w:tcBorders>
              <w:top w:val="single" w:sz="4" w:space="0" w:color="auto"/>
              <w:left w:val="single" w:sz="4" w:space="0" w:color="auto"/>
              <w:bottom w:val="single" w:sz="4" w:space="0" w:color="auto"/>
              <w:right w:val="single" w:sz="4" w:space="0" w:color="auto"/>
            </w:tcBorders>
            <w:hideMark/>
          </w:tcPr>
          <w:p w14:paraId="34E5FB15"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Počet</w:t>
            </w:r>
          </w:p>
        </w:tc>
      </w:tr>
      <w:tr w:rsidR="00F261A3" w14:paraId="72D1F165"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64E0A356"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 xml:space="preserve">Gestor: </w:t>
            </w:r>
          </w:p>
        </w:tc>
        <w:tc>
          <w:tcPr>
            <w:tcW w:w="6486" w:type="dxa"/>
            <w:tcBorders>
              <w:top w:val="single" w:sz="4" w:space="0" w:color="auto"/>
              <w:left w:val="single" w:sz="4" w:space="0" w:color="auto"/>
              <w:bottom w:val="single" w:sz="4" w:space="0" w:color="auto"/>
              <w:right w:val="single" w:sz="4" w:space="0" w:color="auto"/>
            </w:tcBorders>
            <w:hideMark/>
          </w:tcPr>
          <w:p w14:paraId="18E70C5C"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Ministerstvo životního prostředí, Úřad vlády (OUR)</w:t>
            </w:r>
          </w:p>
        </w:tc>
      </w:tr>
      <w:tr w:rsidR="00F261A3" w14:paraId="49C97A58"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7B26B6EF"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 xml:space="preserve">Význam indikátoru: </w:t>
            </w:r>
          </w:p>
        </w:tc>
        <w:tc>
          <w:tcPr>
            <w:tcW w:w="6486" w:type="dxa"/>
            <w:tcBorders>
              <w:top w:val="single" w:sz="4" w:space="0" w:color="auto"/>
              <w:left w:val="single" w:sz="4" w:space="0" w:color="auto"/>
              <w:bottom w:val="single" w:sz="4" w:space="0" w:color="auto"/>
              <w:right w:val="single" w:sz="4" w:space="0" w:color="auto"/>
            </w:tcBorders>
            <w:hideMark/>
          </w:tcPr>
          <w:p w14:paraId="1744E9C9" w14:textId="77777777" w:rsidR="00F261A3" w:rsidRDefault="00F261A3" w:rsidP="00362C76">
            <w:pPr>
              <w:autoSpaceDE w:val="0"/>
              <w:autoSpaceDN w:val="0"/>
              <w:adjustRightInd w:val="0"/>
              <w:spacing w:line="276" w:lineRule="auto"/>
              <w:jc w:val="both"/>
              <w:rPr>
                <w:rFonts w:ascii="Arial" w:hAnsi="Arial" w:cs="Arial"/>
                <w:sz w:val="22"/>
                <w:szCs w:val="22"/>
                <w:lang w:eastAsia="en-US"/>
              </w:rPr>
            </w:pPr>
            <w:r>
              <w:rPr>
                <w:rFonts w:ascii="Arial" w:hAnsi="Arial" w:cs="Arial"/>
                <w:sz w:val="22"/>
                <w:szCs w:val="22"/>
                <w:lang w:eastAsia="en-US"/>
              </w:rPr>
              <w:t>Demokratičnost vládnutí, dlouhodobá efektivita vládnutí: Participace, deliberace a spolupráce sektorů jsou podmínkou realizace MA21 ve všech kategoriích.</w:t>
            </w:r>
          </w:p>
        </w:tc>
      </w:tr>
      <w:tr w:rsidR="00F261A3" w14:paraId="1B78B0CA"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51674FE5"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 xml:space="preserve">Časová řada: </w:t>
            </w:r>
          </w:p>
        </w:tc>
        <w:tc>
          <w:tcPr>
            <w:tcW w:w="6486" w:type="dxa"/>
            <w:tcBorders>
              <w:top w:val="single" w:sz="4" w:space="0" w:color="auto"/>
              <w:left w:val="single" w:sz="4" w:space="0" w:color="auto"/>
              <w:bottom w:val="single" w:sz="4" w:space="0" w:color="auto"/>
              <w:right w:val="single" w:sz="4" w:space="0" w:color="auto"/>
            </w:tcBorders>
            <w:hideMark/>
          </w:tcPr>
          <w:p w14:paraId="0370DA70"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Od roku 2006, resp. 2010</w:t>
            </w:r>
          </w:p>
        </w:tc>
      </w:tr>
      <w:tr w:rsidR="00F261A3" w14:paraId="1FA66985"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0022EE68"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 xml:space="preserve">Frekvence výstupu: </w:t>
            </w:r>
          </w:p>
        </w:tc>
        <w:tc>
          <w:tcPr>
            <w:tcW w:w="6486" w:type="dxa"/>
            <w:tcBorders>
              <w:top w:val="single" w:sz="4" w:space="0" w:color="auto"/>
              <w:left w:val="single" w:sz="4" w:space="0" w:color="auto"/>
              <w:bottom w:val="single" w:sz="4" w:space="0" w:color="auto"/>
              <w:right w:val="single" w:sz="4" w:space="0" w:color="auto"/>
            </w:tcBorders>
            <w:hideMark/>
          </w:tcPr>
          <w:p w14:paraId="5720C806"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Ročně</w:t>
            </w:r>
          </w:p>
        </w:tc>
      </w:tr>
      <w:tr w:rsidR="00F261A3" w14:paraId="6495DAC2" w14:textId="77777777" w:rsidTr="0062345D">
        <w:trPr>
          <w:trHeight w:val="70"/>
        </w:trPr>
        <w:tc>
          <w:tcPr>
            <w:tcW w:w="2802" w:type="dxa"/>
            <w:tcBorders>
              <w:top w:val="single" w:sz="4" w:space="0" w:color="auto"/>
              <w:left w:val="single" w:sz="4" w:space="0" w:color="auto"/>
              <w:bottom w:val="single" w:sz="4" w:space="0" w:color="auto"/>
              <w:right w:val="single" w:sz="4" w:space="0" w:color="auto"/>
            </w:tcBorders>
            <w:hideMark/>
          </w:tcPr>
          <w:p w14:paraId="4E2AE54A"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 xml:space="preserve">Členění indikátoru: </w:t>
            </w:r>
          </w:p>
        </w:tc>
        <w:tc>
          <w:tcPr>
            <w:tcW w:w="6486" w:type="dxa"/>
            <w:tcBorders>
              <w:top w:val="single" w:sz="4" w:space="0" w:color="auto"/>
              <w:left w:val="single" w:sz="4" w:space="0" w:color="auto"/>
              <w:bottom w:val="single" w:sz="4" w:space="0" w:color="auto"/>
              <w:right w:val="single" w:sz="4" w:space="0" w:color="auto"/>
            </w:tcBorders>
            <w:hideMark/>
          </w:tcPr>
          <w:p w14:paraId="5EAB16C8"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w:t>
            </w:r>
          </w:p>
        </w:tc>
      </w:tr>
      <w:tr w:rsidR="00F261A3" w14:paraId="688171DC" w14:textId="77777777" w:rsidTr="0062345D">
        <w:trPr>
          <w:trHeight w:val="70"/>
        </w:trPr>
        <w:tc>
          <w:tcPr>
            <w:tcW w:w="2802" w:type="dxa"/>
            <w:tcBorders>
              <w:top w:val="single" w:sz="4" w:space="0" w:color="auto"/>
              <w:left w:val="single" w:sz="4" w:space="0" w:color="auto"/>
              <w:bottom w:val="single" w:sz="4" w:space="0" w:color="auto"/>
              <w:right w:val="single" w:sz="4" w:space="0" w:color="auto"/>
            </w:tcBorders>
            <w:hideMark/>
          </w:tcPr>
          <w:p w14:paraId="63F63817"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Mezinárodní srovnání:</w:t>
            </w:r>
          </w:p>
        </w:tc>
        <w:tc>
          <w:tcPr>
            <w:tcW w:w="6486" w:type="dxa"/>
            <w:tcBorders>
              <w:top w:val="single" w:sz="4" w:space="0" w:color="auto"/>
              <w:left w:val="single" w:sz="4" w:space="0" w:color="auto"/>
              <w:bottom w:val="single" w:sz="4" w:space="0" w:color="auto"/>
              <w:right w:val="single" w:sz="4" w:space="0" w:color="auto"/>
            </w:tcBorders>
            <w:hideMark/>
          </w:tcPr>
          <w:p w14:paraId="77D2AE9B"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w:t>
            </w:r>
          </w:p>
        </w:tc>
      </w:tr>
    </w:tbl>
    <w:p w14:paraId="48F9E102" w14:textId="77777777" w:rsidR="00F261A3" w:rsidRDefault="00F261A3" w:rsidP="00F261A3">
      <w:pPr>
        <w:spacing w:line="276" w:lineRule="auto"/>
        <w:ind w:left="708"/>
        <w:rPr>
          <w:rFonts w:ascii="Arial" w:eastAsiaTheme="minorHAnsi" w:hAnsi="Arial" w:cs="Arial"/>
          <w:sz w:val="22"/>
          <w:szCs w:val="22"/>
          <w:lang w:eastAsia="en-US"/>
        </w:rPr>
      </w:pPr>
    </w:p>
    <w:p w14:paraId="3539ECA2" w14:textId="77777777" w:rsidR="00F261A3" w:rsidRDefault="00F261A3" w:rsidP="00362C76">
      <w:pPr>
        <w:pStyle w:val="r2030cle"/>
        <w:numPr>
          <w:ilvl w:val="0"/>
          <w:numId w:val="17"/>
        </w:numPr>
        <w:ind w:left="567" w:hanging="425"/>
      </w:pPr>
      <w:r>
        <w:t>Zvýšila se kvalita vládnutí z hlediska příjemců veřejných politik.</w:t>
      </w:r>
    </w:p>
    <w:p w14:paraId="0A37D3B4" w14:textId="02ECFCA7" w:rsidR="00F261A3" w:rsidRDefault="00B65661" w:rsidP="00362C76">
      <w:pPr>
        <w:pStyle w:val="r2030podcle"/>
        <w:numPr>
          <w:ilvl w:val="1"/>
          <w:numId w:val="17"/>
        </w:numPr>
        <w:ind w:left="567" w:hanging="425"/>
      </w:pPr>
      <w:r>
        <w:t>Rozvinou se postupy zvyšující z</w:t>
      </w:r>
      <w:r w:rsidRPr="00020BA6">
        <w:t xml:space="preserve"> hlediska občanů a občanek </w:t>
      </w:r>
      <w:r>
        <w:t>inkluzivitu</w:t>
      </w:r>
      <w:r w:rsidRPr="00020BA6">
        <w:t xml:space="preserve"> vládnutí</w:t>
      </w:r>
      <w:r w:rsidR="00FA6CB1">
        <w:t>.</w:t>
      </w:r>
    </w:p>
    <w:tbl>
      <w:tblPr>
        <w:tblStyle w:val="Mkatabulky"/>
        <w:tblW w:w="0" w:type="auto"/>
        <w:tblLook w:val="04A0" w:firstRow="1" w:lastRow="0" w:firstColumn="1" w:lastColumn="0" w:noHBand="0" w:noVBand="1"/>
      </w:tblPr>
      <w:tblGrid>
        <w:gridCol w:w="2802"/>
        <w:gridCol w:w="6486"/>
      </w:tblGrid>
      <w:tr w:rsidR="00F261A3" w14:paraId="5CF5BDEC"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1AC1537F"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Název a označení indikátoru: </w:t>
            </w:r>
          </w:p>
        </w:tc>
        <w:tc>
          <w:tcPr>
            <w:tcW w:w="6486" w:type="dxa"/>
            <w:tcBorders>
              <w:top w:val="single" w:sz="4" w:space="0" w:color="auto"/>
              <w:left w:val="single" w:sz="4" w:space="0" w:color="auto"/>
              <w:bottom w:val="single" w:sz="4" w:space="0" w:color="auto"/>
              <w:right w:val="single" w:sz="4" w:space="0" w:color="auto"/>
            </w:tcBorders>
          </w:tcPr>
          <w:p w14:paraId="05ACDDF9" w14:textId="77777777" w:rsidR="00F261A3" w:rsidRDefault="00F261A3" w:rsidP="0062345D">
            <w:pPr>
              <w:autoSpaceDE w:val="0"/>
              <w:autoSpaceDN w:val="0"/>
              <w:adjustRightInd w:val="0"/>
              <w:spacing w:line="276" w:lineRule="auto"/>
              <w:rPr>
                <w:rFonts w:ascii="Arial" w:hAnsi="Arial" w:cs="Arial"/>
                <w:b/>
                <w:sz w:val="22"/>
                <w:szCs w:val="22"/>
                <w:lang w:val="de-DE" w:eastAsia="en-US"/>
              </w:rPr>
            </w:pPr>
            <w:r>
              <w:rPr>
                <w:rFonts w:ascii="Arial" w:hAnsi="Arial" w:cs="Arial"/>
                <w:b/>
                <w:sz w:val="22"/>
                <w:szCs w:val="22"/>
                <w:lang w:eastAsia="en-US"/>
              </w:rPr>
              <w:t xml:space="preserve">27.1.1 Volební </w:t>
            </w:r>
            <w:r w:rsidRPr="006C0AD0">
              <w:rPr>
                <w:rFonts w:ascii="Arial" w:hAnsi="Arial" w:cs="Arial"/>
                <w:b/>
                <w:sz w:val="22"/>
                <w:szCs w:val="22"/>
                <w:lang w:eastAsia="en-US"/>
              </w:rPr>
              <w:t>účast ve všech typech voleb</w:t>
            </w:r>
            <w:r>
              <w:rPr>
                <w:rFonts w:ascii="Arial" w:hAnsi="Arial" w:cs="Arial"/>
                <w:b/>
                <w:sz w:val="22"/>
                <w:szCs w:val="22"/>
                <w:lang w:val="de-DE" w:eastAsia="en-US"/>
              </w:rPr>
              <w:t xml:space="preserve"> </w:t>
            </w:r>
          </w:p>
          <w:p w14:paraId="53CC3AB9" w14:textId="77777777" w:rsidR="00F261A3" w:rsidRPr="00C65892" w:rsidRDefault="00F261A3" w:rsidP="0062345D">
            <w:pPr>
              <w:spacing w:line="276" w:lineRule="auto"/>
              <w:rPr>
                <w:rFonts w:ascii="Arial" w:hAnsi="Arial" w:cs="Arial"/>
                <w:sz w:val="22"/>
                <w:szCs w:val="22"/>
                <w:lang w:val="de-DE" w:eastAsia="en-US"/>
              </w:rPr>
            </w:pPr>
          </w:p>
        </w:tc>
      </w:tr>
      <w:tr w:rsidR="00F261A3" w14:paraId="6FC6D826"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5A83E418"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Stručná definice: </w:t>
            </w:r>
          </w:p>
        </w:tc>
        <w:tc>
          <w:tcPr>
            <w:tcW w:w="6486" w:type="dxa"/>
            <w:tcBorders>
              <w:top w:val="single" w:sz="4" w:space="0" w:color="auto"/>
              <w:left w:val="single" w:sz="4" w:space="0" w:color="auto"/>
              <w:bottom w:val="single" w:sz="4" w:space="0" w:color="auto"/>
              <w:right w:val="single" w:sz="4" w:space="0" w:color="auto"/>
            </w:tcBorders>
            <w:hideMark/>
          </w:tcPr>
          <w:p w14:paraId="10D25300"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 xml:space="preserve">Indikátor je definován jako podíl vydaných obálek (=počet osob, které přišly k volbám) </w:t>
            </w:r>
            <w:proofErr w:type="gramStart"/>
            <w:r>
              <w:rPr>
                <w:rFonts w:ascii="Arial" w:hAnsi="Arial" w:cs="Arial"/>
                <w:sz w:val="22"/>
                <w:szCs w:val="22"/>
                <w:lang w:eastAsia="en-US"/>
              </w:rPr>
              <w:t>ku</w:t>
            </w:r>
            <w:proofErr w:type="gramEnd"/>
            <w:r>
              <w:rPr>
                <w:rFonts w:ascii="Arial" w:hAnsi="Arial" w:cs="Arial"/>
                <w:sz w:val="22"/>
                <w:szCs w:val="22"/>
                <w:lang w:eastAsia="en-US"/>
              </w:rPr>
              <w:t xml:space="preserve"> počtu oprávněných voličů účastnících se voleb do zastupitelstev obcí, zastupitelstev krajů, Senátu Parlamentu ČR, Poslanecké Sněmovny Parlamentu ČR, Evropského parlamentu a celostátních referend</w:t>
            </w:r>
          </w:p>
        </w:tc>
      </w:tr>
      <w:tr w:rsidR="00F261A3" w14:paraId="4411F991"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3A5F3000"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Jednotka:</w:t>
            </w:r>
          </w:p>
        </w:tc>
        <w:tc>
          <w:tcPr>
            <w:tcW w:w="6486" w:type="dxa"/>
            <w:tcBorders>
              <w:top w:val="single" w:sz="4" w:space="0" w:color="auto"/>
              <w:left w:val="single" w:sz="4" w:space="0" w:color="auto"/>
              <w:bottom w:val="single" w:sz="4" w:space="0" w:color="auto"/>
              <w:right w:val="single" w:sz="4" w:space="0" w:color="auto"/>
            </w:tcBorders>
            <w:hideMark/>
          </w:tcPr>
          <w:p w14:paraId="70C15620"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Podíl (v %)</w:t>
            </w:r>
          </w:p>
        </w:tc>
      </w:tr>
      <w:tr w:rsidR="00F261A3" w14:paraId="5CCDE486"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00A017E8"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Gestor: </w:t>
            </w:r>
          </w:p>
        </w:tc>
        <w:tc>
          <w:tcPr>
            <w:tcW w:w="6486" w:type="dxa"/>
            <w:tcBorders>
              <w:top w:val="single" w:sz="4" w:space="0" w:color="auto"/>
              <w:left w:val="single" w:sz="4" w:space="0" w:color="auto"/>
              <w:bottom w:val="single" w:sz="4" w:space="0" w:color="auto"/>
              <w:right w:val="single" w:sz="4" w:space="0" w:color="auto"/>
            </w:tcBorders>
            <w:hideMark/>
          </w:tcPr>
          <w:p w14:paraId="18C1C5CC"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 xml:space="preserve">Český statistický úřad </w:t>
            </w:r>
          </w:p>
        </w:tc>
      </w:tr>
      <w:tr w:rsidR="00F261A3" w14:paraId="6022F086"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61C4BD9C"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Význam indikátoru: </w:t>
            </w:r>
          </w:p>
        </w:tc>
        <w:tc>
          <w:tcPr>
            <w:tcW w:w="6486" w:type="dxa"/>
            <w:tcBorders>
              <w:top w:val="single" w:sz="4" w:space="0" w:color="auto"/>
              <w:left w:val="single" w:sz="4" w:space="0" w:color="auto"/>
              <w:bottom w:val="single" w:sz="4" w:space="0" w:color="auto"/>
              <w:right w:val="single" w:sz="4" w:space="0" w:color="auto"/>
            </w:tcBorders>
            <w:hideMark/>
          </w:tcPr>
          <w:p w14:paraId="53AAF26C"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Demokratičnost vládnutí: Míra participace tradičními kanály. Inkluzivní vstup. Pokud budou mít občané pocit, že tato cesta jim zajišťuje dobrou a snadnou možnost zapojení do věcí veřejných, měla by účast růst, nebo by alespoň neměla klesat.</w:t>
            </w:r>
          </w:p>
        </w:tc>
      </w:tr>
      <w:tr w:rsidR="00F261A3" w14:paraId="51492C14"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377235F9"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Časová řada: </w:t>
            </w:r>
          </w:p>
        </w:tc>
        <w:tc>
          <w:tcPr>
            <w:tcW w:w="6486" w:type="dxa"/>
            <w:tcBorders>
              <w:top w:val="single" w:sz="4" w:space="0" w:color="auto"/>
              <w:left w:val="single" w:sz="4" w:space="0" w:color="auto"/>
              <w:bottom w:val="single" w:sz="4" w:space="0" w:color="auto"/>
              <w:right w:val="single" w:sz="4" w:space="0" w:color="auto"/>
            </w:tcBorders>
            <w:hideMark/>
          </w:tcPr>
          <w:p w14:paraId="338D5D83"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Od roku 1994 (záleží na typu voleb)</w:t>
            </w:r>
          </w:p>
        </w:tc>
      </w:tr>
      <w:tr w:rsidR="00F261A3" w14:paraId="08D9AFDA"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7F2CCBA9"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Frekvence výstupu: </w:t>
            </w:r>
          </w:p>
        </w:tc>
        <w:tc>
          <w:tcPr>
            <w:tcW w:w="6486" w:type="dxa"/>
            <w:tcBorders>
              <w:top w:val="single" w:sz="4" w:space="0" w:color="auto"/>
              <w:left w:val="single" w:sz="4" w:space="0" w:color="auto"/>
              <w:bottom w:val="single" w:sz="4" w:space="0" w:color="auto"/>
              <w:right w:val="single" w:sz="4" w:space="0" w:color="auto"/>
            </w:tcBorders>
            <w:hideMark/>
          </w:tcPr>
          <w:p w14:paraId="748E0EC6" w14:textId="799E573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 xml:space="preserve">Pro každé volby rozdílně (ZO, ZK 4 roky, </w:t>
            </w:r>
            <w:r w:rsidR="008E3683">
              <w:rPr>
                <w:rFonts w:ascii="Arial" w:hAnsi="Arial" w:cs="Arial"/>
                <w:sz w:val="22"/>
                <w:szCs w:val="22"/>
                <w:lang w:eastAsia="en-US"/>
              </w:rPr>
              <w:t xml:space="preserve">Senát 2 roky 1/3, </w:t>
            </w:r>
            <w:r w:rsidR="008E3683">
              <w:rPr>
                <w:rFonts w:ascii="Arial" w:hAnsi="Arial" w:cs="Arial"/>
                <w:sz w:val="22"/>
                <w:szCs w:val="22"/>
                <w:lang w:eastAsia="en-US"/>
              </w:rPr>
              <w:lastRenderedPageBreak/>
              <w:t>Poslanecká sněmovna</w:t>
            </w:r>
            <w:r>
              <w:rPr>
                <w:rFonts w:ascii="Arial" w:hAnsi="Arial" w:cs="Arial"/>
                <w:sz w:val="22"/>
                <w:szCs w:val="22"/>
                <w:lang w:eastAsia="en-US"/>
              </w:rPr>
              <w:t xml:space="preserve"> zpravidla 4 roky, ale existují výjimky, EP 5 let, referenda nepravidelně)</w:t>
            </w:r>
          </w:p>
        </w:tc>
      </w:tr>
      <w:tr w:rsidR="00F261A3" w14:paraId="05A88EAF" w14:textId="77777777" w:rsidTr="0062345D">
        <w:trPr>
          <w:trHeight w:val="70"/>
        </w:trPr>
        <w:tc>
          <w:tcPr>
            <w:tcW w:w="2802" w:type="dxa"/>
            <w:tcBorders>
              <w:top w:val="single" w:sz="4" w:space="0" w:color="auto"/>
              <w:left w:val="single" w:sz="4" w:space="0" w:color="auto"/>
              <w:bottom w:val="single" w:sz="4" w:space="0" w:color="auto"/>
              <w:right w:val="single" w:sz="4" w:space="0" w:color="auto"/>
            </w:tcBorders>
            <w:hideMark/>
          </w:tcPr>
          <w:p w14:paraId="223C03A8"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lastRenderedPageBreak/>
              <w:t xml:space="preserve">Členění indikátoru: </w:t>
            </w:r>
          </w:p>
        </w:tc>
        <w:tc>
          <w:tcPr>
            <w:tcW w:w="6486" w:type="dxa"/>
            <w:tcBorders>
              <w:top w:val="single" w:sz="4" w:space="0" w:color="auto"/>
              <w:left w:val="single" w:sz="4" w:space="0" w:color="auto"/>
              <w:bottom w:val="single" w:sz="4" w:space="0" w:color="auto"/>
              <w:right w:val="single" w:sz="4" w:space="0" w:color="auto"/>
            </w:tcBorders>
            <w:hideMark/>
          </w:tcPr>
          <w:p w14:paraId="7365061D"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 xml:space="preserve">Regionální (standardně </w:t>
            </w:r>
            <w:proofErr w:type="gramStart"/>
            <w:r>
              <w:rPr>
                <w:rFonts w:ascii="Arial" w:hAnsi="Arial" w:cs="Arial"/>
                <w:sz w:val="22"/>
                <w:szCs w:val="22"/>
                <w:lang w:eastAsia="en-US"/>
              </w:rPr>
              <w:t>LAU 2-obce</w:t>
            </w:r>
            <w:proofErr w:type="gramEnd"/>
            <w:r>
              <w:rPr>
                <w:rFonts w:ascii="Arial" w:hAnsi="Arial" w:cs="Arial"/>
                <w:sz w:val="22"/>
                <w:szCs w:val="22"/>
                <w:lang w:eastAsia="en-US"/>
              </w:rPr>
              <w:t>, LAU1-okresy, NUTS 3-kraje, NUTS 2-regiony, ale možné i SO ORP, SO POÚ)</w:t>
            </w:r>
          </w:p>
        </w:tc>
      </w:tr>
      <w:tr w:rsidR="00F261A3" w14:paraId="6FC2096D" w14:textId="77777777" w:rsidTr="0062345D">
        <w:trPr>
          <w:trHeight w:val="70"/>
        </w:trPr>
        <w:tc>
          <w:tcPr>
            <w:tcW w:w="2802" w:type="dxa"/>
            <w:tcBorders>
              <w:top w:val="single" w:sz="4" w:space="0" w:color="auto"/>
              <w:left w:val="single" w:sz="4" w:space="0" w:color="auto"/>
              <w:bottom w:val="single" w:sz="4" w:space="0" w:color="auto"/>
              <w:right w:val="single" w:sz="4" w:space="0" w:color="auto"/>
            </w:tcBorders>
            <w:hideMark/>
          </w:tcPr>
          <w:p w14:paraId="2E7684B3"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Mezinárodní srovnání:</w:t>
            </w:r>
          </w:p>
        </w:tc>
        <w:tc>
          <w:tcPr>
            <w:tcW w:w="6486" w:type="dxa"/>
            <w:tcBorders>
              <w:top w:val="single" w:sz="4" w:space="0" w:color="auto"/>
              <w:left w:val="single" w:sz="4" w:space="0" w:color="auto"/>
              <w:bottom w:val="single" w:sz="4" w:space="0" w:color="auto"/>
              <w:right w:val="single" w:sz="4" w:space="0" w:color="auto"/>
            </w:tcBorders>
          </w:tcPr>
          <w:p w14:paraId="13CD988D"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Nesledujeme, ale s velkou pravděpodobností by mělo být dostupné.</w:t>
            </w:r>
          </w:p>
          <w:p w14:paraId="516224AD" w14:textId="77777777" w:rsidR="00F261A3" w:rsidRDefault="00F261A3" w:rsidP="00362C76">
            <w:pPr>
              <w:spacing w:line="276" w:lineRule="auto"/>
              <w:jc w:val="both"/>
              <w:rPr>
                <w:rFonts w:ascii="Arial" w:hAnsi="Arial" w:cs="Arial"/>
                <w:sz w:val="22"/>
                <w:szCs w:val="22"/>
                <w:lang w:eastAsia="en-US"/>
              </w:rPr>
            </w:pPr>
          </w:p>
          <w:p w14:paraId="3D25D751"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EU (součást měření udržitelného rozvoje)</w:t>
            </w:r>
          </w:p>
        </w:tc>
      </w:tr>
    </w:tbl>
    <w:p w14:paraId="01F093FC" w14:textId="77777777" w:rsidR="00F261A3" w:rsidRDefault="00F261A3" w:rsidP="00F261A3">
      <w:pPr>
        <w:spacing w:line="276" w:lineRule="auto"/>
        <w:rPr>
          <w:rFonts w:ascii="Arial" w:eastAsiaTheme="minorHAnsi" w:hAnsi="Arial" w:cs="Arial"/>
          <w:sz w:val="22"/>
          <w:szCs w:val="22"/>
          <w:lang w:eastAsia="en-US"/>
        </w:rPr>
      </w:pPr>
    </w:p>
    <w:tbl>
      <w:tblPr>
        <w:tblStyle w:val="Mkatabulky"/>
        <w:tblW w:w="0" w:type="auto"/>
        <w:tblLook w:val="04A0" w:firstRow="1" w:lastRow="0" w:firstColumn="1" w:lastColumn="0" w:noHBand="0" w:noVBand="1"/>
      </w:tblPr>
      <w:tblGrid>
        <w:gridCol w:w="2802"/>
        <w:gridCol w:w="6486"/>
      </w:tblGrid>
      <w:tr w:rsidR="00F261A3" w14:paraId="5FA6FE25"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0569E7EB"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Název a označení indikátoru: </w:t>
            </w:r>
          </w:p>
        </w:tc>
        <w:tc>
          <w:tcPr>
            <w:tcW w:w="6486" w:type="dxa"/>
            <w:tcBorders>
              <w:top w:val="single" w:sz="4" w:space="0" w:color="auto"/>
              <w:left w:val="single" w:sz="4" w:space="0" w:color="auto"/>
              <w:bottom w:val="single" w:sz="4" w:space="0" w:color="auto"/>
              <w:right w:val="single" w:sz="4" w:space="0" w:color="auto"/>
            </w:tcBorders>
            <w:hideMark/>
          </w:tcPr>
          <w:p w14:paraId="4AF2CCC8" w14:textId="77777777" w:rsidR="00F261A3" w:rsidRDefault="00F261A3" w:rsidP="0062345D">
            <w:pPr>
              <w:autoSpaceDE w:val="0"/>
              <w:autoSpaceDN w:val="0"/>
              <w:adjustRightInd w:val="0"/>
              <w:spacing w:line="276" w:lineRule="auto"/>
              <w:rPr>
                <w:rFonts w:ascii="Arial" w:hAnsi="Arial" w:cs="Arial"/>
                <w:b/>
                <w:sz w:val="22"/>
                <w:szCs w:val="22"/>
                <w:lang w:eastAsia="en-US"/>
              </w:rPr>
            </w:pPr>
            <w:r>
              <w:rPr>
                <w:rFonts w:ascii="Arial" w:hAnsi="Arial" w:cs="Arial"/>
                <w:b/>
                <w:sz w:val="22"/>
                <w:szCs w:val="22"/>
                <w:lang w:val="en-GB" w:eastAsia="en-US"/>
              </w:rPr>
              <w:t>27.1.</w:t>
            </w:r>
            <w:r w:rsidRPr="006C0AD0">
              <w:rPr>
                <w:rFonts w:ascii="Arial" w:hAnsi="Arial" w:cs="Arial"/>
                <w:b/>
                <w:sz w:val="22"/>
                <w:szCs w:val="22"/>
                <w:lang w:eastAsia="en-US"/>
              </w:rPr>
              <w:t>2 Četnost krajských a místních referend a účast v nich</w:t>
            </w:r>
          </w:p>
        </w:tc>
      </w:tr>
      <w:tr w:rsidR="00F261A3" w14:paraId="5CF9A4B9"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2470B8C5"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Stručná definice: </w:t>
            </w:r>
          </w:p>
        </w:tc>
        <w:tc>
          <w:tcPr>
            <w:tcW w:w="6486" w:type="dxa"/>
            <w:tcBorders>
              <w:top w:val="single" w:sz="4" w:space="0" w:color="auto"/>
              <w:left w:val="single" w:sz="4" w:space="0" w:color="auto"/>
              <w:bottom w:val="single" w:sz="4" w:space="0" w:color="auto"/>
              <w:right w:val="single" w:sz="4" w:space="0" w:color="auto"/>
            </w:tcBorders>
            <w:hideMark/>
          </w:tcPr>
          <w:p w14:paraId="136D238D"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 xml:space="preserve">Počet místních referend dle zákona 22/2004 </w:t>
            </w:r>
            <w:proofErr w:type="spellStart"/>
            <w:r>
              <w:rPr>
                <w:rFonts w:ascii="Arial" w:hAnsi="Arial" w:cs="Arial"/>
                <w:sz w:val="22"/>
                <w:szCs w:val="22"/>
                <w:lang w:eastAsia="en-US"/>
              </w:rPr>
              <w:t>Sb</w:t>
            </w:r>
            <w:proofErr w:type="spellEnd"/>
            <w:r>
              <w:rPr>
                <w:rFonts w:ascii="Arial" w:hAnsi="Arial" w:cs="Arial"/>
                <w:sz w:val="22"/>
                <w:szCs w:val="22"/>
                <w:lang w:eastAsia="en-US"/>
              </w:rPr>
              <w:t xml:space="preserve"> a počet krajských referend dle zákona č. 118/2010 Sb. U každého z typů referend sledovat také procentuální podíl platných/neplatných referend (pro daný rok i v delší časové řadě) a průměrnou účast v referendech.</w:t>
            </w:r>
          </w:p>
        </w:tc>
      </w:tr>
      <w:tr w:rsidR="00F261A3" w14:paraId="724A71E4"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70313880"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Jednotka:</w:t>
            </w:r>
          </w:p>
        </w:tc>
        <w:tc>
          <w:tcPr>
            <w:tcW w:w="6486" w:type="dxa"/>
            <w:tcBorders>
              <w:top w:val="single" w:sz="4" w:space="0" w:color="auto"/>
              <w:left w:val="single" w:sz="4" w:space="0" w:color="auto"/>
              <w:bottom w:val="single" w:sz="4" w:space="0" w:color="auto"/>
              <w:right w:val="single" w:sz="4" w:space="0" w:color="auto"/>
            </w:tcBorders>
            <w:hideMark/>
          </w:tcPr>
          <w:p w14:paraId="2B518AE6"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Počet a podíl</w:t>
            </w:r>
          </w:p>
        </w:tc>
      </w:tr>
      <w:tr w:rsidR="00F261A3" w14:paraId="5216E042"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2D003DF4"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Gestor: </w:t>
            </w:r>
          </w:p>
        </w:tc>
        <w:tc>
          <w:tcPr>
            <w:tcW w:w="6486" w:type="dxa"/>
            <w:tcBorders>
              <w:top w:val="single" w:sz="4" w:space="0" w:color="auto"/>
              <w:left w:val="single" w:sz="4" w:space="0" w:color="auto"/>
              <w:bottom w:val="single" w:sz="4" w:space="0" w:color="auto"/>
              <w:right w:val="single" w:sz="4" w:space="0" w:color="auto"/>
            </w:tcBorders>
            <w:hideMark/>
          </w:tcPr>
          <w:p w14:paraId="7D557282"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Ministerstvo vnitra</w:t>
            </w:r>
          </w:p>
        </w:tc>
      </w:tr>
      <w:tr w:rsidR="00F261A3" w14:paraId="0E82DC8B"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52A627B5"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Význam indikátoru: </w:t>
            </w:r>
          </w:p>
        </w:tc>
        <w:tc>
          <w:tcPr>
            <w:tcW w:w="6486" w:type="dxa"/>
            <w:tcBorders>
              <w:top w:val="single" w:sz="4" w:space="0" w:color="auto"/>
              <w:left w:val="single" w:sz="4" w:space="0" w:color="auto"/>
              <w:bottom w:val="single" w:sz="4" w:space="0" w:color="auto"/>
              <w:right w:val="single" w:sz="4" w:space="0" w:color="auto"/>
            </w:tcBorders>
            <w:hideMark/>
          </w:tcPr>
          <w:p w14:paraId="4B4E1B87"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 xml:space="preserve">Demokratičnost vládnutí: Možnost a míra participace jinými cestami, než tradičními cestami reprezentace (volby a strany). Inkluzivní vstup. Pokud budou mít občané pocit, že tato cesta jim zajišťuje dobrou a snadnou možnost zapojení do věcí veřejných, </w:t>
            </w:r>
            <w:proofErr w:type="gramStart"/>
            <w:r>
              <w:rPr>
                <w:rFonts w:ascii="Arial" w:hAnsi="Arial" w:cs="Arial"/>
                <w:sz w:val="22"/>
                <w:szCs w:val="22"/>
                <w:lang w:eastAsia="en-US"/>
              </w:rPr>
              <w:t>měl</w:t>
            </w:r>
            <w:proofErr w:type="gramEnd"/>
            <w:r>
              <w:rPr>
                <w:rFonts w:ascii="Arial" w:hAnsi="Arial" w:cs="Arial"/>
                <w:sz w:val="22"/>
                <w:szCs w:val="22"/>
                <w:lang w:eastAsia="en-US"/>
              </w:rPr>
              <w:t xml:space="preserve"> by počet neplatných referend klesat příp. </w:t>
            </w:r>
            <w:proofErr w:type="gramStart"/>
            <w:r>
              <w:rPr>
                <w:rFonts w:ascii="Arial" w:hAnsi="Arial" w:cs="Arial"/>
                <w:sz w:val="22"/>
                <w:szCs w:val="22"/>
                <w:lang w:eastAsia="en-US"/>
              </w:rPr>
              <w:t>neměla</w:t>
            </w:r>
            <w:proofErr w:type="gramEnd"/>
            <w:r>
              <w:rPr>
                <w:rFonts w:ascii="Arial" w:hAnsi="Arial" w:cs="Arial"/>
                <w:sz w:val="22"/>
                <w:szCs w:val="22"/>
                <w:lang w:eastAsia="en-US"/>
              </w:rPr>
              <w:t xml:space="preserve"> účast v referendech klesat.</w:t>
            </w:r>
          </w:p>
        </w:tc>
      </w:tr>
      <w:tr w:rsidR="00F261A3" w14:paraId="08D38B26"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4D537372"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Časová řada: </w:t>
            </w:r>
          </w:p>
        </w:tc>
        <w:tc>
          <w:tcPr>
            <w:tcW w:w="6486" w:type="dxa"/>
            <w:tcBorders>
              <w:top w:val="single" w:sz="4" w:space="0" w:color="auto"/>
              <w:left w:val="single" w:sz="4" w:space="0" w:color="auto"/>
              <w:bottom w:val="single" w:sz="4" w:space="0" w:color="auto"/>
              <w:right w:val="single" w:sz="4" w:space="0" w:color="auto"/>
            </w:tcBorders>
            <w:hideMark/>
          </w:tcPr>
          <w:p w14:paraId="1580CA09"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Od roku 2004 resp. 2006 (místní), od 2010 resp. 2011 (krajská)</w:t>
            </w:r>
          </w:p>
        </w:tc>
      </w:tr>
      <w:tr w:rsidR="00F261A3" w14:paraId="4E3B5A2E"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368DD60C"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Frekvence výstupu: </w:t>
            </w:r>
          </w:p>
        </w:tc>
        <w:tc>
          <w:tcPr>
            <w:tcW w:w="6486" w:type="dxa"/>
            <w:tcBorders>
              <w:top w:val="single" w:sz="4" w:space="0" w:color="auto"/>
              <w:left w:val="single" w:sz="4" w:space="0" w:color="auto"/>
              <w:bottom w:val="single" w:sz="4" w:space="0" w:color="auto"/>
              <w:right w:val="single" w:sz="4" w:space="0" w:color="auto"/>
            </w:tcBorders>
            <w:hideMark/>
          </w:tcPr>
          <w:p w14:paraId="7A594866"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Ročně</w:t>
            </w:r>
          </w:p>
        </w:tc>
      </w:tr>
      <w:tr w:rsidR="00F261A3" w14:paraId="35ADED54" w14:textId="77777777" w:rsidTr="0062345D">
        <w:trPr>
          <w:trHeight w:val="70"/>
        </w:trPr>
        <w:tc>
          <w:tcPr>
            <w:tcW w:w="2802" w:type="dxa"/>
            <w:tcBorders>
              <w:top w:val="single" w:sz="4" w:space="0" w:color="auto"/>
              <w:left w:val="single" w:sz="4" w:space="0" w:color="auto"/>
              <w:bottom w:val="single" w:sz="4" w:space="0" w:color="auto"/>
              <w:right w:val="single" w:sz="4" w:space="0" w:color="auto"/>
            </w:tcBorders>
            <w:hideMark/>
          </w:tcPr>
          <w:p w14:paraId="55FF6A8E"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Členění indikátoru: </w:t>
            </w:r>
          </w:p>
        </w:tc>
        <w:tc>
          <w:tcPr>
            <w:tcW w:w="6486" w:type="dxa"/>
            <w:tcBorders>
              <w:top w:val="single" w:sz="4" w:space="0" w:color="auto"/>
              <w:left w:val="single" w:sz="4" w:space="0" w:color="auto"/>
              <w:bottom w:val="single" w:sz="4" w:space="0" w:color="auto"/>
              <w:right w:val="single" w:sz="4" w:space="0" w:color="auto"/>
            </w:tcBorders>
            <w:hideMark/>
          </w:tcPr>
          <w:p w14:paraId="42A7AD3E"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w:t>
            </w:r>
          </w:p>
        </w:tc>
      </w:tr>
      <w:tr w:rsidR="00F261A3" w14:paraId="3E5FCB1A" w14:textId="77777777" w:rsidTr="0062345D">
        <w:trPr>
          <w:trHeight w:val="70"/>
        </w:trPr>
        <w:tc>
          <w:tcPr>
            <w:tcW w:w="2802" w:type="dxa"/>
            <w:tcBorders>
              <w:top w:val="single" w:sz="4" w:space="0" w:color="auto"/>
              <w:left w:val="single" w:sz="4" w:space="0" w:color="auto"/>
              <w:bottom w:val="single" w:sz="4" w:space="0" w:color="auto"/>
              <w:right w:val="single" w:sz="4" w:space="0" w:color="auto"/>
            </w:tcBorders>
            <w:hideMark/>
          </w:tcPr>
          <w:p w14:paraId="6C768621"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Mezinárodní srovnání:</w:t>
            </w:r>
          </w:p>
        </w:tc>
        <w:tc>
          <w:tcPr>
            <w:tcW w:w="6486" w:type="dxa"/>
            <w:tcBorders>
              <w:top w:val="single" w:sz="4" w:space="0" w:color="auto"/>
              <w:left w:val="single" w:sz="4" w:space="0" w:color="auto"/>
              <w:bottom w:val="single" w:sz="4" w:space="0" w:color="auto"/>
              <w:right w:val="single" w:sz="4" w:space="0" w:color="auto"/>
            </w:tcBorders>
            <w:hideMark/>
          </w:tcPr>
          <w:p w14:paraId="1A049F4B"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w:t>
            </w:r>
          </w:p>
        </w:tc>
      </w:tr>
    </w:tbl>
    <w:p w14:paraId="7BFF6987" w14:textId="77777777" w:rsidR="00F261A3" w:rsidRDefault="00F261A3" w:rsidP="00F261A3">
      <w:pPr>
        <w:spacing w:line="276" w:lineRule="auto"/>
        <w:rPr>
          <w:rFonts w:ascii="Arial" w:eastAsiaTheme="minorHAnsi" w:hAnsi="Arial" w:cs="Arial"/>
          <w:sz w:val="22"/>
          <w:szCs w:val="22"/>
          <w:lang w:eastAsia="en-US"/>
        </w:rPr>
      </w:pPr>
    </w:p>
    <w:tbl>
      <w:tblPr>
        <w:tblStyle w:val="Mkatabulky"/>
        <w:tblW w:w="0" w:type="auto"/>
        <w:tblLook w:val="04A0" w:firstRow="1" w:lastRow="0" w:firstColumn="1" w:lastColumn="0" w:noHBand="0" w:noVBand="1"/>
      </w:tblPr>
      <w:tblGrid>
        <w:gridCol w:w="2802"/>
        <w:gridCol w:w="6486"/>
      </w:tblGrid>
      <w:tr w:rsidR="00F261A3" w14:paraId="4D6ED2BB"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10804C05" w14:textId="6309B28E"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Název a označení indikátoru: </w:t>
            </w:r>
          </w:p>
        </w:tc>
        <w:tc>
          <w:tcPr>
            <w:tcW w:w="6486" w:type="dxa"/>
            <w:tcBorders>
              <w:top w:val="single" w:sz="4" w:space="0" w:color="auto"/>
              <w:left w:val="single" w:sz="4" w:space="0" w:color="auto"/>
              <w:bottom w:val="single" w:sz="4" w:space="0" w:color="auto"/>
              <w:right w:val="single" w:sz="4" w:space="0" w:color="auto"/>
            </w:tcBorders>
            <w:hideMark/>
          </w:tcPr>
          <w:p w14:paraId="24F1058E" w14:textId="77777777" w:rsidR="00F261A3" w:rsidRDefault="00F261A3" w:rsidP="0062345D">
            <w:pPr>
              <w:autoSpaceDE w:val="0"/>
              <w:autoSpaceDN w:val="0"/>
              <w:adjustRightInd w:val="0"/>
              <w:spacing w:line="276" w:lineRule="auto"/>
              <w:rPr>
                <w:rFonts w:ascii="Arial" w:hAnsi="Arial" w:cs="Arial"/>
                <w:b/>
                <w:sz w:val="22"/>
                <w:szCs w:val="22"/>
                <w:lang w:eastAsia="en-US"/>
              </w:rPr>
            </w:pPr>
            <w:r>
              <w:rPr>
                <w:rFonts w:ascii="Arial" w:hAnsi="Arial" w:cs="Arial"/>
                <w:b/>
                <w:sz w:val="22"/>
                <w:szCs w:val="22"/>
                <w:lang w:eastAsia="en-US"/>
              </w:rPr>
              <w:t xml:space="preserve">27.1.3 Zastoupení žen/mužů ve volených orgánech </w:t>
            </w:r>
          </w:p>
        </w:tc>
      </w:tr>
      <w:tr w:rsidR="00F261A3" w14:paraId="7F7B99F5"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2F9727FA"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Stručná definice: </w:t>
            </w:r>
          </w:p>
        </w:tc>
        <w:tc>
          <w:tcPr>
            <w:tcW w:w="6486" w:type="dxa"/>
            <w:tcBorders>
              <w:top w:val="single" w:sz="4" w:space="0" w:color="auto"/>
              <w:left w:val="single" w:sz="4" w:space="0" w:color="auto"/>
              <w:bottom w:val="single" w:sz="4" w:space="0" w:color="auto"/>
              <w:right w:val="single" w:sz="4" w:space="0" w:color="auto"/>
            </w:tcBorders>
            <w:hideMark/>
          </w:tcPr>
          <w:p w14:paraId="54E565B4"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 xml:space="preserve">Podíl žen/mužů </w:t>
            </w:r>
            <w:proofErr w:type="gramStart"/>
            <w:r>
              <w:rPr>
                <w:rFonts w:ascii="Arial" w:hAnsi="Arial" w:cs="Arial"/>
                <w:sz w:val="22"/>
                <w:szCs w:val="22"/>
                <w:lang w:eastAsia="en-US"/>
              </w:rPr>
              <w:t>ku</w:t>
            </w:r>
            <w:proofErr w:type="gramEnd"/>
            <w:r>
              <w:rPr>
                <w:rFonts w:ascii="Arial" w:hAnsi="Arial" w:cs="Arial"/>
                <w:sz w:val="22"/>
                <w:szCs w:val="22"/>
                <w:lang w:eastAsia="en-US"/>
              </w:rPr>
              <w:t xml:space="preserve"> celkovému počtu mandátů (postů)</w:t>
            </w:r>
          </w:p>
        </w:tc>
      </w:tr>
      <w:tr w:rsidR="00F261A3" w14:paraId="4FF8C38E"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43CE379A"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Jednotka:</w:t>
            </w:r>
          </w:p>
        </w:tc>
        <w:tc>
          <w:tcPr>
            <w:tcW w:w="6486" w:type="dxa"/>
            <w:tcBorders>
              <w:top w:val="single" w:sz="4" w:space="0" w:color="auto"/>
              <w:left w:val="single" w:sz="4" w:space="0" w:color="auto"/>
              <w:bottom w:val="single" w:sz="4" w:space="0" w:color="auto"/>
              <w:right w:val="single" w:sz="4" w:space="0" w:color="auto"/>
            </w:tcBorders>
            <w:hideMark/>
          </w:tcPr>
          <w:p w14:paraId="5937E27D"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Podíl (v %)</w:t>
            </w:r>
          </w:p>
        </w:tc>
      </w:tr>
      <w:tr w:rsidR="00F261A3" w14:paraId="1E7B8ECD"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1572F8E1"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Gestor: </w:t>
            </w:r>
          </w:p>
        </w:tc>
        <w:tc>
          <w:tcPr>
            <w:tcW w:w="6486" w:type="dxa"/>
            <w:tcBorders>
              <w:top w:val="single" w:sz="4" w:space="0" w:color="auto"/>
              <w:left w:val="single" w:sz="4" w:space="0" w:color="auto"/>
              <w:bottom w:val="single" w:sz="4" w:space="0" w:color="auto"/>
              <w:right w:val="single" w:sz="4" w:space="0" w:color="auto"/>
            </w:tcBorders>
            <w:hideMark/>
          </w:tcPr>
          <w:p w14:paraId="76C27E7E"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Český statistický úřad</w:t>
            </w:r>
          </w:p>
        </w:tc>
      </w:tr>
      <w:tr w:rsidR="00F261A3" w14:paraId="4EFDF93E"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05221F06"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Význam indikátoru: </w:t>
            </w:r>
          </w:p>
        </w:tc>
        <w:tc>
          <w:tcPr>
            <w:tcW w:w="6486" w:type="dxa"/>
            <w:tcBorders>
              <w:top w:val="single" w:sz="4" w:space="0" w:color="auto"/>
              <w:left w:val="single" w:sz="4" w:space="0" w:color="auto"/>
              <w:bottom w:val="single" w:sz="4" w:space="0" w:color="auto"/>
              <w:right w:val="single" w:sz="4" w:space="0" w:color="auto"/>
            </w:tcBorders>
            <w:hideMark/>
          </w:tcPr>
          <w:p w14:paraId="090CE6C6"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Demokratičnost vládnutí: Míra reprezentace aktérů základního strukturálních štěpení; zároveň gender jako vzorek problému reprezentace obecně. Inkluzivní vstup.</w:t>
            </w:r>
          </w:p>
        </w:tc>
      </w:tr>
      <w:tr w:rsidR="00F261A3" w14:paraId="586D9EAB"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004FAC06"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Časová řada: </w:t>
            </w:r>
          </w:p>
        </w:tc>
        <w:tc>
          <w:tcPr>
            <w:tcW w:w="6486" w:type="dxa"/>
            <w:tcBorders>
              <w:top w:val="single" w:sz="4" w:space="0" w:color="auto"/>
              <w:left w:val="single" w:sz="4" w:space="0" w:color="auto"/>
              <w:bottom w:val="single" w:sz="4" w:space="0" w:color="auto"/>
              <w:right w:val="single" w:sz="4" w:space="0" w:color="auto"/>
            </w:tcBorders>
            <w:hideMark/>
          </w:tcPr>
          <w:p w14:paraId="0B871642"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Od roku 1994 (záleží na typu voleb)</w:t>
            </w:r>
          </w:p>
        </w:tc>
      </w:tr>
      <w:tr w:rsidR="00F261A3" w14:paraId="085FD9A1"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006CF349"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Frekvence výstupu: </w:t>
            </w:r>
          </w:p>
        </w:tc>
        <w:tc>
          <w:tcPr>
            <w:tcW w:w="6486" w:type="dxa"/>
            <w:tcBorders>
              <w:top w:val="single" w:sz="4" w:space="0" w:color="auto"/>
              <w:left w:val="single" w:sz="4" w:space="0" w:color="auto"/>
              <w:bottom w:val="single" w:sz="4" w:space="0" w:color="auto"/>
              <w:right w:val="single" w:sz="4" w:space="0" w:color="auto"/>
            </w:tcBorders>
            <w:hideMark/>
          </w:tcPr>
          <w:p w14:paraId="6EBDF4A9"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Pro každé volby rozdílně (ZO, ZK 4 roky, SE 2 roky 1/3, PS zpravidla 4 roky, ale existují výjimky, EP 5 let, referenda (nepravidelně)</w:t>
            </w:r>
          </w:p>
        </w:tc>
      </w:tr>
      <w:tr w:rsidR="00F261A3" w14:paraId="55FC6589" w14:textId="77777777" w:rsidTr="0062345D">
        <w:trPr>
          <w:trHeight w:val="70"/>
        </w:trPr>
        <w:tc>
          <w:tcPr>
            <w:tcW w:w="2802" w:type="dxa"/>
            <w:tcBorders>
              <w:top w:val="single" w:sz="4" w:space="0" w:color="auto"/>
              <w:left w:val="single" w:sz="4" w:space="0" w:color="auto"/>
              <w:bottom w:val="single" w:sz="4" w:space="0" w:color="auto"/>
              <w:right w:val="single" w:sz="4" w:space="0" w:color="auto"/>
            </w:tcBorders>
            <w:hideMark/>
          </w:tcPr>
          <w:p w14:paraId="602CB999"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Členění indikátoru: </w:t>
            </w:r>
          </w:p>
        </w:tc>
        <w:tc>
          <w:tcPr>
            <w:tcW w:w="6486" w:type="dxa"/>
            <w:tcBorders>
              <w:top w:val="single" w:sz="4" w:space="0" w:color="auto"/>
              <w:left w:val="single" w:sz="4" w:space="0" w:color="auto"/>
              <w:bottom w:val="single" w:sz="4" w:space="0" w:color="auto"/>
              <w:right w:val="single" w:sz="4" w:space="0" w:color="auto"/>
            </w:tcBorders>
            <w:hideMark/>
          </w:tcPr>
          <w:p w14:paraId="2ED900B1" w14:textId="58A5494A"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 xml:space="preserve">Regionální </w:t>
            </w:r>
            <w:r w:rsidR="000C51A1">
              <w:rPr>
                <w:rFonts w:ascii="Arial" w:hAnsi="Arial" w:cs="Arial"/>
                <w:sz w:val="22"/>
                <w:szCs w:val="22"/>
                <w:lang w:eastAsia="en-US"/>
              </w:rPr>
              <w:t xml:space="preserve">– záleží na typu voleb </w:t>
            </w:r>
            <w:r>
              <w:rPr>
                <w:rFonts w:ascii="Arial" w:hAnsi="Arial" w:cs="Arial"/>
                <w:sz w:val="22"/>
                <w:szCs w:val="22"/>
                <w:lang w:eastAsia="en-US"/>
              </w:rPr>
              <w:t xml:space="preserve">(standardně </w:t>
            </w:r>
            <w:proofErr w:type="gramStart"/>
            <w:r>
              <w:rPr>
                <w:rFonts w:ascii="Arial" w:hAnsi="Arial" w:cs="Arial"/>
                <w:sz w:val="22"/>
                <w:szCs w:val="22"/>
                <w:lang w:eastAsia="en-US"/>
              </w:rPr>
              <w:t>LAU 2-obce</w:t>
            </w:r>
            <w:proofErr w:type="gramEnd"/>
            <w:r>
              <w:rPr>
                <w:rFonts w:ascii="Arial" w:hAnsi="Arial" w:cs="Arial"/>
                <w:sz w:val="22"/>
                <w:szCs w:val="22"/>
                <w:lang w:eastAsia="en-US"/>
              </w:rPr>
              <w:t>, LAU1-okresy, NUTS 3-kraje, NUTS 2-regiony, ale možné i SO ORP, SO POÚ)</w:t>
            </w:r>
            <w:r w:rsidR="000C51A1">
              <w:rPr>
                <w:rFonts w:ascii="Arial" w:hAnsi="Arial" w:cs="Arial"/>
                <w:sz w:val="22"/>
                <w:szCs w:val="22"/>
                <w:lang w:eastAsia="en-US"/>
              </w:rPr>
              <w:t>, podle věkových skupin</w:t>
            </w:r>
          </w:p>
        </w:tc>
      </w:tr>
      <w:tr w:rsidR="00F261A3" w14:paraId="0A59CAE8" w14:textId="77777777" w:rsidTr="0062345D">
        <w:trPr>
          <w:trHeight w:val="70"/>
        </w:trPr>
        <w:tc>
          <w:tcPr>
            <w:tcW w:w="2802" w:type="dxa"/>
            <w:tcBorders>
              <w:top w:val="single" w:sz="4" w:space="0" w:color="auto"/>
              <w:left w:val="single" w:sz="4" w:space="0" w:color="auto"/>
              <w:bottom w:val="single" w:sz="4" w:space="0" w:color="auto"/>
              <w:right w:val="single" w:sz="4" w:space="0" w:color="auto"/>
            </w:tcBorders>
            <w:hideMark/>
          </w:tcPr>
          <w:p w14:paraId="4ED00D70"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Mezinárodní srovnání:</w:t>
            </w:r>
          </w:p>
        </w:tc>
        <w:tc>
          <w:tcPr>
            <w:tcW w:w="6486" w:type="dxa"/>
            <w:tcBorders>
              <w:top w:val="single" w:sz="4" w:space="0" w:color="auto"/>
              <w:left w:val="single" w:sz="4" w:space="0" w:color="auto"/>
              <w:bottom w:val="single" w:sz="4" w:space="0" w:color="auto"/>
              <w:right w:val="single" w:sz="4" w:space="0" w:color="auto"/>
            </w:tcBorders>
            <w:hideMark/>
          </w:tcPr>
          <w:p w14:paraId="1EA06545"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 xml:space="preserve">Nesledujeme, ale s velkou pravděpodobností by mělo být </w:t>
            </w:r>
            <w:r>
              <w:rPr>
                <w:rFonts w:ascii="Arial" w:hAnsi="Arial" w:cs="Arial"/>
                <w:sz w:val="22"/>
                <w:szCs w:val="22"/>
                <w:lang w:eastAsia="en-US"/>
              </w:rPr>
              <w:lastRenderedPageBreak/>
              <w:t>dostupné</w:t>
            </w:r>
          </w:p>
        </w:tc>
      </w:tr>
    </w:tbl>
    <w:p w14:paraId="31C9DAA8" w14:textId="77777777" w:rsidR="00F261A3" w:rsidRDefault="00F261A3" w:rsidP="00F261A3">
      <w:pPr>
        <w:spacing w:line="276" w:lineRule="auto"/>
        <w:rPr>
          <w:rFonts w:ascii="Arial" w:eastAsiaTheme="minorHAnsi" w:hAnsi="Arial" w:cs="Arial"/>
          <w:sz w:val="22"/>
          <w:szCs w:val="22"/>
          <w:lang w:eastAsia="en-US"/>
        </w:rPr>
      </w:pPr>
    </w:p>
    <w:tbl>
      <w:tblPr>
        <w:tblStyle w:val="Mkatabulky"/>
        <w:tblW w:w="0" w:type="auto"/>
        <w:tblLook w:val="04A0" w:firstRow="1" w:lastRow="0" w:firstColumn="1" w:lastColumn="0" w:noHBand="0" w:noVBand="1"/>
      </w:tblPr>
      <w:tblGrid>
        <w:gridCol w:w="2802"/>
        <w:gridCol w:w="6486"/>
      </w:tblGrid>
      <w:tr w:rsidR="00F261A3" w14:paraId="3BB7CED3"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27D63799" w14:textId="490F1F50"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Název a označení indikátoru: </w:t>
            </w:r>
          </w:p>
        </w:tc>
        <w:tc>
          <w:tcPr>
            <w:tcW w:w="6486" w:type="dxa"/>
            <w:tcBorders>
              <w:top w:val="single" w:sz="4" w:space="0" w:color="auto"/>
              <w:left w:val="single" w:sz="4" w:space="0" w:color="auto"/>
              <w:bottom w:val="single" w:sz="4" w:space="0" w:color="auto"/>
              <w:right w:val="single" w:sz="4" w:space="0" w:color="auto"/>
            </w:tcBorders>
            <w:hideMark/>
          </w:tcPr>
          <w:p w14:paraId="601FB6E1" w14:textId="57F985AF" w:rsidR="00F261A3" w:rsidRDefault="00F261A3" w:rsidP="0062345D">
            <w:pPr>
              <w:autoSpaceDE w:val="0"/>
              <w:autoSpaceDN w:val="0"/>
              <w:adjustRightInd w:val="0"/>
              <w:spacing w:line="276" w:lineRule="auto"/>
              <w:rPr>
                <w:rFonts w:ascii="Arial" w:hAnsi="Arial" w:cs="Arial"/>
                <w:b/>
                <w:sz w:val="22"/>
                <w:szCs w:val="22"/>
                <w:lang w:eastAsia="en-US"/>
              </w:rPr>
            </w:pPr>
            <w:r>
              <w:rPr>
                <w:rFonts w:ascii="Arial" w:hAnsi="Arial" w:cs="Arial"/>
                <w:b/>
                <w:sz w:val="22"/>
                <w:szCs w:val="22"/>
                <w:lang w:eastAsia="en-US"/>
              </w:rPr>
              <w:t>27.1.4 Populace žijící pod hranicí chudoby před sociální</w:t>
            </w:r>
            <w:r w:rsidR="000C51A1">
              <w:rPr>
                <w:rFonts w:ascii="Arial" w:hAnsi="Arial" w:cs="Arial"/>
                <w:b/>
                <w:sz w:val="22"/>
                <w:szCs w:val="22"/>
                <w:lang w:eastAsia="en-US"/>
              </w:rPr>
              <w:t>mi</w:t>
            </w:r>
            <w:r>
              <w:rPr>
                <w:rFonts w:ascii="Arial" w:hAnsi="Arial" w:cs="Arial"/>
                <w:b/>
                <w:sz w:val="22"/>
                <w:szCs w:val="22"/>
                <w:lang w:eastAsia="en-US"/>
              </w:rPr>
              <w:t xml:space="preserve"> transfery a po nich.</w:t>
            </w:r>
          </w:p>
        </w:tc>
      </w:tr>
      <w:tr w:rsidR="00F261A3" w14:paraId="0839EE0C"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15863C83"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Stručná definice: </w:t>
            </w:r>
          </w:p>
        </w:tc>
        <w:tc>
          <w:tcPr>
            <w:tcW w:w="6486" w:type="dxa"/>
            <w:tcBorders>
              <w:top w:val="single" w:sz="4" w:space="0" w:color="auto"/>
              <w:left w:val="single" w:sz="4" w:space="0" w:color="auto"/>
              <w:bottom w:val="single" w:sz="4" w:space="0" w:color="auto"/>
              <w:right w:val="single" w:sz="4" w:space="0" w:color="auto"/>
            </w:tcBorders>
            <w:hideMark/>
          </w:tcPr>
          <w:p w14:paraId="59CC287B" w14:textId="1A8A6757" w:rsidR="00F261A3" w:rsidRDefault="00F261A3" w:rsidP="00362C76">
            <w:pPr>
              <w:autoSpaceDE w:val="0"/>
              <w:autoSpaceDN w:val="0"/>
              <w:adjustRightInd w:val="0"/>
              <w:spacing w:line="276" w:lineRule="auto"/>
              <w:jc w:val="both"/>
              <w:rPr>
                <w:rFonts w:ascii="Arial" w:hAnsi="Arial" w:cs="Arial"/>
                <w:sz w:val="22"/>
                <w:szCs w:val="22"/>
                <w:lang w:eastAsia="en-US"/>
              </w:rPr>
            </w:pPr>
            <w:r>
              <w:rPr>
                <w:rFonts w:ascii="Arial" w:eastAsia="ArialMT" w:hAnsi="Arial" w:cs="Arial"/>
                <w:sz w:val="22"/>
                <w:szCs w:val="22"/>
                <w:lang w:eastAsia="en-US"/>
              </w:rPr>
              <w:t xml:space="preserve">Procentní podíl osob ohrožených chudobou z celkového počtu osob v populaci nebo v příslušné skupině obyvatel před působením sociálních transferů a po </w:t>
            </w:r>
            <w:r w:rsidR="000C51A1">
              <w:rPr>
                <w:rFonts w:ascii="Arial" w:eastAsia="ArialMT" w:hAnsi="Arial" w:cs="Arial"/>
                <w:sz w:val="22"/>
                <w:szCs w:val="22"/>
                <w:lang w:eastAsia="en-US"/>
              </w:rPr>
              <w:t>nich</w:t>
            </w:r>
            <w:r>
              <w:rPr>
                <w:rFonts w:ascii="Arial" w:eastAsia="ArialMT" w:hAnsi="Arial" w:cs="Arial"/>
                <w:sz w:val="22"/>
                <w:szCs w:val="22"/>
                <w:lang w:eastAsia="en-US"/>
              </w:rPr>
              <w:t xml:space="preserve">. Osoby ohrožené chudobou jsou ty osoby, jejichž roční vyrovnaný disponibilní příjem (před zahrnutím všech sociálních transferů a po něm) je nižší než 60 % ročního národního vyrovnaného mediánového příjmu na spotřební jednotku. </w:t>
            </w:r>
          </w:p>
        </w:tc>
      </w:tr>
      <w:tr w:rsidR="00F261A3" w14:paraId="641C6E1B"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316E0366"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Jednotka:</w:t>
            </w:r>
          </w:p>
        </w:tc>
        <w:tc>
          <w:tcPr>
            <w:tcW w:w="6486" w:type="dxa"/>
            <w:tcBorders>
              <w:top w:val="single" w:sz="4" w:space="0" w:color="auto"/>
              <w:left w:val="single" w:sz="4" w:space="0" w:color="auto"/>
              <w:bottom w:val="single" w:sz="4" w:space="0" w:color="auto"/>
              <w:right w:val="single" w:sz="4" w:space="0" w:color="auto"/>
            </w:tcBorders>
            <w:hideMark/>
          </w:tcPr>
          <w:p w14:paraId="64852D01"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Podíl (v %)</w:t>
            </w:r>
          </w:p>
        </w:tc>
      </w:tr>
      <w:tr w:rsidR="00F261A3" w14:paraId="7E73022F"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31B8ED7B"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Gestor: </w:t>
            </w:r>
          </w:p>
        </w:tc>
        <w:tc>
          <w:tcPr>
            <w:tcW w:w="6486" w:type="dxa"/>
            <w:tcBorders>
              <w:top w:val="single" w:sz="4" w:space="0" w:color="auto"/>
              <w:left w:val="single" w:sz="4" w:space="0" w:color="auto"/>
              <w:bottom w:val="single" w:sz="4" w:space="0" w:color="auto"/>
              <w:right w:val="single" w:sz="4" w:space="0" w:color="auto"/>
            </w:tcBorders>
            <w:hideMark/>
          </w:tcPr>
          <w:p w14:paraId="1E7B6233"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Český statistický úřad</w:t>
            </w:r>
          </w:p>
        </w:tc>
      </w:tr>
      <w:tr w:rsidR="00F261A3" w14:paraId="66B92928"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1D27C61A"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Význam indikátoru: </w:t>
            </w:r>
          </w:p>
        </w:tc>
        <w:tc>
          <w:tcPr>
            <w:tcW w:w="6486" w:type="dxa"/>
            <w:tcBorders>
              <w:top w:val="single" w:sz="4" w:space="0" w:color="auto"/>
              <w:left w:val="single" w:sz="4" w:space="0" w:color="auto"/>
              <w:bottom w:val="single" w:sz="4" w:space="0" w:color="auto"/>
              <w:right w:val="single" w:sz="4" w:space="0" w:color="auto"/>
            </w:tcBorders>
            <w:hideMark/>
          </w:tcPr>
          <w:p w14:paraId="19E7A532"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Demokratičnost vládnutí: Veřejná politika snižuje míru nerovností. Inkluzivní vstup a výstup.</w:t>
            </w:r>
          </w:p>
        </w:tc>
      </w:tr>
      <w:tr w:rsidR="00F261A3" w14:paraId="56F64A71"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686CD3FF"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Časová řada: </w:t>
            </w:r>
          </w:p>
        </w:tc>
        <w:tc>
          <w:tcPr>
            <w:tcW w:w="6486" w:type="dxa"/>
            <w:tcBorders>
              <w:top w:val="single" w:sz="4" w:space="0" w:color="auto"/>
              <w:left w:val="single" w:sz="4" w:space="0" w:color="auto"/>
              <w:bottom w:val="single" w:sz="4" w:space="0" w:color="auto"/>
              <w:right w:val="single" w:sz="4" w:space="0" w:color="auto"/>
            </w:tcBorders>
            <w:hideMark/>
          </w:tcPr>
          <w:p w14:paraId="320DD021"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 xml:space="preserve">Od roku 2005 </w:t>
            </w:r>
          </w:p>
        </w:tc>
      </w:tr>
      <w:tr w:rsidR="00F261A3" w14:paraId="234DF7B3" w14:textId="77777777" w:rsidTr="0062345D">
        <w:tc>
          <w:tcPr>
            <w:tcW w:w="2802" w:type="dxa"/>
            <w:tcBorders>
              <w:top w:val="single" w:sz="4" w:space="0" w:color="auto"/>
              <w:left w:val="single" w:sz="4" w:space="0" w:color="auto"/>
              <w:bottom w:val="single" w:sz="4" w:space="0" w:color="auto"/>
              <w:right w:val="single" w:sz="4" w:space="0" w:color="auto"/>
            </w:tcBorders>
            <w:hideMark/>
          </w:tcPr>
          <w:p w14:paraId="4192C3B1"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Frekvence výstupu: </w:t>
            </w:r>
          </w:p>
        </w:tc>
        <w:tc>
          <w:tcPr>
            <w:tcW w:w="6486" w:type="dxa"/>
            <w:tcBorders>
              <w:top w:val="single" w:sz="4" w:space="0" w:color="auto"/>
              <w:left w:val="single" w:sz="4" w:space="0" w:color="auto"/>
              <w:bottom w:val="single" w:sz="4" w:space="0" w:color="auto"/>
              <w:right w:val="single" w:sz="4" w:space="0" w:color="auto"/>
            </w:tcBorders>
            <w:hideMark/>
          </w:tcPr>
          <w:p w14:paraId="366A33B2"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Ročně</w:t>
            </w:r>
          </w:p>
        </w:tc>
      </w:tr>
      <w:tr w:rsidR="00F261A3" w14:paraId="6ED41C1D" w14:textId="77777777" w:rsidTr="0062345D">
        <w:trPr>
          <w:trHeight w:val="70"/>
        </w:trPr>
        <w:tc>
          <w:tcPr>
            <w:tcW w:w="2802" w:type="dxa"/>
            <w:tcBorders>
              <w:top w:val="single" w:sz="4" w:space="0" w:color="auto"/>
              <w:left w:val="single" w:sz="4" w:space="0" w:color="auto"/>
              <w:bottom w:val="single" w:sz="4" w:space="0" w:color="auto"/>
              <w:right w:val="single" w:sz="4" w:space="0" w:color="auto"/>
            </w:tcBorders>
            <w:hideMark/>
          </w:tcPr>
          <w:p w14:paraId="0124652C"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Členění indikátoru: </w:t>
            </w:r>
          </w:p>
        </w:tc>
        <w:tc>
          <w:tcPr>
            <w:tcW w:w="6486" w:type="dxa"/>
            <w:tcBorders>
              <w:top w:val="single" w:sz="4" w:space="0" w:color="auto"/>
              <w:left w:val="single" w:sz="4" w:space="0" w:color="auto"/>
              <w:bottom w:val="single" w:sz="4" w:space="0" w:color="auto"/>
              <w:right w:val="single" w:sz="4" w:space="0" w:color="auto"/>
            </w:tcBorders>
            <w:hideMark/>
          </w:tcPr>
          <w:p w14:paraId="6C4A05F9" w14:textId="77777777"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w:t>
            </w:r>
          </w:p>
        </w:tc>
      </w:tr>
      <w:tr w:rsidR="00F261A3" w14:paraId="357EB9D2" w14:textId="77777777" w:rsidTr="0062345D">
        <w:trPr>
          <w:trHeight w:val="70"/>
        </w:trPr>
        <w:tc>
          <w:tcPr>
            <w:tcW w:w="2802" w:type="dxa"/>
            <w:tcBorders>
              <w:top w:val="single" w:sz="4" w:space="0" w:color="auto"/>
              <w:left w:val="single" w:sz="4" w:space="0" w:color="auto"/>
              <w:bottom w:val="single" w:sz="4" w:space="0" w:color="auto"/>
              <w:right w:val="single" w:sz="4" w:space="0" w:color="auto"/>
            </w:tcBorders>
            <w:hideMark/>
          </w:tcPr>
          <w:p w14:paraId="5A477740"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Mezinárodní srovnání:</w:t>
            </w:r>
          </w:p>
        </w:tc>
        <w:tc>
          <w:tcPr>
            <w:tcW w:w="6486" w:type="dxa"/>
            <w:tcBorders>
              <w:top w:val="single" w:sz="4" w:space="0" w:color="auto"/>
              <w:left w:val="single" w:sz="4" w:space="0" w:color="auto"/>
              <w:bottom w:val="single" w:sz="4" w:space="0" w:color="auto"/>
              <w:right w:val="single" w:sz="4" w:space="0" w:color="auto"/>
            </w:tcBorders>
            <w:hideMark/>
          </w:tcPr>
          <w:p w14:paraId="02B6AFB1" w14:textId="77777777" w:rsidR="00F261A3" w:rsidRDefault="00F261A3" w:rsidP="00362C76">
            <w:pPr>
              <w:spacing w:line="276" w:lineRule="auto"/>
              <w:jc w:val="both"/>
              <w:rPr>
                <w:rFonts w:ascii="Arial" w:hAnsi="Arial" w:cs="Arial"/>
                <w:sz w:val="22"/>
                <w:szCs w:val="22"/>
                <w:lang w:eastAsia="en-US"/>
              </w:rPr>
            </w:pPr>
            <w:proofErr w:type="spellStart"/>
            <w:r>
              <w:rPr>
                <w:rFonts w:ascii="Arial" w:hAnsi="Arial" w:cs="Arial"/>
                <w:sz w:val="22"/>
                <w:szCs w:val="22"/>
                <w:lang w:eastAsia="en-US"/>
              </w:rPr>
              <w:t>Eurostat</w:t>
            </w:r>
            <w:proofErr w:type="spellEnd"/>
            <w:r>
              <w:rPr>
                <w:rFonts w:ascii="Arial" w:hAnsi="Arial" w:cs="Arial"/>
                <w:sz w:val="22"/>
                <w:szCs w:val="22"/>
                <w:lang w:eastAsia="en-US"/>
              </w:rPr>
              <w:t>, částečně OECD</w:t>
            </w:r>
          </w:p>
        </w:tc>
      </w:tr>
    </w:tbl>
    <w:p w14:paraId="59AB80AF" w14:textId="77777777" w:rsidR="00F261A3" w:rsidRDefault="00F261A3" w:rsidP="00F261A3">
      <w:pPr>
        <w:spacing w:line="276" w:lineRule="auto"/>
        <w:rPr>
          <w:rFonts w:ascii="Arial" w:eastAsiaTheme="minorHAnsi" w:hAnsi="Arial" w:cs="Arial"/>
          <w:sz w:val="22"/>
          <w:szCs w:val="22"/>
          <w:lang w:eastAsia="en-US"/>
        </w:rPr>
      </w:pPr>
    </w:p>
    <w:tbl>
      <w:tblPr>
        <w:tblStyle w:val="Mkatabulky"/>
        <w:tblW w:w="0" w:type="auto"/>
        <w:tblLook w:val="04A0" w:firstRow="1" w:lastRow="0" w:firstColumn="1" w:lastColumn="0" w:noHBand="0" w:noVBand="1"/>
      </w:tblPr>
      <w:tblGrid>
        <w:gridCol w:w="2802"/>
        <w:gridCol w:w="6486"/>
      </w:tblGrid>
      <w:tr w:rsidR="0034660F" w:rsidRPr="00477E8D" w14:paraId="2719B23E" w14:textId="77777777" w:rsidTr="00C54BB7">
        <w:tc>
          <w:tcPr>
            <w:tcW w:w="2802" w:type="dxa"/>
            <w:shd w:val="clear" w:color="auto" w:fill="auto"/>
            <w:hideMark/>
          </w:tcPr>
          <w:p w14:paraId="2374B0CA" w14:textId="3C39E117" w:rsidR="0034660F" w:rsidRPr="0034660F" w:rsidRDefault="0034660F" w:rsidP="00D11FCC">
            <w:pPr>
              <w:spacing w:line="276" w:lineRule="auto"/>
              <w:rPr>
                <w:rFonts w:ascii="Arial" w:hAnsi="Arial" w:cs="Arial"/>
                <w:sz w:val="22"/>
                <w:szCs w:val="22"/>
              </w:rPr>
            </w:pPr>
            <w:r w:rsidRPr="0034660F">
              <w:rPr>
                <w:rFonts w:ascii="Arial" w:hAnsi="Arial" w:cs="Arial"/>
                <w:sz w:val="22"/>
                <w:szCs w:val="22"/>
              </w:rPr>
              <w:t xml:space="preserve">Název a označení indikátoru: </w:t>
            </w:r>
          </w:p>
        </w:tc>
        <w:tc>
          <w:tcPr>
            <w:tcW w:w="6486" w:type="dxa"/>
            <w:shd w:val="clear" w:color="auto" w:fill="auto"/>
          </w:tcPr>
          <w:p w14:paraId="4EAEE87C" w14:textId="77777777" w:rsidR="0034660F" w:rsidRPr="0034660F" w:rsidRDefault="0034660F" w:rsidP="00D11FCC">
            <w:pPr>
              <w:spacing w:line="276" w:lineRule="auto"/>
              <w:rPr>
                <w:rFonts w:ascii="Arial" w:hAnsi="Arial" w:cs="Arial"/>
                <w:b/>
                <w:sz w:val="22"/>
                <w:szCs w:val="22"/>
              </w:rPr>
            </w:pPr>
            <w:r w:rsidRPr="0034660F">
              <w:rPr>
                <w:rFonts w:ascii="Arial" w:hAnsi="Arial" w:cs="Arial"/>
                <w:b/>
                <w:sz w:val="22"/>
                <w:szCs w:val="22"/>
              </w:rPr>
              <w:t>27.1.5 Zastoupení žen/mužů ve vedoucích pozicích veřejné správy</w:t>
            </w:r>
          </w:p>
        </w:tc>
      </w:tr>
      <w:tr w:rsidR="0034660F" w:rsidRPr="00477E8D" w14:paraId="452CB976" w14:textId="77777777" w:rsidTr="00C54BB7">
        <w:tc>
          <w:tcPr>
            <w:tcW w:w="2802" w:type="dxa"/>
            <w:shd w:val="clear" w:color="auto" w:fill="auto"/>
            <w:hideMark/>
          </w:tcPr>
          <w:p w14:paraId="1FD7BC28" w14:textId="77777777" w:rsidR="0034660F" w:rsidRPr="0034660F" w:rsidRDefault="0034660F" w:rsidP="00D11FCC">
            <w:pPr>
              <w:spacing w:line="276" w:lineRule="auto"/>
              <w:rPr>
                <w:rFonts w:ascii="Arial" w:hAnsi="Arial" w:cs="Arial"/>
                <w:sz w:val="22"/>
                <w:szCs w:val="22"/>
              </w:rPr>
            </w:pPr>
            <w:r w:rsidRPr="0034660F">
              <w:rPr>
                <w:rFonts w:ascii="Arial" w:hAnsi="Arial" w:cs="Arial"/>
                <w:sz w:val="22"/>
                <w:szCs w:val="22"/>
              </w:rPr>
              <w:t xml:space="preserve">Stručná definice: </w:t>
            </w:r>
          </w:p>
        </w:tc>
        <w:tc>
          <w:tcPr>
            <w:tcW w:w="6486" w:type="dxa"/>
            <w:shd w:val="clear" w:color="auto" w:fill="auto"/>
          </w:tcPr>
          <w:p w14:paraId="325A16E2" w14:textId="35523994" w:rsidR="0034660F" w:rsidRPr="0034660F" w:rsidRDefault="0034660F" w:rsidP="00362C76">
            <w:pPr>
              <w:autoSpaceDE w:val="0"/>
              <w:autoSpaceDN w:val="0"/>
              <w:adjustRightInd w:val="0"/>
              <w:spacing w:line="276" w:lineRule="auto"/>
              <w:jc w:val="both"/>
              <w:rPr>
                <w:rFonts w:ascii="Arial" w:hAnsi="Arial" w:cs="Arial"/>
                <w:sz w:val="22"/>
                <w:szCs w:val="22"/>
              </w:rPr>
            </w:pPr>
            <w:r w:rsidRPr="0034660F">
              <w:rPr>
                <w:rStyle w:val="odkaz-style-wrapper3"/>
                <w:rFonts w:ascii="Arial" w:hAnsi="Arial" w:cs="Arial"/>
                <w:sz w:val="22"/>
                <w:szCs w:val="22"/>
              </w:rPr>
              <w:t xml:space="preserve">Podíl žen a mužů ve vedoucích funkcích jednotlivých ministerstev a Úřadu vlády (ministr/ministryně; náměstek/náměstkyně; ředitel/ředitelka odboru; vedoucí oddělení), dle pravidelného </w:t>
            </w:r>
            <w:r w:rsidR="00306C87" w:rsidRPr="00503525">
              <w:rPr>
                <w:rStyle w:val="odkaz-style-wrapper3"/>
                <w:rFonts w:ascii="Arial" w:hAnsi="Arial" w:cs="Arial"/>
                <w:sz w:val="22"/>
                <w:szCs w:val="22"/>
              </w:rPr>
              <w:t xml:space="preserve">přehledu </w:t>
            </w:r>
            <w:r w:rsidRPr="0034660F">
              <w:rPr>
                <w:rStyle w:val="odkaz-style-wrapper3"/>
                <w:rFonts w:ascii="Arial" w:hAnsi="Arial" w:cs="Arial"/>
                <w:sz w:val="22"/>
                <w:szCs w:val="22"/>
              </w:rPr>
              <w:t xml:space="preserve">Českého statistického úřadu Zaostřeno na ženy a muže. Po sjednocení způsobu, jakým jsou </w:t>
            </w:r>
            <w:r w:rsidR="00306C87" w:rsidRPr="00503525">
              <w:rPr>
                <w:rStyle w:val="odkaz-style-wrapper3"/>
                <w:rFonts w:ascii="Arial" w:hAnsi="Arial" w:cs="Arial"/>
                <w:sz w:val="22"/>
                <w:szCs w:val="22"/>
              </w:rPr>
              <w:t>v tomto přehledu</w:t>
            </w:r>
            <w:r w:rsidRPr="0034660F">
              <w:rPr>
                <w:rStyle w:val="odkaz-style-wrapper3"/>
                <w:rFonts w:ascii="Arial" w:hAnsi="Arial" w:cs="Arial"/>
                <w:sz w:val="22"/>
                <w:szCs w:val="22"/>
              </w:rPr>
              <w:t xml:space="preserve"> shromažďována data pro kategorie resortních institucí a expertů, bude rozšířeno i na tyto kategorie.</w:t>
            </w:r>
          </w:p>
        </w:tc>
      </w:tr>
      <w:tr w:rsidR="0034660F" w:rsidRPr="00477E8D" w14:paraId="7AD6CAD5" w14:textId="77777777" w:rsidTr="00C54BB7">
        <w:tc>
          <w:tcPr>
            <w:tcW w:w="2802" w:type="dxa"/>
            <w:shd w:val="clear" w:color="auto" w:fill="auto"/>
            <w:hideMark/>
          </w:tcPr>
          <w:p w14:paraId="5FD3CA25" w14:textId="77777777" w:rsidR="0034660F" w:rsidRPr="0034660F" w:rsidRDefault="0034660F" w:rsidP="00D11FCC">
            <w:pPr>
              <w:spacing w:line="276" w:lineRule="auto"/>
              <w:rPr>
                <w:rFonts w:ascii="Arial" w:hAnsi="Arial" w:cs="Arial"/>
                <w:sz w:val="22"/>
                <w:szCs w:val="22"/>
              </w:rPr>
            </w:pPr>
            <w:r w:rsidRPr="0034660F">
              <w:rPr>
                <w:rFonts w:ascii="Arial" w:hAnsi="Arial" w:cs="Arial"/>
                <w:sz w:val="22"/>
                <w:szCs w:val="22"/>
              </w:rPr>
              <w:t>Jednotka:</w:t>
            </w:r>
          </w:p>
        </w:tc>
        <w:tc>
          <w:tcPr>
            <w:tcW w:w="6486" w:type="dxa"/>
            <w:shd w:val="clear" w:color="auto" w:fill="auto"/>
          </w:tcPr>
          <w:p w14:paraId="5AFEC4F5" w14:textId="77777777" w:rsidR="0034660F" w:rsidRPr="0034660F" w:rsidRDefault="0034660F" w:rsidP="00362C76">
            <w:pPr>
              <w:spacing w:line="276" w:lineRule="auto"/>
              <w:jc w:val="both"/>
              <w:rPr>
                <w:rFonts w:ascii="Arial" w:hAnsi="Arial" w:cs="Arial"/>
                <w:sz w:val="22"/>
                <w:szCs w:val="22"/>
              </w:rPr>
            </w:pPr>
            <w:r w:rsidRPr="0034660F">
              <w:rPr>
                <w:rFonts w:ascii="Arial" w:hAnsi="Arial" w:cs="Arial"/>
                <w:sz w:val="22"/>
                <w:szCs w:val="22"/>
              </w:rPr>
              <w:t>Podíl (v %)</w:t>
            </w:r>
          </w:p>
        </w:tc>
      </w:tr>
      <w:tr w:rsidR="0034660F" w:rsidRPr="00477E8D" w14:paraId="6C0EA3C7" w14:textId="77777777" w:rsidTr="00C54BB7">
        <w:tc>
          <w:tcPr>
            <w:tcW w:w="2802" w:type="dxa"/>
            <w:shd w:val="clear" w:color="auto" w:fill="auto"/>
            <w:hideMark/>
          </w:tcPr>
          <w:p w14:paraId="1D3059CC" w14:textId="77777777" w:rsidR="0034660F" w:rsidRPr="0034660F" w:rsidRDefault="0034660F" w:rsidP="00D11FCC">
            <w:pPr>
              <w:spacing w:line="276" w:lineRule="auto"/>
              <w:rPr>
                <w:rFonts w:ascii="Arial" w:hAnsi="Arial" w:cs="Arial"/>
                <w:sz w:val="22"/>
                <w:szCs w:val="22"/>
              </w:rPr>
            </w:pPr>
            <w:r w:rsidRPr="0034660F">
              <w:rPr>
                <w:rFonts w:ascii="Arial" w:hAnsi="Arial" w:cs="Arial"/>
                <w:sz w:val="22"/>
                <w:szCs w:val="22"/>
              </w:rPr>
              <w:t xml:space="preserve">Gestor: </w:t>
            </w:r>
          </w:p>
        </w:tc>
        <w:tc>
          <w:tcPr>
            <w:tcW w:w="6486" w:type="dxa"/>
            <w:shd w:val="clear" w:color="auto" w:fill="auto"/>
            <w:hideMark/>
          </w:tcPr>
          <w:p w14:paraId="62F1A9DE" w14:textId="77777777" w:rsidR="0034660F" w:rsidRPr="0034660F" w:rsidRDefault="0034660F" w:rsidP="00362C76">
            <w:pPr>
              <w:spacing w:line="276" w:lineRule="auto"/>
              <w:jc w:val="both"/>
              <w:rPr>
                <w:rFonts w:ascii="Arial" w:hAnsi="Arial" w:cs="Arial"/>
                <w:sz w:val="22"/>
                <w:szCs w:val="22"/>
              </w:rPr>
            </w:pPr>
            <w:r>
              <w:rPr>
                <w:rFonts w:ascii="Arial" w:hAnsi="Arial" w:cs="Arial"/>
                <w:sz w:val="22"/>
                <w:szCs w:val="22"/>
              </w:rPr>
              <w:t>Č</w:t>
            </w:r>
            <w:r w:rsidRPr="0034660F">
              <w:rPr>
                <w:rFonts w:ascii="Arial" w:hAnsi="Arial" w:cs="Arial"/>
                <w:sz w:val="22"/>
                <w:szCs w:val="22"/>
              </w:rPr>
              <w:t>eský statistický úřad</w:t>
            </w:r>
          </w:p>
        </w:tc>
      </w:tr>
      <w:tr w:rsidR="0034660F" w:rsidRPr="00477E8D" w14:paraId="12B45C4F" w14:textId="77777777" w:rsidTr="00C54BB7">
        <w:tc>
          <w:tcPr>
            <w:tcW w:w="2802" w:type="dxa"/>
            <w:shd w:val="clear" w:color="auto" w:fill="auto"/>
            <w:hideMark/>
          </w:tcPr>
          <w:p w14:paraId="08AE0C59" w14:textId="77777777" w:rsidR="0034660F" w:rsidRPr="0034660F" w:rsidRDefault="0034660F" w:rsidP="00D11FCC">
            <w:pPr>
              <w:spacing w:line="276" w:lineRule="auto"/>
              <w:rPr>
                <w:rFonts w:ascii="Arial" w:hAnsi="Arial" w:cs="Arial"/>
                <w:sz w:val="22"/>
                <w:szCs w:val="22"/>
              </w:rPr>
            </w:pPr>
            <w:r w:rsidRPr="0034660F">
              <w:rPr>
                <w:rFonts w:ascii="Arial" w:hAnsi="Arial" w:cs="Arial"/>
                <w:sz w:val="22"/>
                <w:szCs w:val="22"/>
              </w:rPr>
              <w:t xml:space="preserve">Význam indikátoru: </w:t>
            </w:r>
          </w:p>
        </w:tc>
        <w:tc>
          <w:tcPr>
            <w:tcW w:w="6486" w:type="dxa"/>
            <w:shd w:val="clear" w:color="auto" w:fill="auto"/>
          </w:tcPr>
          <w:p w14:paraId="181C59F9" w14:textId="77777777" w:rsidR="0034660F" w:rsidRPr="0034660F" w:rsidRDefault="0034660F" w:rsidP="00362C76">
            <w:pPr>
              <w:spacing w:line="276" w:lineRule="auto"/>
              <w:jc w:val="both"/>
              <w:rPr>
                <w:rFonts w:ascii="Arial" w:hAnsi="Arial" w:cs="Arial"/>
                <w:sz w:val="22"/>
                <w:szCs w:val="22"/>
              </w:rPr>
            </w:pPr>
            <w:r w:rsidRPr="0034660F">
              <w:rPr>
                <w:rFonts w:ascii="Arial" w:hAnsi="Arial" w:cs="Arial"/>
                <w:sz w:val="22"/>
                <w:szCs w:val="22"/>
              </w:rPr>
              <w:t>Demokratičnost vládnutí, dlouhodobá efektivita vládnutí: Míra reprezentace aktérů strukturálních štěpení; zároveň gender jako vzorek problému reprezentace obecně.</w:t>
            </w:r>
          </w:p>
        </w:tc>
      </w:tr>
      <w:tr w:rsidR="0034660F" w:rsidRPr="00477E8D" w14:paraId="2E94C965" w14:textId="77777777" w:rsidTr="00C54BB7">
        <w:tc>
          <w:tcPr>
            <w:tcW w:w="2802" w:type="dxa"/>
            <w:shd w:val="clear" w:color="auto" w:fill="auto"/>
            <w:hideMark/>
          </w:tcPr>
          <w:p w14:paraId="2C45F4AE" w14:textId="77777777" w:rsidR="0034660F" w:rsidRPr="0034660F" w:rsidRDefault="0034660F" w:rsidP="00D11FCC">
            <w:pPr>
              <w:spacing w:line="276" w:lineRule="auto"/>
              <w:rPr>
                <w:rFonts w:ascii="Arial" w:hAnsi="Arial" w:cs="Arial"/>
                <w:sz w:val="22"/>
                <w:szCs w:val="22"/>
              </w:rPr>
            </w:pPr>
            <w:r w:rsidRPr="0034660F">
              <w:rPr>
                <w:rFonts w:ascii="Arial" w:hAnsi="Arial" w:cs="Arial"/>
                <w:sz w:val="22"/>
                <w:szCs w:val="22"/>
              </w:rPr>
              <w:t xml:space="preserve">Časová řada: </w:t>
            </w:r>
          </w:p>
        </w:tc>
        <w:tc>
          <w:tcPr>
            <w:tcW w:w="6486" w:type="dxa"/>
            <w:shd w:val="clear" w:color="auto" w:fill="auto"/>
          </w:tcPr>
          <w:p w14:paraId="12C8709C" w14:textId="77777777" w:rsidR="0034660F" w:rsidRPr="0034660F" w:rsidRDefault="0034660F" w:rsidP="00362C76">
            <w:pPr>
              <w:spacing w:line="276" w:lineRule="auto"/>
              <w:jc w:val="both"/>
              <w:rPr>
                <w:rFonts w:ascii="Arial" w:hAnsi="Arial" w:cs="Arial"/>
                <w:sz w:val="22"/>
                <w:szCs w:val="22"/>
              </w:rPr>
            </w:pPr>
            <w:r w:rsidRPr="0034660F">
              <w:rPr>
                <w:rFonts w:ascii="Arial" w:hAnsi="Arial" w:cs="Arial"/>
                <w:sz w:val="22"/>
                <w:szCs w:val="22"/>
              </w:rPr>
              <w:t>Od roku 2010 (pro resortní organizace a experty od 2017)</w:t>
            </w:r>
          </w:p>
        </w:tc>
      </w:tr>
      <w:tr w:rsidR="0034660F" w:rsidRPr="00477E8D" w14:paraId="5282AE89" w14:textId="77777777" w:rsidTr="00C54BB7">
        <w:tc>
          <w:tcPr>
            <w:tcW w:w="2802" w:type="dxa"/>
            <w:shd w:val="clear" w:color="auto" w:fill="auto"/>
            <w:hideMark/>
          </w:tcPr>
          <w:p w14:paraId="1CFEEE6D" w14:textId="77777777" w:rsidR="0034660F" w:rsidRPr="0034660F" w:rsidRDefault="0034660F" w:rsidP="00D11FCC">
            <w:pPr>
              <w:spacing w:line="276" w:lineRule="auto"/>
              <w:rPr>
                <w:rFonts w:ascii="Arial" w:hAnsi="Arial" w:cs="Arial"/>
                <w:sz w:val="22"/>
                <w:szCs w:val="22"/>
              </w:rPr>
            </w:pPr>
            <w:r w:rsidRPr="0034660F">
              <w:rPr>
                <w:rFonts w:ascii="Arial" w:hAnsi="Arial" w:cs="Arial"/>
                <w:sz w:val="22"/>
                <w:szCs w:val="22"/>
              </w:rPr>
              <w:t xml:space="preserve">Frekvence výstupu: </w:t>
            </w:r>
          </w:p>
        </w:tc>
        <w:tc>
          <w:tcPr>
            <w:tcW w:w="6486" w:type="dxa"/>
            <w:shd w:val="clear" w:color="auto" w:fill="auto"/>
          </w:tcPr>
          <w:p w14:paraId="7B0D910E" w14:textId="77777777" w:rsidR="0034660F" w:rsidRPr="0034660F" w:rsidRDefault="0034660F" w:rsidP="00362C76">
            <w:pPr>
              <w:spacing w:line="276" w:lineRule="auto"/>
              <w:jc w:val="both"/>
              <w:rPr>
                <w:rFonts w:ascii="Arial" w:hAnsi="Arial" w:cs="Arial"/>
                <w:sz w:val="22"/>
                <w:szCs w:val="22"/>
              </w:rPr>
            </w:pPr>
            <w:r w:rsidRPr="0034660F">
              <w:rPr>
                <w:rFonts w:ascii="Arial" w:hAnsi="Arial" w:cs="Arial"/>
                <w:sz w:val="22"/>
                <w:szCs w:val="22"/>
              </w:rPr>
              <w:t>Ročně</w:t>
            </w:r>
          </w:p>
        </w:tc>
      </w:tr>
      <w:tr w:rsidR="0034660F" w:rsidRPr="00477E8D" w14:paraId="4BB06EB3" w14:textId="77777777" w:rsidTr="00C54BB7">
        <w:trPr>
          <w:trHeight w:val="70"/>
        </w:trPr>
        <w:tc>
          <w:tcPr>
            <w:tcW w:w="2802" w:type="dxa"/>
            <w:shd w:val="clear" w:color="auto" w:fill="auto"/>
            <w:hideMark/>
          </w:tcPr>
          <w:p w14:paraId="7A6E9FB3" w14:textId="77777777" w:rsidR="0034660F" w:rsidRPr="0034660F" w:rsidRDefault="0034660F" w:rsidP="00D11FCC">
            <w:pPr>
              <w:spacing w:line="276" w:lineRule="auto"/>
              <w:rPr>
                <w:rFonts w:ascii="Arial" w:hAnsi="Arial" w:cs="Arial"/>
                <w:sz w:val="22"/>
                <w:szCs w:val="22"/>
              </w:rPr>
            </w:pPr>
            <w:r w:rsidRPr="0034660F">
              <w:rPr>
                <w:rFonts w:ascii="Arial" w:hAnsi="Arial" w:cs="Arial"/>
                <w:sz w:val="22"/>
                <w:szCs w:val="22"/>
              </w:rPr>
              <w:t xml:space="preserve">Členění indikátoru: </w:t>
            </w:r>
          </w:p>
        </w:tc>
        <w:tc>
          <w:tcPr>
            <w:tcW w:w="6486" w:type="dxa"/>
            <w:shd w:val="clear" w:color="auto" w:fill="auto"/>
          </w:tcPr>
          <w:p w14:paraId="00F17F61" w14:textId="48F5156A" w:rsidR="0034660F" w:rsidRPr="0034660F" w:rsidRDefault="002F6EA4" w:rsidP="00D11FCC">
            <w:pPr>
              <w:spacing w:line="276" w:lineRule="auto"/>
              <w:rPr>
                <w:rFonts w:ascii="Arial" w:hAnsi="Arial" w:cs="Arial"/>
                <w:sz w:val="22"/>
                <w:szCs w:val="22"/>
              </w:rPr>
            </w:pPr>
            <w:r>
              <w:rPr>
                <w:rFonts w:ascii="Arial" w:hAnsi="Arial" w:cs="Arial"/>
                <w:sz w:val="22"/>
                <w:szCs w:val="22"/>
              </w:rPr>
              <w:t>-</w:t>
            </w:r>
          </w:p>
        </w:tc>
      </w:tr>
      <w:tr w:rsidR="0034660F" w:rsidRPr="00477E8D" w14:paraId="289186F1" w14:textId="77777777" w:rsidTr="00C54BB7">
        <w:trPr>
          <w:trHeight w:val="70"/>
        </w:trPr>
        <w:tc>
          <w:tcPr>
            <w:tcW w:w="2802" w:type="dxa"/>
            <w:shd w:val="clear" w:color="auto" w:fill="auto"/>
            <w:hideMark/>
          </w:tcPr>
          <w:p w14:paraId="4A93A74A" w14:textId="77777777" w:rsidR="0034660F" w:rsidRPr="0034660F" w:rsidRDefault="0034660F" w:rsidP="00D11FCC">
            <w:pPr>
              <w:spacing w:line="276" w:lineRule="auto"/>
              <w:rPr>
                <w:rFonts w:ascii="Arial" w:hAnsi="Arial" w:cs="Arial"/>
                <w:sz w:val="22"/>
                <w:szCs w:val="22"/>
              </w:rPr>
            </w:pPr>
            <w:r w:rsidRPr="0034660F">
              <w:rPr>
                <w:rFonts w:ascii="Arial" w:hAnsi="Arial" w:cs="Arial"/>
                <w:sz w:val="22"/>
                <w:szCs w:val="22"/>
              </w:rPr>
              <w:t>Mezinárodní srovnání:</w:t>
            </w:r>
          </w:p>
        </w:tc>
        <w:tc>
          <w:tcPr>
            <w:tcW w:w="6486" w:type="dxa"/>
            <w:shd w:val="clear" w:color="auto" w:fill="auto"/>
          </w:tcPr>
          <w:p w14:paraId="1D859428" w14:textId="1D9D22C8" w:rsidR="0034660F" w:rsidRPr="0034660F" w:rsidRDefault="002F6EA4" w:rsidP="00D11FCC">
            <w:pPr>
              <w:spacing w:line="276" w:lineRule="auto"/>
              <w:rPr>
                <w:rFonts w:ascii="Arial" w:hAnsi="Arial" w:cs="Arial"/>
                <w:sz w:val="22"/>
                <w:szCs w:val="22"/>
              </w:rPr>
            </w:pPr>
            <w:r>
              <w:rPr>
                <w:rFonts w:ascii="Arial" w:hAnsi="Arial" w:cs="Arial"/>
                <w:sz w:val="22"/>
                <w:szCs w:val="22"/>
              </w:rPr>
              <w:t>-</w:t>
            </w:r>
          </w:p>
        </w:tc>
      </w:tr>
    </w:tbl>
    <w:p w14:paraId="08CCD5ED" w14:textId="3CE4559E" w:rsidR="00F261A3" w:rsidRDefault="00B65661" w:rsidP="00362C76">
      <w:pPr>
        <w:pStyle w:val="r2030podcle"/>
        <w:numPr>
          <w:ilvl w:val="1"/>
          <w:numId w:val="17"/>
        </w:numPr>
        <w:ind w:left="567" w:hanging="425"/>
      </w:pPr>
      <w:r>
        <w:t xml:space="preserve">Rozivnou se postupy zvyšující </w:t>
      </w:r>
      <w:r w:rsidR="00846A07">
        <w:t xml:space="preserve">efektivitu veřejné správy </w:t>
      </w:r>
      <w:r>
        <w:t>z</w:t>
      </w:r>
      <w:r w:rsidR="00846A07">
        <w:t> hlediska občanů/</w:t>
      </w:r>
      <w:r w:rsidRPr="00020BA6">
        <w:t>občanek a</w:t>
      </w:r>
      <w:r>
        <w:t> podnikatelů/</w:t>
      </w:r>
      <w:r w:rsidR="00846A07">
        <w:t>podnikatelek a firem.</w:t>
      </w:r>
    </w:p>
    <w:tbl>
      <w:tblPr>
        <w:tblStyle w:val="Mkatabulky"/>
        <w:tblW w:w="0" w:type="auto"/>
        <w:shd w:val="pct10" w:color="auto" w:fill="auto"/>
        <w:tblLook w:val="04A0" w:firstRow="1" w:lastRow="0" w:firstColumn="1" w:lastColumn="0" w:noHBand="0" w:noVBand="1"/>
      </w:tblPr>
      <w:tblGrid>
        <w:gridCol w:w="2802"/>
        <w:gridCol w:w="6486"/>
      </w:tblGrid>
      <w:tr w:rsidR="00F261A3" w14:paraId="6AB2AC1A" w14:textId="77777777" w:rsidTr="0062345D">
        <w:tc>
          <w:tcPr>
            <w:tcW w:w="2802" w:type="dxa"/>
            <w:shd w:val="pct10" w:color="auto" w:fill="auto"/>
            <w:hideMark/>
          </w:tcPr>
          <w:p w14:paraId="35379547"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Název a označení indikátoru: </w:t>
            </w:r>
          </w:p>
        </w:tc>
        <w:tc>
          <w:tcPr>
            <w:tcW w:w="6486" w:type="dxa"/>
            <w:shd w:val="pct10" w:color="auto" w:fill="auto"/>
            <w:hideMark/>
          </w:tcPr>
          <w:p w14:paraId="306696C4" w14:textId="3F7F28A9" w:rsidR="00F261A3" w:rsidRPr="00EC3984" w:rsidRDefault="00F261A3" w:rsidP="00EC3984">
            <w:pPr>
              <w:spacing w:line="276" w:lineRule="auto"/>
              <w:rPr>
                <w:rFonts w:ascii="Arial" w:hAnsi="Arial" w:cs="Arial"/>
                <w:b/>
                <w:sz w:val="22"/>
                <w:szCs w:val="22"/>
                <w:lang w:eastAsia="en-US"/>
              </w:rPr>
            </w:pPr>
            <w:r>
              <w:rPr>
                <w:rFonts w:ascii="Arial" w:hAnsi="Arial" w:cs="Arial"/>
                <w:b/>
                <w:sz w:val="22"/>
                <w:szCs w:val="22"/>
                <w:lang w:eastAsia="en-US"/>
              </w:rPr>
              <w:t>27.</w:t>
            </w:r>
            <w:r w:rsidR="002066DD">
              <w:rPr>
                <w:rFonts w:ascii="Arial" w:hAnsi="Arial" w:cs="Arial"/>
                <w:b/>
                <w:sz w:val="22"/>
                <w:szCs w:val="22"/>
                <w:lang w:eastAsia="en-US"/>
              </w:rPr>
              <w:t>2</w:t>
            </w:r>
            <w:r>
              <w:rPr>
                <w:rFonts w:ascii="Arial" w:hAnsi="Arial" w:cs="Arial"/>
                <w:b/>
                <w:sz w:val="22"/>
                <w:szCs w:val="22"/>
                <w:lang w:eastAsia="en-US"/>
              </w:rPr>
              <w:t xml:space="preserve">.1 </w:t>
            </w:r>
            <w:r w:rsidR="00EC3984">
              <w:rPr>
                <w:rFonts w:ascii="Arial" w:hAnsi="Arial" w:cs="Arial"/>
                <w:b/>
                <w:i/>
                <w:sz w:val="22"/>
                <w:szCs w:val="22"/>
                <w:lang w:eastAsia="en-US"/>
              </w:rPr>
              <w:t> </w:t>
            </w:r>
            <w:r w:rsidR="00EC3984">
              <w:rPr>
                <w:rFonts w:ascii="Arial" w:hAnsi="Arial" w:cs="Arial"/>
                <w:b/>
                <w:sz w:val="22"/>
                <w:szCs w:val="22"/>
                <w:lang w:eastAsia="en-US"/>
              </w:rPr>
              <w:t xml:space="preserve"> Efektivita veřejné správy z hlediska jejích klientů</w:t>
            </w:r>
          </w:p>
        </w:tc>
      </w:tr>
      <w:tr w:rsidR="00F261A3" w14:paraId="0B36A937" w14:textId="77777777" w:rsidTr="0062345D">
        <w:tc>
          <w:tcPr>
            <w:tcW w:w="2802" w:type="dxa"/>
            <w:shd w:val="pct10" w:color="auto" w:fill="auto"/>
            <w:hideMark/>
          </w:tcPr>
          <w:p w14:paraId="6381458C"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Stručná definice: </w:t>
            </w:r>
          </w:p>
        </w:tc>
        <w:tc>
          <w:tcPr>
            <w:tcW w:w="6486" w:type="dxa"/>
            <w:shd w:val="pct10" w:color="auto" w:fill="auto"/>
          </w:tcPr>
          <w:p w14:paraId="7155FF79" w14:textId="77777777" w:rsidR="00F261A3" w:rsidRDefault="00F261A3" w:rsidP="0062345D">
            <w:pPr>
              <w:spacing w:line="276" w:lineRule="auto"/>
              <w:rPr>
                <w:rFonts w:ascii="Arial" w:hAnsi="Arial" w:cs="Arial"/>
                <w:sz w:val="22"/>
                <w:szCs w:val="22"/>
                <w:lang w:eastAsia="en-US"/>
              </w:rPr>
            </w:pPr>
          </w:p>
        </w:tc>
      </w:tr>
      <w:tr w:rsidR="00F261A3" w14:paraId="536E158D" w14:textId="77777777" w:rsidTr="0062345D">
        <w:tc>
          <w:tcPr>
            <w:tcW w:w="2802" w:type="dxa"/>
            <w:shd w:val="pct10" w:color="auto" w:fill="auto"/>
            <w:hideMark/>
          </w:tcPr>
          <w:p w14:paraId="4B0657F4"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lastRenderedPageBreak/>
              <w:t>Jednotka:</w:t>
            </w:r>
          </w:p>
        </w:tc>
        <w:tc>
          <w:tcPr>
            <w:tcW w:w="6486" w:type="dxa"/>
            <w:shd w:val="pct10" w:color="auto" w:fill="auto"/>
          </w:tcPr>
          <w:p w14:paraId="4D691597" w14:textId="77777777" w:rsidR="00F261A3" w:rsidRDefault="00F261A3" w:rsidP="0062345D">
            <w:pPr>
              <w:spacing w:line="276" w:lineRule="auto"/>
              <w:rPr>
                <w:rFonts w:ascii="Arial" w:hAnsi="Arial" w:cs="Arial"/>
                <w:sz w:val="22"/>
                <w:szCs w:val="22"/>
                <w:lang w:eastAsia="en-US"/>
              </w:rPr>
            </w:pPr>
          </w:p>
        </w:tc>
      </w:tr>
      <w:tr w:rsidR="00F261A3" w14:paraId="1A3B2574" w14:textId="77777777" w:rsidTr="0062345D">
        <w:tc>
          <w:tcPr>
            <w:tcW w:w="2802" w:type="dxa"/>
            <w:shd w:val="pct10" w:color="auto" w:fill="auto"/>
            <w:hideMark/>
          </w:tcPr>
          <w:p w14:paraId="413D97F1"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Gestor: </w:t>
            </w:r>
          </w:p>
        </w:tc>
        <w:tc>
          <w:tcPr>
            <w:tcW w:w="6486" w:type="dxa"/>
            <w:shd w:val="pct10" w:color="auto" w:fill="auto"/>
          </w:tcPr>
          <w:p w14:paraId="72FACA98" w14:textId="77777777" w:rsidR="00F261A3" w:rsidRDefault="00F261A3" w:rsidP="00362C76">
            <w:pPr>
              <w:spacing w:line="276" w:lineRule="auto"/>
              <w:jc w:val="both"/>
              <w:rPr>
                <w:rFonts w:ascii="Arial" w:hAnsi="Arial" w:cs="Arial"/>
                <w:sz w:val="22"/>
                <w:szCs w:val="22"/>
                <w:lang w:eastAsia="en-US"/>
              </w:rPr>
            </w:pPr>
          </w:p>
        </w:tc>
      </w:tr>
      <w:tr w:rsidR="00F261A3" w14:paraId="7375A3BE" w14:textId="77777777" w:rsidTr="0062345D">
        <w:tc>
          <w:tcPr>
            <w:tcW w:w="2802" w:type="dxa"/>
            <w:shd w:val="pct10" w:color="auto" w:fill="auto"/>
            <w:hideMark/>
          </w:tcPr>
          <w:p w14:paraId="6A188CE8"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Význam indikátoru: </w:t>
            </w:r>
          </w:p>
        </w:tc>
        <w:tc>
          <w:tcPr>
            <w:tcW w:w="6486" w:type="dxa"/>
            <w:shd w:val="pct10" w:color="auto" w:fill="auto"/>
          </w:tcPr>
          <w:p w14:paraId="4AE2A235" w14:textId="0C47A1D5" w:rsidR="00F261A3" w:rsidRDefault="00F261A3" w:rsidP="00362C76">
            <w:pPr>
              <w:spacing w:line="276" w:lineRule="auto"/>
              <w:jc w:val="both"/>
              <w:rPr>
                <w:rFonts w:ascii="Arial" w:hAnsi="Arial" w:cs="Arial"/>
                <w:sz w:val="22"/>
                <w:szCs w:val="22"/>
                <w:lang w:eastAsia="en-US"/>
              </w:rPr>
            </w:pPr>
            <w:r>
              <w:rPr>
                <w:rFonts w:ascii="Arial" w:hAnsi="Arial" w:cs="Arial"/>
                <w:sz w:val="22"/>
                <w:szCs w:val="22"/>
                <w:lang w:eastAsia="en-US"/>
              </w:rPr>
              <w:t xml:space="preserve">Indikátor bude vytvořen ve spolupráci </w:t>
            </w:r>
            <w:r w:rsidR="00EC3984">
              <w:rPr>
                <w:rFonts w:ascii="Arial" w:hAnsi="Arial" w:cs="Arial"/>
                <w:sz w:val="22"/>
                <w:szCs w:val="22"/>
                <w:lang w:eastAsia="en-US"/>
              </w:rPr>
              <w:t xml:space="preserve">Odboru </w:t>
            </w:r>
            <w:r>
              <w:rPr>
                <w:rFonts w:ascii="Arial" w:hAnsi="Arial" w:cs="Arial"/>
                <w:sz w:val="22"/>
                <w:szCs w:val="22"/>
                <w:lang w:eastAsia="en-US"/>
              </w:rPr>
              <w:t xml:space="preserve">pro udržitelný rozvoj Úřadu vlády a Ministerstva vnitra do konce </w:t>
            </w:r>
            <w:r w:rsidR="00FC62BC">
              <w:rPr>
                <w:rFonts w:ascii="Arial" w:hAnsi="Arial" w:cs="Arial"/>
                <w:sz w:val="22"/>
                <w:szCs w:val="22"/>
                <w:lang w:eastAsia="en-US"/>
              </w:rPr>
              <w:t>roku</w:t>
            </w:r>
            <w:r>
              <w:rPr>
                <w:rFonts w:ascii="Arial" w:hAnsi="Arial" w:cs="Arial"/>
                <w:sz w:val="22"/>
                <w:szCs w:val="22"/>
                <w:lang w:eastAsia="en-US"/>
              </w:rPr>
              <w:t xml:space="preserve"> 2017; jedním z podkladů diskuse bude návrh systému hodnocení veřejné správy, aktuálně připravovaný Ministerstvem vnitra.</w:t>
            </w:r>
          </w:p>
        </w:tc>
      </w:tr>
      <w:tr w:rsidR="00F261A3" w14:paraId="77DE916B" w14:textId="77777777" w:rsidTr="0062345D">
        <w:tc>
          <w:tcPr>
            <w:tcW w:w="2802" w:type="dxa"/>
            <w:shd w:val="pct10" w:color="auto" w:fill="auto"/>
            <w:hideMark/>
          </w:tcPr>
          <w:p w14:paraId="03179DB9"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Časová řada: </w:t>
            </w:r>
          </w:p>
        </w:tc>
        <w:tc>
          <w:tcPr>
            <w:tcW w:w="6486" w:type="dxa"/>
            <w:shd w:val="pct10" w:color="auto" w:fill="auto"/>
          </w:tcPr>
          <w:p w14:paraId="3C0A72B0" w14:textId="77777777" w:rsidR="00F261A3" w:rsidRDefault="00F261A3" w:rsidP="0062345D">
            <w:pPr>
              <w:spacing w:line="276" w:lineRule="auto"/>
              <w:rPr>
                <w:rFonts w:ascii="Arial" w:hAnsi="Arial" w:cs="Arial"/>
                <w:sz w:val="22"/>
                <w:szCs w:val="22"/>
                <w:lang w:eastAsia="en-US"/>
              </w:rPr>
            </w:pPr>
          </w:p>
        </w:tc>
      </w:tr>
      <w:tr w:rsidR="00F261A3" w14:paraId="04E7213F" w14:textId="77777777" w:rsidTr="0062345D">
        <w:tc>
          <w:tcPr>
            <w:tcW w:w="2802" w:type="dxa"/>
            <w:shd w:val="pct10" w:color="auto" w:fill="auto"/>
            <w:hideMark/>
          </w:tcPr>
          <w:p w14:paraId="307DB1A7"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Frekvence výstupu: </w:t>
            </w:r>
          </w:p>
        </w:tc>
        <w:tc>
          <w:tcPr>
            <w:tcW w:w="6486" w:type="dxa"/>
            <w:shd w:val="pct10" w:color="auto" w:fill="auto"/>
          </w:tcPr>
          <w:p w14:paraId="61153034" w14:textId="77777777" w:rsidR="00F261A3" w:rsidRDefault="00F261A3" w:rsidP="0062345D">
            <w:pPr>
              <w:spacing w:line="276" w:lineRule="auto"/>
              <w:rPr>
                <w:rFonts w:ascii="Arial" w:hAnsi="Arial" w:cs="Arial"/>
                <w:sz w:val="22"/>
                <w:szCs w:val="22"/>
                <w:lang w:eastAsia="en-US"/>
              </w:rPr>
            </w:pPr>
          </w:p>
        </w:tc>
      </w:tr>
      <w:tr w:rsidR="00F261A3" w14:paraId="77CC0D1D" w14:textId="77777777" w:rsidTr="0062345D">
        <w:trPr>
          <w:trHeight w:val="70"/>
        </w:trPr>
        <w:tc>
          <w:tcPr>
            <w:tcW w:w="2802" w:type="dxa"/>
            <w:shd w:val="pct10" w:color="auto" w:fill="auto"/>
            <w:hideMark/>
          </w:tcPr>
          <w:p w14:paraId="31F32602"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 xml:space="preserve">Členění indikátoru: </w:t>
            </w:r>
          </w:p>
        </w:tc>
        <w:tc>
          <w:tcPr>
            <w:tcW w:w="6486" w:type="dxa"/>
            <w:shd w:val="pct10" w:color="auto" w:fill="auto"/>
          </w:tcPr>
          <w:p w14:paraId="5805F670" w14:textId="77777777" w:rsidR="00F261A3" w:rsidRDefault="00F261A3" w:rsidP="0062345D">
            <w:pPr>
              <w:spacing w:line="276" w:lineRule="auto"/>
              <w:rPr>
                <w:rFonts w:ascii="Arial" w:hAnsi="Arial" w:cs="Arial"/>
                <w:sz w:val="22"/>
                <w:szCs w:val="22"/>
                <w:lang w:eastAsia="en-US"/>
              </w:rPr>
            </w:pPr>
          </w:p>
        </w:tc>
      </w:tr>
      <w:tr w:rsidR="00F261A3" w14:paraId="7AF2180A" w14:textId="77777777" w:rsidTr="0062345D">
        <w:trPr>
          <w:trHeight w:val="70"/>
        </w:trPr>
        <w:tc>
          <w:tcPr>
            <w:tcW w:w="2802" w:type="dxa"/>
            <w:shd w:val="pct10" w:color="auto" w:fill="auto"/>
            <w:hideMark/>
          </w:tcPr>
          <w:p w14:paraId="6A1FF6FC" w14:textId="77777777" w:rsidR="00F261A3" w:rsidRDefault="00F261A3" w:rsidP="0062345D">
            <w:pPr>
              <w:spacing w:line="276" w:lineRule="auto"/>
              <w:rPr>
                <w:rFonts w:ascii="Arial" w:hAnsi="Arial" w:cs="Arial"/>
                <w:sz w:val="22"/>
                <w:szCs w:val="22"/>
                <w:lang w:eastAsia="en-US"/>
              </w:rPr>
            </w:pPr>
            <w:r>
              <w:rPr>
                <w:rFonts w:ascii="Arial" w:hAnsi="Arial" w:cs="Arial"/>
                <w:sz w:val="22"/>
                <w:szCs w:val="22"/>
                <w:lang w:eastAsia="en-US"/>
              </w:rPr>
              <w:t>Mezinárodní srovnání:</w:t>
            </w:r>
          </w:p>
        </w:tc>
        <w:tc>
          <w:tcPr>
            <w:tcW w:w="6486" w:type="dxa"/>
            <w:shd w:val="pct10" w:color="auto" w:fill="auto"/>
          </w:tcPr>
          <w:p w14:paraId="67531FA6" w14:textId="77777777" w:rsidR="00F261A3" w:rsidRDefault="00F261A3" w:rsidP="0062345D">
            <w:pPr>
              <w:spacing w:line="276" w:lineRule="auto"/>
              <w:rPr>
                <w:rFonts w:ascii="Arial" w:hAnsi="Arial" w:cs="Arial"/>
                <w:sz w:val="22"/>
                <w:szCs w:val="22"/>
                <w:lang w:eastAsia="en-US"/>
              </w:rPr>
            </w:pPr>
          </w:p>
        </w:tc>
      </w:tr>
    </w:tbl>
    <w:p w14:paraId="34D9F1FA" w14:textId="77777777" w:rsidR="005C51A5" w:rsidRDefault="005C51A5" w:rsidP="00C91095">
      <w:pPr>
        <w:pStyle w:val="r2030nelovan"/>
      </w:pPr>
    </w:p>
    <w:tbl>
      <w:tblPr>
        <w:tblStyle w:val="Mkatabulky"/>
        <w:tblW w:w="0" w:type="auto"/>
        <w:tblLook w:val="04A0" w:firstRow="1" w:lastRow="0" w:firstColumn="1" w:lastColumn="0" w:noHBand="0" w:noVBand="1"/>
      </w:tblPr>
      <w:tblGrid>
        <w:gridCol w:w="2802"/>
        <w:gridCol w:w="6486"/>
      </w:tblGrid>
      <w:tr w:rsidR="00510B5A" w14:paraId="0919B112" w14:textId="77777777" w:rsidTr="00510B5A">
        <w:tc>
          <w:tcPr>
            <w:tcW w:w="2802" w:type="dxa"/>
            <w:hideMark/>
          </w:tcPr>
          <w:p w14:paraId="38F64ADC" w14:textId="77777777" w:rsidR="00510B5A" w:rsidRDefault="00510B5A" w:rsidP="00003B31">
            <w:pPr>
              <w:rPr>
                <w:rFonts w:ascii="Arial" w:hAnsi="Arial" w:cs="Arial"/>
                <w:sz w:val="22"/>
                <w:szCs w:val="22"/>
                <w:lang w:eastAsia="en-US"/>
              </w:rPr>
            </w:pPr>
            <w:r>
              <w:rPr>
                <w:rFonts w:ascii="Arial" w:hAnsi="Arial" w:cs="Arial"/>
                <w:sz w:val="22"/>
                <w:szCs w:val="22"/>
                <w:lang w:eastAsia="en-US"/>
              </w:rPr>
              <w:t xml:space="preserve">Název a označení indikátoru: </w:t>
            </w:r>
          </w:p>
        </w:tc>
        <w:tc>
          <w:tcPr>
            <w:tcW w:w="6486" w:type="dxa"/>
            <w:hideMark/>
          </w:tcPr>
          <w:p w14:paraId="5BA2A17A" w14:textId="77777777" w:rsidR="00510B5A" w:rsidRDefault="00510B5A" w:rsidP="00003B31">
            <w:pPr>
              <w:spacing w:after="200" w:line="276" w:lineRule="auto"/>
              <w:contextualSpacing/>
              <w:rPr>
                <w:rFonts w:ascii="Arial" w:hAnsi="Arial" w:cs="Arial"/>
                <w:b/>
                <w:sz w:val="22"/>
                <w:szCs w:val="22"/>
                <w:lang w:eastAsia="en-US"/>
              </w:rPr>
            </w:pPr>
            <w:r>
              <w:rPr>
                <w:rFonts w:ascii="Arial" w:hAnsi="Arial" w:cs="Arial"/>
                <w:b/>
                <w:sz w:val="22"/>
                <w:szCs w:val="22"/>
                <w:lang w:eastAsia="en-US"/>
              </w:rPr>
              <w:t>27.2.2 Průměrná délka soudního řízení</w:t>
            </w:r>
          </w:p>
        </w:tc>
      </w:tr>
      <w:tr w:rsidR="00510B5A" w14:paraId="5281961F" w14:textId="77777777" w:rsidTr="00510B5A">
        <w:tc>
          <w:tcPr>
            <w:tcW w:w="2802" w:type="dxa"/>
            <w:hideMark/>
          </w:tcPr>
          <w:p w14:paraId="39AABAA8" w14:textId="77777777" w:rsidR="00510B5A" w:rsidRDefault="00510B5A" w:rsidP="00003B31">
            <w:pPr>
              <w:rPr>
                <w:rFonts w:ascii="Arial" w:hAnsi="Arial" w:cs="Arial"/>
                <w:sz w:val="22"/>
                <w:szCs w:val="22"/>
                <w:lang w:eastAsia="en-US"/>
              </w:rPr>
            </w:pPr>
            <w:r>
              <w:rPr>
                <w:rFonts w:ascii="Arial" w:hAnsi="Arial" w:cs="Arial"/>
                <w:sz w:val="22"/>
                <w:szCs w:val="22"/>
                <w:lang w:eastAsia="en-US"/>
              </w:rPr>
              <w:t xml:space="preserve">Stručná definice: </w:t>
            </w:r>
          </w:p>
        </w:tc>
        <w:tc>
          <w:tcPr>
            <w:tcW w:w="6486" w:type="dxa"/>
          </w:tcPr>
          <w:p w14:paraId="65C7A4EF" w14:textId="77777777" w:rsidR="00510B5A" w:rsidRPr="000D22A5" w:rsidRDefault="00510B5A" w:rsidP="00362C76">
            <w:pPr>
              <w:jc w:val="both"/>
              <w:rPr>
                <w:rFonts w:ascii="Arial" w:eastAsiaTheme="minorHAnsi" w:hAnsi="Arial" w:cs="Arial"/>
                <w:sz w:val="22"/>
                <w:szCs w:val="22"/>
                <w:lang w:eastAsia="en-US"/>
              </w:rPr>
            </w:pPr>
            <w:r w:rsidRPr="00440875">
              <w:rPr>
                <w:rFonts w:ascii="Arial" w:eastAsiaTheme="minorHAnsi" w:hAnsi="Arial" w:cs="Arial"/>
                <w:sz w:val="22"/>
                <w:szCs w:val="22"/>
                <w:lang w:eastAsia="en-US"/>
              </w:rPr>
              <w:t xml:space="preserve">Indikátor postihuje civilní agendu (C) u okresních a krajských soudů. Vývoj délky soudních řízení v ostatních agendách je obdobný, proto byla civilní agenda vybrána jako </w:t>
            </w:r>
            <w:r w:rsidRPr="002066DD">
              <w:rPr>
                <w:rFonts w:ascii="Arial" w:eastAsiaTheme="minorHAnsi" w:hAnsi="Arial" w:cs="Arial"/>
                <w:sz w:val="22"/>
                <w:szCs w:val="22"/>
                <w:lang w:eastAsia="en-US"/>
              </w:rPr>
              <w:t>zástupce v</w:t>
            </w:r>
            <w:r w:rsidRPr="000D22A5">
              <w:rPr>
                <w:rFonts w:ascii="Arial" w:eastAsiaTheme="minorHAnsi" w:hAnsi="Arial" w:cs="Arial"/>
                <w:sz w:val="22"/>
                <w:szCs w:val="22"/>
                <w:lang w:eastAsia="en-US"/>
              </w:rPr>
              <w:t>šech ostatních soudních agend</w:t>
            </w:r>
            <w:r>
              <w:rPr>
                <w:rFonts w:ascii="Arial" w:eastAsiaTheme="minorHAnsi" w:hAnsi="Arial" w:cs="Arial"/>
                <w:sz w:val="22"/>
                <w:szCs w:val="22"/>
                <w:lang w:eastAsia="en-US"/>
              </w:rPr>
              <w:t>.</w:t>
            </w:r>
            <w:r w:rsidRPr="000D22A5">
              <w:rPr>
                <w:rFonts w:ascii="Arial" w:eastAsiaTheme="minorHAnsi" w:hAnsi="Arial" w:cs="Arial"/>
                <w:sz w:val="22"/>
                <w:szCs w:val="22"/>
                <w:lang w:eastAsia="en-US"/>
              </w:rPr>
              <w:t xml:space="preserve"> </w:t>
            </w:r>
          </w:p>
          <w:p w14:paraId="370F3FDD" w14:textId="77777777" w:rsidR="00510B5A" w:rsidRPr="00D92FB0" w:rsidRDefault="00510B5A" w:rsidP="00362C76">
            <w:pPr>
              <w:jc w:val="both"/>
              <w:rPr>
                <w:rFonts w:ascii="Arial" w:hAnsi="Arial" w:cs="Arial"/>
                <w:sz w:val="22"/>
                <w:szCs w:val="22"/>
                <w:lang w:eastAsia="en-US"/>
              </w:rPr>
            </w:pPr>
          </w:p>
          <w:p w14:paraId="5F11CF5C" w14:textId="77777777" w:rsidR="00510B5A" w:rsidRPr="00440875" w:rsidRDefault="00510B5A" w:rsidP="00362C76">
            <w:pPr>
              <w:autoSpaceDE w:val="0"/>
              <w:autoSpaceDN w:val="0"/>
              <w:adjustRightInd w:val="0"/>
              <w:jc w:val="both"/>
              <w:rPr>
                <w:rFonts w:ascii="Arial" w:eastAsiaTheme="minorHAnsi" w:hAnsi="Arial" w:cs="Arial"/>
                <w:sz w:val="22"/>
                <w:szCs w:val="22"/>
                <w:lang w:eastAsia="en-US"/>
              </w:rPr>
            </w:pPr>
            <w:r w:rsidRPr="00440875">
              <w:rPr>
                <w:rFonts w:ascii="Arial" w:eastAsiaTheme="minorHAnsi" w:hAnsi="Arial" w:cs="Arial"/>
                <w:sz w:val="22"/>
                <w:szCs w:val="22"/>
                <w:lang w:eastAsia="en-US"/>
              </w:rPr>
              <w:t xml:space="preserve">Délka soudního řízení je definována jako počet dní ode dne nápadu věci </w:t>
            </w:r>
            <w:r w:rsidRPr="002066DD">
              <w:rPr>
                <w:rFonts w:ascii="Arial" w:eastAsiaTheme="minorHAnsi" w:hAnsi="Arial" w:cs="Arial"/>
                <w:sz w:val="22"/>
                <w:szCs w:val="22"/>
                <w:lang w:eastAsia="en-US"/>
              </w:rPr>
              <w:t>do dne právní</w:t>
            </w:r>
            <w:r w:rsidRPr="000D22A5">
              <w:rPr>
                <w:rFonts w:ascii="Arial" w:eastAsiaTheme="minorHAnsi" w:hAnsi="Arial" w:cs="Arial"/>
                <w:sz w:val="22"/>
                <w:szCs w:val="22"/>
                <w:lang w:eastAsia="en-US"/>
              </w:rPr>
              <w:t xml:space="preserve"> moci rozhodnutí. Indikáto</w:t>
            </w:r>
            <w:r w:rsidRPr="00440875">
              <w:rPr>
                <w:rFonts w:ascii="Arial" w:eastAsiaTheme="minorHAnsi" w:hAnsi="Arial" w:cs="Arial"/>
                <w:sz w:val="22"/>
                <w:szCs w:val="22"/>
                <w:lang w:eastAsia="en-US"/>
              </w:rPr>
              <w:t>r je vypočten jako průměrná délka všech občanskoprávních</w:t>
            </w:r>
          </w:p>
          <w:p w14:paraId="494CE09A" w14:textId="77777777" w:rsidR="00510B5A" w:rsidRDefault="00510B5A" w:rsidP="00362C76">
            <w:pPr>
              <w:jc w:val="both"/>
              <w:rPr>
                <w:rFonts w:ascii="Arial" w:eastAsiaTheme="minorHAnsi" w:hAnsi="Arial" w:cs="Arial"/>
                <w:sz w:val="22"/>
                <w:szCs w:val="22"/>
                <w:lang w:eastAsia="en-US"/>
              </w:rPr>
            </w:pPr>
            <w:r w:rsidRPr="00440875">
              <w:rPr>
                <w:rFonts w:ascii="Arial" w:eastAsiaTheme="minorHAnsi" w:hAnsi="Arial" w:cs="Arial"/>
                <w:sz w:val="22"/>
                <w:szCs w:val="22"/>
                <w:lang w:eastAsia="en-US"/>
              </w:rPr>
              <w:t xml:space="preserve">řízení, </w:t>
            </w:r>
            <w:r w:rsidRPr="002066DD">
              <w:rPr>
                <w:rFonts w:ascii="Arial" w:eastAsiaTheme="minorHAnsi" w:hAnsi="Arial" w:cs="Arial"/>
                <w:sz w:val="22"/>
                <w:szCs w:val="22"/>
                <w:lang w:eastAsia="en-US"/>
              </w:rPr>
              <w:t xml:space="preserve">která </w:t>
            </w:r>
            <w:r w:rsidRPr="00440875">
              <w:rPr>
                <w:rFonts w:ascii="Arial" w:eastAsiaTheme="minorHAnsi" w:hAnsi="Arial" w:cs="Arial"/>
                <w:sz w:val="22"/>
                <w:szCs w:val="22"/>
                <w:lang w:eastAsia="en-US"/>
              </w:rPr>
              <w:t>okresní a krajské soudy pravomocně ukončí v daném vykazovaném roce.</w:t>
            </w:r>
            <w:r>
              <w:rPr>
                <w:rFonts w:ascii="Arial" w:eastAsiaTheme="minorHAnsi" w:hAnsi="Arial" w:cs="Arial"/>
                <w:sz w:val="22"/>
                <w:szCs w:val="22"/>
                <w:lang w:eastAsia="en-US"/>
              </w:rPr>
              <w:t xml:space="preserve"> Jako doplňující indikátor je sledována směrodatná odchylka vypočítaná podle následujícího vzorce: </w:t>
            </w:r>
          </w:p>
          <w:p w14:paraId="2551482B" w14:textId="77777777" w:rsidR="00510B5A" w:rsidRDefault="00510B5A" w:rsidP="00362C76">
            <w:pPr>
              <w:jc w:val="both"/>
              <w:rPr>
                <w:rFonts w:ascii="Arial" w:eastAsiaTheme="minorHAnsi" w:hAnsi="Arial" w:cs="Arial"/>
                <w:sz w:val="22"/>
                <w:szCs w:val="22"/>
                <w:lang w:eastAsia="en-US"/>
              </w:rPr>
            </w:pPr>
          </w:p>
          <w:p w14:paraId="3A4A5364" w14:textId="77777777" w:rsidR="00510B5A" w:rsidRDefault="00510B5A" w:rsidP="00362C76">
            <w:pPr>
              <w:jc w:val="both"/>
              <w:rPr>
                <w:rFonts w:ascii="Arial" w:eastAsiaTheme="minorHAnsi" w:hAnsi="Arial" w:cs="Arial"/>
                <w:sz w:val="22"/>
                <w:szCs w:val="22"/>
                <w:lang w:eastAsia="en-US"/>
              </w:rPr>
            </w:pPr>
            <m:oMath>
              <m:r>
                <m:rPr>
                  <m:sty m:val="bi"/>
                </m:rPr>
                <w:rPr>
                  <w:rFonts w:ascii="Cambria Math" w:hAnsi="Cambria Math"/>
                  <w:sz w:val="26"/>
                  <w:szCs w:val="26"/>
                </w:rPr>
                <m:t xml:space="preserve">SD= </m:t>
              </m:r>
              <m:rad>
                <m:radPr>
                  <m:degHide m:val="1"/>
                  <m:ctrlPr>
                    <w:rPr>
                      <w:rFonts w:ascii="Cambria Math" w:hAnsi="Cambria Math"/>
                      <w:i/>
                      <w:sz w:val="26"/>
                      <w:szCs w:val="26"/>
                      <w:lang w:eastAsia="en-US"/>
                    </w:rPr>
                  </m:ctrlPr>
                </m:radPr>
                <m:deg/>
                <m:e>
                  <m:f>
                    <m:fPr>
                      <m:ctrlPr>
                        <w:rPr>
                          <w:rFonts w:ascii="Cambria Math" w:hAnsi="Cambria Math"/>
                          <w:i/>
                          <w:sz w:val="26"/>
                          <w:szCs w:val="26"/>
                          <w:lang w:eastAsia="en-US"/>
                        </w:rPr>
                      </m:ctrlPr>
                    </m:fPr>
                    <m:num>
                      <m:r>
                        <m:rPr>
                          <m:sty m:val="bi"/>
                        </m:rPr>
                        <w:rPr>
                          <w:rFonts w:ascii="Cambria Math" w:hAnsi="Cambria Math"/>
                          <w:sz w:val="26"/>
                          <w:szCs w:val="26"/>
                        </w:rPr>
                        <m:t>1</m:t>
                      </m:r>
                    </m:num>
                    <m:den>
                      <m:r>
                        <m:rPr>
                          <m:sty m:val="bi"/>
                        </m:rPr>
                        <w:rPr>
                          <w:rFonts w:ascii="Cambria Math" w:hAnsi="Cambria Math"/>
                          <w:sz w:val="26"/>
                          <w:szCs w:val="26"/>
                        </w:rPr>
                        <m:t>86</m:t>
                      </m:r>
                    </m:den>
                  </m:f>
                  <m:r>
                    <m:rPr>
                      <m:sty m:val="bi"/>
                    </m:rPr>
                    <w:rPr>
                      <w:rFonts w:ascii="Cambria Math" w:hAnsi="Cambria Math"/>
                      <w:sz w:val="26"/>
                      <w:szCs w:val="26"/>
                    </w:rPr>
                    <m:t>*</m:t>
                  </m:r>
                  <m:nary>
                    <m:naryPr>
                      <m:chr m:val="∑"/>
                      <m:limLoc m:val="undOvr"/>
                      <m:ctrlPr>
                        <w:rPr>
                          <w:rFonts w:ascii="Cambria Math" w:hAnsi="Cambria Math"/>
                          <w:i/>
                          <w:sz w:val="26"/>
                          <w:szCs w:val="26"/>
                          <w:lang w:eastAsia="en-US"/>
                        </w:rPr>
                      </m:ctrlPr>
                    </m:naryPr>
                    <m:sub>
                      <m:r>
                        <m:rPr>
                          <m:sty m:val="bi"/>
                        </m:rPr>
                        <w:rPr>
                          <w:rFonts w:ascii="Cambria Math" w:hAnsi="Cambria Math"/>
                          <w:sz w:val="26"/>
                          <w:szCs w:val="26"/>
                        </w:rPr>
                        <m:t>i=1</m:t>
                      </m:r>
                    </m:sub>
                    <m:sup>
                      <m:r>
                        <m:rPr>
                          <m:sty m:val="bi"/>
                        </m:rPr>
                        <w:rPr>
                          <w:rFonts w:ascii="Cambria Math" w:hAnsi="Cambria Math"/>
                          <w:sz w:val="26"/>
                          <w:szCs w:val="26"/>
                        </w:rPr>
                        <m:t>86</m:t>
                      </m:r>
                    </m:sup>
                    <m:e>
                      <m:sSup>
                        <m:sSupPr>
                          <m:ctrlPr>
                            <w:rPr>
                              <w:rFonts w:ascii="Cambria Math" w:hAnsi="Cambria Math"/>
                              <w:i/>
                              <w:sz w:val="26"/>
                              <w:szCs w:val="26"/>
                              <w:lang w:eastAsia="en-US"/>
                            </w:rPr>
                          </m:ctrlPr>
                        </m:sSupPr>
                        <m:e>
                          <m:sSub>
                            <m:sSubPr>
                              <m:ctrlPr>
                                <w:rPr>
                                  <w:rFonts w:ascii="Cambria Math" w:hAnsi="Cambria Math"/>
                                  <w:i/>
                                  <w:sz w:val="26"/>
                                  <w:szCs w:val="26"/>
                                  <w:lang w:eastAsia="en-US"/>
                                </w:rPr>
                              </m:ctrlPr>
                            </m:sSubPr>
                            <m:e>
                              <m:r>
                                <m:rPr>
                                  <m:sty m:val="bi"/>
                                </m:rPr>
                                <w:rPr>
                                  <w:rFonts w:ascii="Cambria Math" w:hAnsi="Cambria Math"/>
                                  <w:sz w:val="26"/>
                                  <w:szCs w:val="26"/>
                                </w:rPr>
                                <m:t>(x</m:t>
                              </m:r>
                            </m:e>
                            <m:sub>
                              <m:r>
                                <m:rPr>
                                  <m:sty m:val="bi"/>
                                </m:rPr>
                                <w:rPr>
                                  <w:rFonts w:ascii="Cambria Math" w:hAnsi="Cambria Math"/>
                                  <w:sz w:val="26"/>
                                  <w:szCs w:val="26"/>
                                </w:rPr>
                                <m:t>i</m:t>
                              </m:r>
                            </m:sub>
                          </m:sSub>
                          <m:r>
                            <m:rPr>
                              <m:sty m:val="bi"/>
                            </m:rPr>
                            <w:rPr>
                              <w:rFonts w:ascii="Cambria Math" w:hAnsi="Cambria Math"/>
                              <w:sz w:val="26"/>
                              <w:szCs w:val="26"/>
                            </w:rPr>
                            <m:t>-</m:t>
                          </m:r>
                          <m:acc>
                            <m:accPr>
                              <m:chr m:val="̅"/>
                              <m:ctrlPr>
                                <w:rPr>
                                  <w:rFonts w:ascii="Cambria Math" w:hAnsi="Cambria Math"/>
                                  <w:i/>
                                  <w:sz w:val="26"/>
                                  <w:szCs w:val="26"/>
                                  <w:lang w:eastAsia="en-US"/>
                                </w:rPr>
                              </m:ctrlPr>
                            </m:accPr>
                            <m:e>
                              <m:r>
                                <m:rPr>
                                  <m:sty m:val="bi"/>
                                </m:rPr>
                                <w:rPr>
                                  <w:rFonts w:ascii="Cambria Math" w:hAnsi="Cambria Math"/>
                                  <w:sz w:val="26"/>
                                  <w:szCs w:val="26"/>
                                </w:rPr>
                                <m:t>x</m:t>
                              </m:r>
                            </m:e>
                          </m:acc>
                          <m:r>
                            <m:rPr>
                              <m:sty m:val="bi"/>
                            </m:rPr>
                            <w:rPr>
                              <w:rFonts w:ascii="Cambria Math" w:hAnsi="Cambria Math"/>
                              <w:sz w:val="26"/>
                              <w:szCs w:val="26"/>
                            </w:rPr>
                            <m:t>)</m:t>
                          </m:r>
                        </m:e>
                        <m:sup>
                          <m:r>
                            <m:rPr>
                              <m:sty m:val="bi"/>
                            </m:rPr>
                            <w:rPr>
                              <w:rFonts w:ascii="Cambria Math" w:hAnsi="Cambria Math"/>
                              <w:sz w:val="26"/>
                              <w:szCs w:val="26"/>
                            </w:rPr>
                            <m:t>2</m:t>
                          </m:r>
                        </m:sup>
                      </m:sSup>
                    </m:e>
                  </m:nary>
                </m:e>
              </m:rad>
              <m:r>
                <m:rPr>
                  <m:sty m:val="bi"/>
                </m:rPr>
                <w:rPr>
                  <w:rFonts w:ascii="Cambria Math" w:hAnsi="Cambria Math"/>
                  <w:sz w:val="26"/>
                  <w:szCs w:val="26"/>
                </w:rPr>
                <m:t>,</m:t>
              </m:r>
            </m:oMath>
            <w:r>
              <w:rPr>
                <w:sz w:val="26"/>
                <w:szCs w:val="26"/>
              </w:rPr>
              <w:t xml:space="preserve"> </w:t>
            </w:r>
            <w:r>
              <w:rPr>
                <w:sz w:val="26"/>
                <w:szCs w:val="26"/>
              </w:rPr>
              <w:br/>
            </w:r>
          </w:p>
          <w:p w14:paraId="506DFEE4" w14:textId="77777777" w:rsidR="00510B5A" w:rsidRDefault="00510B5A" w:rsidP="00362C76">
            <w:pPr>
              <w:jc w:val="both"/>
              <w:rPr>
                <w:rFonts w:ascii="Arial" w:eastAsiaTheme="minorHAnsi" w:hAnsi="Arial" w:cs="Arial"/>
                <w:sz w:val="22"/>
                <w:szCs w:val="22"/>
                <w:lang w:eastAsia="en-US"/>
              </w:rPr>
            </w:pPr>
            <w:r w:rsidRPr="00D67A7E">
              <w:rPr>
                <w:rFonts w:ascii="Arial" w:eastAsiaTheme="minorHAnsi" w:hAnsi="Arial" w:cs="Arial"/>
                <w:sz w:val="22"/>
                <w:szCs w:val="22"/>
                <w:lang w:eastAsia="en-US"/>
              </w:rPr>
              <w:t xml:space="preserve">kde </w:t>
            </w:r>
            <w:proofErr w:type="spellStart"/>
            <w:r w:rsidRPr="00D67A7E">
              <w:rPr>
                <w:rFonts w:ascii="Arial" w:eastAsiaTheme="minorHAnsi" w:hAnsi="Arial" w:cs="Arial"/>
                <w:sz w:val="22"/>
                <w:szCs w:val="22"/>
                <w:lang w:eastAsia="en-US"/>
              </w:rPr>
              <w:t>xi</w:t>
            </w:r>
            <w:proofErr w:type="spellEnd"/>
            <w:r w:rsidRPr="00D67A7E">
              <w:rPr>
                <w:rFonts w:ascii="Arial" w:eastAsiaTheme="minorHAnsi" w:hAnsi="Arial" w:cs="Arial"/>
                <w:sz w:val="22"/>
                <w:szCs w:val="22"/>
                <w:lang w:eastAsia="en-US"/>
              </w:rPr>
              <w:t xml:space="preserve"> je hodnota ukazatele v daném období u i-</w:t>
            </w:r>
            <w:proofErr w:type="spellStart"/>
            <w:r w:rsidRPr="00D67A7E">
              <w:rPr>
                <w:rFonts w:ascii="Arial" w:eastAsiaTheme="minorHAnsi" w:hAnsi="Arial" w:cs="Arial"/>
                <w:sz w:val="22"/>
                <w:szCs w:val="22"/>
                <w:lang w:eastAsia="en-US"/>
              </w:rPr>
              <w:t>tého</w:t>
            </w:r>
            <w:proofErr w:type="spellEnd"/>
            <w:r w:rsidRPr="00D67A7E">
              <w:rPr>
                <w:rFonts w:ascii="Arial" w:eastAsiaTheme="minorHAnsi" w:hAnsi="Arial" w:cs="Arial"/>
                <w:sz w:val="22"/>
                <w:szCs w:val="22"/>
                <w:lang w:eastAsia="en-US"/>
              </w:rPr>
              <w:t xml:space="preserve"> soudu a </w:t>
            </w:r>
            <m:oMath>
              <m:acc>
                <m:accPr>
                  <m:chr m:val="̅"/>
                  <m:ctrlPr>
                    <w:rPr>
                      <w:rFonts w:ascii="Cambria Math" w:eastAsiaTheme="minorHAnsi" w:hAnsi="Cambria Math" w:cs="Arial"/>
                      <w:sz w:val="22"/>
                      <w:szCs w:val="22"/>
                      <w:lang w:eastAsia="en-US"/>
                    </w:rPr>
                  </m:ctrlPr>
                </m:accPr>
                <m:e>
                  <m:r>
                    <m:rPr>
                      <m:sty m:val="p"/>
                    </m:rPr>
                    <w:rPr>
                      <w:rFonts w:ascii="Cambria Math" w:eastAsiaTheme="minorHAnsi" w:hAnsi="Cambria Math" w:cs="Arial"/>
                      <w:sz w:val="22"/>
                      <w:szCs w:val="22"/>
                      <w:lang w:eastAsia="en-US"/>
                    </w:rPr>
                    <m:t>x</m:t>
                  </m:r>
                </m:e>
              </m:acc>
            </m:oMath>
            <w:r w:rsidRPr="00D67A7E">
              <w:rPr>
                <w:rFonts w:ascii="Arial" w:eastAsiaTheme="minorHAnsi" w:hAnsi="Arial" w:cs="Arial"/>
                <w:sz w:val="22"/>
                <w:szCs w:val="22"/>
                <w:lang w:eastAsia="en-US"/>
              </w:rPr>
              <w:t xml:space="preserve"> je průměr ukazatele v daném období.</w:t>
            </w:r>
          </w:p>
          <w:p w14:paraId="26D84952" w14:textId="77777777" w:rsidR="00510B5A" w:rsidRPr="002066DD" w:rsidRDefault="00510B5A" w:rsidP="00362C76">
            <w:pPr>
              <w:jc w:val="both"/>
              <w:rPr>
                <w:rFonts w:ascii="Arial" w:hAnsi="Arial" w:cs="Arial"/>
                <w:sz w:val="22"/>
                <w:szCs w:val="22"/>
                <w:lang w:eastAsia="en-US"/>
              </w:rPr>
            </w:pPr>
          </w:p>
        </w:tc>
      </w:tr>
      <w:tr w:rsidR="00510B5A" w14:paraId="1884ECAA" w14:textId="77777777" w:rsidTr="00510B5A">
        <w:tc>
          <w:tcPr>
            <w:tcW w:w="2802" w:type="dxa"/>
            <w:hideMark/>
          </w:tcPr>
          <w:p w14:paraId="5068FA1A" w14:textId="77777777" w:rsidR="00510B5A" w:rsidRDefault="00510B5A" w:rsidP="00003B31">
            <w:pPr>
              <w:rPr>
                <w:rFonts w:ascii="Arial" w:hAnsi="Arial" w:cs="Arial"/>
                <w:sz w:val="22"/>
                <w:szCs w:val="22"/>
                <w:lang w:eastAsia="en-US"/>
              </w:rPr>
            </w:pPr>
            <w:r>
              <w:rPr>
                <w:rFonts w:ascii="Arial" w:hAnsi="Arial" w:cs="Arial"/>
                <w:sz w:val="22"/>
                <w:szCs w:val="22"/>
                <w:lang w:eastAsia="en-US"/>
              </w:rPr>
              <w:t>Jednotka:</w:t>
            </w:r>
          </w:p>
        </w:tc>
        <w:tc>
          <w:tcPr>
            <w:tcW w:w="6486" w:type="dxa"/>
            <w:hideMark/>
          </w:tcPr>
          <w:p w14:paraId="664FA54A" w14:textId="77777777" w:rsidR="00510B5A" w:rsidRPr="000D22A5" w:rsidRDefault="00510B5A" w:rsidP="00362C76">
            <w:pPr>
              <w:jc w:val="both"/>
              <w:rPr>
                <w:rFonts w:ascii="Arial" w:hAnsi="Arial" w:cs="Arial"/>
                <w:sz w:val="22"/>
                <w:szCs w:val="22"/>
                <w:lang w:eastAsia="en-US"/>
              </w:rPr>
            </w:pPr>
            <w:r w:rsidRPr="002066DD">
              <w:rPr>
                <w:rFonts w:ascii="Arial" w:hAnsi="Arial" w:cs="Arial"/>
                <w:sz w:val="22"/>
                <w:szCs w:val="22"/>
                <w:lang w:eastAsia="en-US"/>
              </w:rPr>
              <w:t>Počet</w:t>
            </w:r>
          </w:p>
        </w:tc>
      </w:tr>
      <w:tr w:rsidR="00510B5A" w14:paraId="3A1EE9D1" w14:textId="77777777" w:rsidTr="00510B5A">
        <w:tc>
          <w:tcPr>
            <w:tcW w:w="2802" w:type="dxa"/>
            <w:hideMark/>
          </w:tcPr>
          <w:p w14:paraId="3E77F4FF" w14:textId="77777777" w:rsidR="00510B5A" w:rsidRDefault="00510B5A" w:rsidP="00003B31">
            <w:pPr>
              <w:rPr>
                <w:rFonts w:ascii="Arial" w:hAnsi="Arial" w:cs="Arial"/>
                <w:sz w:val="22"/>
                <w:szCs w:val="22"/>
                <w:lang w:eastAsia="en-US"/>
              </w:rPr>
            </w:pPr>
            <w:r>
              <w:rPr>
                <w:rFonts w:ascii="Arial" w:hAnsi="Arial" w:cs="Arial"/>
                <w:sz w:val="22"/>
                <w:szCs w:val="22"/>
                <w:lang w:eastAsia="en-US"/>
              </w:rPr>
              <w:t xml:space="preserve">Gestor: </w:t>
            </w:r>
          </w:p>
        </w:tc>
        <w:tc>
          <w:tcPr>
            <w:tcW w:w="6486" w:type="dxa"/>
            <w:hideMark/>
          </w:tcPr>
          <w:p w14:paraId="1AFEC02B" w14:textId="77777777" w:rsidR="00510B5A" w:rsidRPr="000D22A5" w:rsidRDefault="00510B5A" w:rsidP="00362C76">
            <w:pPr>
              <w:jc w:val="both"/>
              <w:rPr>
                <w:rFonts w:ascii="Arial" w:hAnsi="Arial" w:cs="Arial"/>
                <w:sz w:val="22"/>
                <w:szCs w:val="22"/>
                <w:lang w:eastAsia="en-US"/>
              </w:rPr>
            </w:pPr>
            <w:r>
              <w:rPr>
                <w:rFonts w:ascii="Arial" w:hAnsi="Arial" w:cs="Arial"/>
                <w:sz w:val="22"/>
                <w:szCs w:val="22"/>
                <w:lang w:eastAsia="en-US"/>
              </w:rPr>
              <w:t>Ministerstvo spravedlnosti</w:t>
            </w:r>
          </w:p>
        </w:tc>
      </w:tr>
      <w:tr w:rsidR="00510B5A" w14:paraId="6B25F9DC" w14:textId="77777777" w:rsidTr="00510B5A">
        <w:tc>
          <w:tcPr>
            <w:tcW w:w="2802" w:type="dxa"/>
            <w:hideMark/>
          </w:tcPr>
          <w:p w14:paraId="4EFCD99B" w14:textId="77777777" w:rsidR="00510B5A" w:rsidRDefault="00510B5A" w:rsidP="00003B31">
            <w:pPr>
              <w:rPr>
                <w:rFonts w:ascii="Arial" w:hAnsi="Arial" w:cs="Arial"/>
                <w:sz w:val="22"/>
                <w:szCs w:val="22"/>
                <w:lang w:eastAsia="en-US"/>
              </w:rPr>
            </w:pPr>
            <w:r>
              <w:rPr>
                <w:rFonts w:ascii="Arial" w:hAnsi="Arial" w:cs="Arial"/>
                <w:sz w:val="22"/>
                <w:szCs w:val="22"/>
                <w:lang w:eastAsia="en-US"/>
              </w:rPr>
              <w:t xml:space="preserve">Význam indikátoru: </w:t>
            </w:r>
          </w:p>
        </w:tc>
        <w:tc>
          <w:tcPr>
            <w:tcW w:w="6486" w:type="dxa"/>
          </w:tcPr>
          <w:p w14:paraId="5534F19D" w14:textId="77777777" w:rsidR="00510B5A" w:rsidRPr="002066DD" w:rsidRDefault="00510B5A" w:rsidP="00362C76">
            <w:pPr>
              <w:autoSpaceDE w:val="0"/>
              <w:autoSpaceDN w:val="0"/>
              <w:adjustRightInd w:val="0"/>
              <w:jc w:val="both"/>
              <w:rPr>
                <w:rFonts w:ascii="Arial" w:hAnsi="Arial" w:cs="Arial"/>
                <w:sz w:val="22"/>
                <w:szCs w:val="22"/>
                <w:lang w:eastAsia="en-US"/>
              </w:rPr>
            </w:pPr>
            <w:r w:rsidRPr="002066DD">
              <w:rPr>
                <w:rFonts w:ascii="Arial" w:hAnsi="Arial" w:cs="Arial"/>
                <w:sz w:val="22"/>
                <w:szCs w:val="22"/>
                <w:lang w:eastAsia="en-US"/>
              </w:rPr>
              <w:t>Dlouhodobá efektivita vládnutí:</w:t>
            </w:r>
            <w:r w:rsidRPr="00440875">
              <w:rPr>
                <w:rFonts w:ascii="Arial" w:eastAsiaTheme="minorHAnsi" w:hAnsi="Arial" w:cs="Arial"/>
                <w:sz w:val="22"/>
                <w:szCs w:val="22"/>
                <w:lang w:eastAsia="en-US"/>
              </w:rPr>
              <w:t xml:space="preserve"> Indikátor je ukazatelem stabilizace a výkonnosti soudní soustavy. Vypovídá nejen o délce</w:t>
            </w:r>
            <w:r>
              <w:rPr>
                <w:rFonts w:ascii="Arial" w:eastAsiaTheme="minorHAnsi" w:hAnsi="Arial" w:cs="Arial"/>
                <w:sz w:val="22"/>
                <w:szCs w:val="22"/>
                <w:lang w:eastAsia="en-US"/>
              </w:rPr>
              <w:t xml:space="preserve"> </w:t>
            </w:r>
            <w:r w:rsidRPr="00D67A7E">
              <w:rPr>
                <w:rFonts w:ascii="Arial" w:hAnsi="Arial" w:cs="Arial"/>
                <w:sz w:val="22"/>
                <w:szCs w:val="22"/>
                <w:lang w:eastAsia="en-US"/>
              </w:rPr>
              <w:t>soudních řízení a efektivitě soudnictví z hlediska občanů, ale nepřímo též i o úrovni organizace práce soudů. Doplňující indikátor sleduje, jak se průměrná délka řízení u jednotlivých soudů liší od sebe navzájem, a jak se liší od průměru</w:t>
            </w:r>
            <w:r>
              <w:rPr>
                <w:rFonts w:ascii="Arial" w:hAnsi="Arial" w:cs="Arial"/>
                <w:sz w:val="22"/>
                <w:szCs w:val="22"/>
                <w:lang w:eastAsia="en-US"/>
              </w:rPr>
              <w:t xml:space="preserve">. Čím menší hodnota směrodatné odchylky, tím menší rozdíly v délkách řízení u jednotlivých soudů. </w:t>
            </w:r>
          </w:p>
        </w:tc>
      </w:tr>
      <w:tr w:rsidR="00510B5A" w14:paraId="2F14016B" w14:textId="77777777" w:rsidTr="00510B5A">
        <w:tc>
          <w:tcPr>
            <w:tcW w:w="2802" w:type="dxa"/>
            <w:hideMark/>
          </w:tcPr>
          <w:p w14:paraId="2AEF675B" w14:textId="77777777" w:rsidR="00510B5A" w:rsidRDefault="00510B5A" w:rsidP="00003B31">
            <w:pPr>
              <w:rPr>
                <w:rFonts w:ascii="Arial" w:hAnsi="Arial" w:cs="Arial"/>
                <w:sz w:val="22"/>
                <w:szCs w:val="22"/>
                <w:lang w:eastAsia="en-US"/>
              </w:rPr>
            </w:pPr>
            <w:r>
              <w:rPr>
                <w:rFonts w:ascii="Arial" w:hAnsi="Arial" w:cs="Arial"/>
                <w:sz w:val="22"/>
                <w:szCs w:val="22"/>
                <w:lang w:eastAsia="en-US"/>
              </w:rPr>
              <w:t xml:space="preserve">Časová řada: </w:t>
            </w:r>
          </w:p>
        </w:tc>
        <w:tc>
          <w:tcPr>
            <w:tcW w:w="6486" w:type="dxa"/>
            <w:hideMark/>
          </w:tcPr>
          <w:p w14:paraId="3D5CE041" w14:textId="77777777" w:rsidR="00510B5A" w:rsidRPr="000D22A5" w:rsidRDefault="00510B5A" w:rsidP="00362C76">
            <w:pPr>
              <w:jc w:val="both"/>
              <w:rPr>
                <w:rFonts w:ascii="Arial" w:hAnsi="Arial" w:cs="Arial"/>
                <w:sz w:val="22"/>
                <w:szCs w:val="22"/>
                <w:lang w:eastAsia="en-US"/>
              </w:rPr>
            </w:pPr>
            <w:r w:rsidRPr="002066DD">
              <w:rPr>
                <w:rFonts w:ascii="Arial" w:hAnsi="Arial" w:cs="Arial"/>
                <w:sz w:val="22"/>
                <w:szCs w:val="22"/>
                <w:lang w:eastAsia="en-US"/>
              </w:rPr>
              <w:t xml:space="preserve">Od roku </w:t>
            </w:r>
            <w:r w:rsidRPr="000D22A5">
              <w:rPr>
                <w:rFonts w:ascii="Arial" w:hAnsi="Arial" w:cs="Arial"/>
                <w:sz w:val="22"/>
                <w:szCs w:val="22"/>
                <w:lang w:eastAsia="en-US"/>
              </w:rPr>
              <w:t>1995</w:t>
            </w:r>
          </w:p>
        </w:tc>
      </w:tr>
      <w:tr w:rsidR="00510B5A" w14:paraId="76255BD5" w14:textId="77777777" w:rsidTr="00510B5A">
        <w:tc>
          <w:tcPr>
            <w:tcW w:w="2802" w:type="dxa"/>
            <w:hideMark/>
          </w:tcPr>
          <w:p w14:paraId="2D873D9D" w14:textId="77777777" w:rsidR="00510B5A" w:rsidRDefault="00510B5A" w:rsidP="00003B31">
            <w:pPr>
              <w:rPr>
                <w:rFonts w:ascii="Arial" w:hAnsi="Arial" w:cs="Arial"/>
                <w:sz w:val="22"/>
                <w:szCs w:val="22"/>
                <w:lang w:eastAsia="en-US"/>
              </w:rPr>
            </w:pPr>
            <w:r>
              <w:rPr>
                <w:rFonts w:ascii="Arial" w:hAnsi="Arial" w:cs="Arial"/>
                <w:sz w:val="22"/>
                <w:szCs w:val="22"/>
                <w:lang w:eastAsia="en-US"/>
              </w:rPr>
              <w:t xml:space="preserve">Frekvence výstupu: </w:t>
            </w:r>
          </w:p>
        </w:tc>
        <w:tc>
          <w:tcPr>
            <w:tcW w:w="6486" w:type="dxa"/>
            <w:hideMark/>
          </w:tcPr>
          <w:p w14:paraId="38537E69" w14:textId="77777777" w:rsidR="00510B5A" w:rsidRPr="000D22A5" w:rsidRDefault="00510B5A" w:rsidP="00362C76">
            <w:pPr>
              <w:jc w:val="both"/>
              <w:rPr>
                <w:rFonts w:ascii="Arial" w:hAnsi="Arial" w:cs="Arial"/>
                <w:sz w:val="22"/>
                <w:szCs w:val="22"/>
                <w:lang w:eastAsia="en-US"/>
              </w:rPr>
            </w:pPr>
            <w:r w:rsidRPr="002066DD">
              <w:rPr>
                <w:rFonts w:ascii="Arial" w:hAnsi="Arial" w:cs="Arial"/>
                <w:sz w:val="22"/>
                <w:szCs w:val="22"/>
                <w:lang w:eastAsia="en-US"/>
              </w:rPr>
              <w:t xml:space="preserve">Ročně </w:t>
            </w:r>
          </w:p>
        </w:tc>
      </w:tr>
      <w:tr w:rsidR="00510B5A" w14:paraId="6EE0471D" w14:textId="77777777" w:rsidTr="00510B5A">
        <w:trPr>
          <w:trHeight w:val="70"/>
        </w:trPr>
        <w:tc>
          <w:tcPr>
            <w:tcW w:w="2802" w:type="dxa"/>
            <w:hideMark/>
          </w:tcPr>
          <w:p w14:paraId="1240E47B" w14:textId="77777777" w:rsidR="00510B5A" w:rsidRDefault="00510B5A" w:rsidP="00003B31">
            <w:pPr>
              <w:rPr>
                <w:rFonts w:ascii="Arial" w:hAnsi="Arial" w:cs="Arial"/>
                <w:sz w:val="22"/>
                <w:szCs w:val="22"/>
                <w:lang w:eastAsia="en-US"/>
              </w:rPr>
            </w:pPr>
            <w:r>
              <w:rPr>
                <w:rFonts w:ascii="Arial" w:hAnsi="Arial" w:cs="Arial"/>
                <w:sz w:val="22"/>
                <w:szCs w:val="22"/>
                <w:lang w:eastAsia="en-US"/>
              </w:rPr>
              <w:t xml:space="preserve">Členění indikátoru: </w:t>
            </w:r>
          </w:p>
        </w:tc>
        <w:tc>
          <w:tcPr>
            <w:tcW w:w="6486" w:type="dxa"/>
            <w:hideMark/>
          </w:tcPr>
          <w:p w14:paraId="5E89FDF3" w14:textId="77777777" w:rsidR="00510B5A" w:rsidRPr="000D22A5" w:rsidRDefault="00510B5A" w:rsidP="00362C76">
            <w:pPr>
              <w:jc w:val="both"/>
              <w:rPr>
                <w:rFonts w:ascii="Arial" w:hAnsi="Arial" w:cs="Arial"/>
                <w:sz w:val="22"/>
                <w:szCs w:val="22"/>
                <w:lang w:eastAsia="en-US"/>
              </w:rPr>
            </w:pPr>
            <w:r w:rsidRPr="002066DD">
              <w:rPr>
                <w:rFonts w:ascii="Arial" w:hAnsi="Arial" w:cs="Arial"/>
                <w:sz w:val="22"/>
                <w:szCs w:val="22"/>
                <w:lang w:eastAsia="en-US"/>
              </w:rPr>
              <w:t>-</w:t>
            </w:r>
          </w:p>
        </w:tc>
      </w:tr>
      <w:tr w:rsidR="00510B5A" w14:paraId="33FB236B" w14:textId="77777777" w:rsidTr="00510B5A">
        <w:trPr>
          <w:trHeight w:val="70"/>
        </w:trPr>
        <w:tc>
          <w:tcPr>
            <w:tcW w:w="2802" w:type="dxa"/>
            <w:hideMark/>
          </w:tcPr>
          <w:p w14:paraId="2D151CB2" w14:textId="77777777" w:rsidR="00510B5A" w:rsidRDefault="00510B5A" w:rsidP="00003B31">
            <w:pPr>
              <w:rPr>
                <w:rFonts w:ascii="Arial" w:hAnsi="Arial" w:cs="Arial"/>
                <w:sz w:val="22"/>
                <w:szCs w:val="22"/>
                <w:lang w:eastAsia="en-US"/>
              </w:rPr>
            </w:pPr>
            <w:r>
              <w:rPr>
                <w:rFonts w:ascii="Arial" w:hAnsi="Arial" w:cs="Arial"/>
                <w:sz w:val="22"/>
                <w:szCs w:val="22"/>
                <w:lang w:eastAsia="en-US"/>
              </w:rPr>
              <w:t>Mezinárodní srovnání:</w:t>
            </w:r>
          </w:p>
        </w:tc>
        <w:tc>
          <w:tcPr>
            <w:tcW w:w="6486" w:type="dxa"/>
            <w:hideMark/>
          </w:tcPr>
          <w:p w14:paraId="1DFAA791" w14:textId="77777777" w:rsidR="00510B5A" w:rsidRPr="000D22A5" w:rsidRDefault="00510B5A" w:rsidP="00362C76">
            <w:pPr>
              <w:jc w:val="both"/>
              <w:rPr>
                <w:rFonts w:ascii="Arial" w:hAnsi="Arial" w:cs="Arial"/>
                <w:sz w:val="22"/>
                <w:szCs w:val="22"/>
                <w:lang w:eastAsia="en-US"/>
              </w:rPr>
            </w:pPr>
            <w:r>
              <w:rPr>
                <w:rFonts w:ascii="Arial" w:hAnsi="Arial" w:cs="Arial"/>
                <w:sz w:val="22"/>
                <w:szCs w:val="22"/>
                <w:lang w:eastAsia="en-US"/>
              </w:rPr>
              <w:t xml:space="preserve">EU Justice </w:t>
            </w:r>
            <w:proofErr w:type="spellStart"/>
            <w:r>
              <w:rPr>
                <w:rFonts w:ascii="Arial" w:hAnsi="Arial" w:cs="Arial"/>
                <w:sz w:val="22"/>
                <w:szCs w:val="22"/>
                <w:lang w:eastAsia="en-US"/>
              </w:rPr>
              <w:t>Scoreboard</w:t>
            </w:r>
            <w:proofErr w:type="spellEnd"/>
          </w:p>
        </w:tc>
      </w:tr>
    </w:tbl>
    <w:p w14:paraId="73B2A89E" w14:textId="77777777" w:rsidR="00146D1C" w:rsidRDefault="00146D1C">
      <w:pPr>
        <w:spacing w:after="200" w:line="276" w:lineRule="auto"/>
        <w:rPr>
          <w:rFonts w:ascii="Arial" w:eastAsiaTheme="majorEastAsia" w:hAnsi="Arial" w:cs="Arial"/>
          <w:b/>
          <w:bCs/>
          <w:kern w:val="32"/>
          <w:sz w:val="28"/>
          <w:szCs w:val="32"/>
          <w:lang w:eastAsia="en-US"/>
        </w:rPr>
      </w:pPr>
      <w:r>
        <w:br w:type="page"/>
      </w:r>
    </w:p>
    <w:p w14:paraId="10C306BB" w14:textId="7AEAFFB7" w:rsidR="00ED0F2A" w:rsidRDefault="00ED0F2A" w:rsidP="006F6A0F">
      <w:pPr>
        <w:pStyle w:val="Nadpis1"/>
        <w:numPr>
          <w:ilvl w:val="0"/>
          <w:numId w:val="0"/>
        </w:numPr>
        <w:ind w:left="567" w:hanging="567"/>
      </w:pPr>
      <w:bookmarkStart w:id="8" w:name="_Toc476663541"/>
      <w:r>
        <w:lastRenderedPageBreak/>
        <w:t>Přehled</w:t>
      </w:r>
      <w:r w:rsidRPr="00C54BB7">
        <w:t xml:space="preserve"> indikátorů</w:t>
      </w:r>
      <w:bookmarkEnd w:id="8"/>
    </w:p>
    <w:p w14:paraId="4B865ED2" w14:textId="77777777" w:rsidR="006762A3" w:rsidRDefault="006762A3" w:rsidP="006762A3">
      <w:pPr>
        <w:pStyle w:val="r2030nelovan"/>
        <w:numPr>
          <w:ilvl w:val="2"/>
          <w:numId w:val="15"/>
        </w:numPr>
        <w:spacing w:before="120" w:after="0" w:line="276" w:lineRule="auto"/>
      </w:pPr>
      <w:r w:rsidRPr="006762A3">
        <w:t xml:space="preserve">Zaměstnanost matek s dětmi do šesti let věku </w:t>
      </w:r>
    </w:p>
    <w:p w14:paraId="30403B88" w14:textId="0EAA148E" w:rsidR="006762A3" w:rsidRDefault="006762A3" w:rsidP="006762A3">
      <w:pPr>
        <w:pStyle w:val="r2030nelovan"/>
        <w:numPr>
          <w:ilvl w:val="2"/>
          <w:numId w:val="15"/>
        </w:numPr>
        <w:spacing w:before="120" w:after="0" w:line="276" w:lineRule="auto"/>
      </w:pPr>
      <w:r w:rsidRPr="006762A3">
        <w:t>Míra zaměstnanosti matek dle věku dítěte</w:t>
      </w:r>
    </w:p>
    <w:p w14:paraId="326CED55" w14:textId="7CF07833" w:rsidR="00A26C94" w:rsidRPr="006F6A0F" w:rsidRDefault="00A26C94" w:rsidP="006762A3">
      <w:pPr>
        <w:pStyle w:val="r2030nelovan"/>
        <w:numPr>
          <w:ilvl w:val="2"/>
          <w:numId w:val="15"/>
        </w:numPr>
        <w:spacing w:before="120" w:after="0" w:line="276" w:lineRule="auto"/>
      </w:pPr>
      <w:r w:rsidRPr="006F6A0F">
        <w:t>Relativní míra rizika ohrožení příjmovou chudobou u osob v domácnostech s dětmi ve srovnání s celou populací</w:t>
      </w:r>
    </w:p>
    <w:p w14:paraId="478AC9CF" w14:textId="0E865BBE" w:rsidR="00A26C94" w:rsidRPr="006F6A0F" w:rsidRDefault="00A26C94" w:rsidP="00362C76">
      <w:pPr>
        <w:pStyle w:val="r2030nelovan"/>
        <w:numPr>
          <w:ilvl w:val="2"/>
          <w:numId w:val="15"/>
        </w:numPr>
        <w:spacing w:before="120" w:after="0" w:line="276" w:lineRule="auto"/>
        <w:ind w:left="567" w:hanging="567"/>
      </w:pPr>
      <w:r w:rsidRPr="006F6A0F">
        <w:t>Průměrný disponibilní příjem na osobu v rodinách s dětmi</w:t>
      </w:r>
      <w:r w:rsidRPr="006F6A0F" w:rsidDel="003F7793">
        <w:t xml:space="preserve"> </w:t>
      </w:r>
      <w:r w:rsidRPr="006F6A0F">
        <w:t>ve srovnání s ostatními typy domáctností</w:t>
      </w:r>
    </w:p>
    <w:p w14:paraId="00F13A29" w14:textId="793F131D" w:rsidR="00B64FA0" w:rsidRPr="006F6A0F" w:rsidRDefault="00B64FA0" w:rsidP="00362C76">
      <w:pPr>
        <w:pStyle w:val="r2030nelovan"/>
        <w:numPr>
          <w:ilvl w:val="2"/>
          <w:numId w:val="15"/>
        </w:numPr>
        <w:spacing w:before="120" w:after="0" w:line="276" w:lineRule="auto"/>
        <w:ind w:left="567" w:hanging="567"/>
      </w:pPr>
      <w:r w:rsidRPr="006F6A0F">
        <w:t>Úhrnná plodnost</w:t>
      </w:r>
    </w:p>
    <w:p w14:paraId="3BB9E729" w14:textId="11253759" w:rsidR="00A26C94" w:rsidRPr="006F6A0F" w:rsidRDefault="00A26C94" w:rsidP="00362C76">
      <w:pPr>
        <w:pStyle w:val="r2030nelovan"/>
        <w:spacing w:before="120" w:after="0" w:line="276" w:lineRule="auto"/>
        <w:ind w:left="567" w:hanging="567"/>
      </w:pPr>
      <w:r w:rsidRPr="006F6A0F">
        <w:t>1.2.1 Relativní míra rizika ohrožení příjmovou chudobou u osob v domácnostech s dětmi se specifickými potřebami ve srovnání s celou populací</w:t>
      </w:r>
    </w:p>
    <w:p w14:paraId="0D82C0AE" w14:textId="77777777" w:rsidR="00ED0F2A" w:rsidRPr="006F6A0F" w:rsidRDefault="00ED0F2A" w:rsidP="00362C76">
      <w:pPr>
        <w:pStyle w:val="r2030nelovan"/>
        <w:tabs>
          <w:tab w:val="left" w:pos="142"/>
        </w:tabs>
        <w:spacing w:before="120" w:after="0" w:line="276" w:lineRule="auto"/>
        <w:ind w:left="567" w:hanging="567"/>
      </w:pPr>
      <w:r w:rsidRPr="006F6A0F">
        <w:t xml:space="preserve">2.1.1 Nenaplněná poptávka dle jednotlivých profesí/kvalifikací </w:t>
      </w:r>
    </w:p>
    <w:p w14:paraId="6C269BBD" w14:textId="77777777" w:rsidR="00ED0F2A" w:rsidRPr="006F6A0F" w:rsidRDefault="00ED0F2A" w:rsidP="00362C76">
      <w:pPr>
        <w:pStyle w:val="r2030nelovan"/>
        <w:spacing w:before="120" w:after="0" w:line="276" w:lineRule="auto"/>
        <w:ind w:left="567" w:hanging="567"/>
      </w:pPr>
      <w:r w:rsidRPr="006F6A0F">
        <w:t>2.1.2 Podíly 90/10, 90/50, 50/10 percentilu měsíční mzdy</w:t>
      </w:r>
    </w:p>
    <w:p w14:paraId="20319B45" w14:textId="77777777" w:rsidR="00ED0F2A" w:rsidRPr="006F6A0F" w:rsidRDefault="00ED0F2A" w:rsidP="00362C76">
      <w:pPr>
        <w:pStyle w:val="r2030nelovan"/>
        <w:spacing w:before="120" w:after="0" w:line="276" w:lineRule="auto"/>
        <w:ind w:left="567" w:hanging="567"/>
      </w:pPr>
      <w:r w:rsidRPr="006F6A0F">
        <w:t>2.2.1 Míra zaměstnanosti uvedených skupin</w:t>
      </w:r>
    </w:p>
    <w:p w14:paraId="2A1E786A" w14:textId="77777777" w:rsidR="00ED0F2A" w:rsidRPr="006F6A0F" w:rsidRDefault="00ED0F2A" w:rsidP="00362C76">
      <w:pPr>
        <w:pStyle w:val="r2030nelovan"/>
        <w:spacing w:before="120" w:after="0" w:line="276" w:lineRule="auto"/>
        <w:ind w:left="567" w:hanging="567"/>
      </w:pPr>
      <w:r w:rsidRPr="006F6A0F">
        <w:t xml:space="preserve">2.3.1 Obecná míra nezaměstnanosti </w:t>
      </w:r>
    </w:p>
    <w:p w14:paraId="6DFE45E2" w14:textId="77777777" w:rsidR="00ED0F2A" w:rsidRPr="006F6A0F" w:rsidRDefault="00ED0F2A" w:rsidP="00362C76">
      <w:pPr>
        <w:pStyle w:val="r2030nelovan"/>
        <w:spacing w:before="120" w:after="0" w:line="276" w:lineRule="auto"/>
        <w:ind w:left="567" w:hanging="567"/>
      </w:pPr>
      <w:r w:rsidRPr="006F6A0F">
        <w:t>2.4.1 Skutečně odpracované hodiny podle postavení v zaměstnání a věku</w:t>
      </w:r>
    </w:p>
    <w:p w14:paraId="4ECBE4F7" w14:textId="77777777" w:rsidR="00ED0F2A" w:rsidRPr="006F6A0F" w:rsidRDefault="00ED0F2A" w:rsidP="00362C76">
      <w:pPr>
        <w:pStyle w:val="r2030nelovan"/>
        <w:spacing w:before="120" w:after="0" w:line="276" w:lineRule="auto"/>
        <w:ind w:left="567" w:hanging="567"/>
      </w:pPr>
      <w:r w:rsidRPr="006F6A0F">
        <w:t>2.4.2 Podíl pracovníků a pracovnic na dobu určitou</w:t>
      </w:r>
    </w:p>
    <w:p w14:paraId="7F1BA6ED" w14:textId="77777777" w:rsidR="00ED0F2A" w:rsidRPr="006F6A0F" w:rsidRDefault="00ED0F2A" w:rsidP="00362C76">
      <w:pPr>
        <w:pStyle w:val="r2030nelovan"/>
        <w:spacing w:before="120" w:after="0" w:line="276" w:lineRule="auto"/>
        <w:ind w:left="567" w:hanging="567"/>
      </w:pPr>
      <w:r w:rsidRPr="006F6A0F">
        <w:t>2.5.1 Počet cizinců a cizinek žijících v ČR (stavy)</w:t>
      </w:r>
    </w:p>
    <w:p w14:paraId="62DFD213" w14:textId="77777777" w:rsidR="00ED0F2A" w:rsidRPr="006F6A0F" w:rsidRDefault="00ED0F2A" w:rsidP="00362C76">
      <w:pPr>
        <w:pStyle w:val="r2030nelovan"/>
        <w:spacing w:before="120" w:after="0" w:line="276" w:lineRule="auto"/>
        <w:ind w:left="567" w:hanging="567"/>
      </w:pPr>
      <w:r w:rsidRPr="006F6A0F">
        <w:t>2.5.2 Počet imigrantů a imigrantek</w:t>
      </w:r>
    </w:p>
    <w:p w14:paraId="3F8B0608" w14:textId="3391DC75" w:rsidR="00ED0F2A" w:rsidRPr="006F6A0F" w:rsidRDefault="00BB5E38" w:rsidP="00362C76">
      <w:pPr>
        <w:pStyle w:val="r2030nelovan"/>
        <w:spacing w:before="120" w:after="0" w:line="276" w:lineRule="auto"/>
        <w:ind w:left="567" w:hanging="567"/>
      </w:pPr>
      <w:r w:rsidRPr="006F6A0F">
        <w:t xml:space="preserve">2.5.3 </w:t>
      </w:r>
      <w:r w:rsidR="001677B4" w:rsidRPr="006F6A0F">
        <w:t>Míra hrubé</w:t>
      </w:r>
      <w:r w:rsidR="00ED0F2A" w:rsidRPr="006F6A0F">
        <w:t xml:space="preserve"> migrace</w:t>
      </w:r>
    </w:p>
    <w:p w14:paraId="537346A8" w14:textId="225D8D8B" w:rsidR="00ED0F2A" w:rsidRPr="006F6A0F" w:rsidRDefault="00ED0F2A" w:rsidP="00362C76">
      <w:pPr>
        <w:pStyle w:val="r2030nelovan"/>
        <w:spacing w:before="120" w:after="0" w:line="276" w:lineRule="auto"/>
        <w:ind w:left="567" w:hanging="567"/>
      </w:pPr>
      <w:r w:rsidRPr="006F6A0F">
        <w:t xml:space="preserve">2.5.4 Podíl cizinců na </w:t>
      </w:r>
      <w:r w:rsidR="00362C76">
        <w:t>celkovém počtu absolventů vysokých škol</w:t>
      </w:r>
    </w:p>
    <w:p w14:paraId="086A8E80" w14:textId="77777777" w:rsidR="00ED0F2A" w:rsidRPr="006F6A0F" w:rsidRDefault="00ED0F2A" w:rsidP="00362C76">
      <w:pPr>
        <w:pStyle w:val="r2030nelovan"/>
        <w:spacing w:before="120" w:after="0" w:line="276" w:lineRule="auto"/>
        <w:ind w:left="567" w:hanging="567"/>
      </w:pPr>
      <w:r w:rsidRPr="006F6A0F">
        <w:t xml:space="preserve">3.1.1 Míra ohrožení příjmovou chudobou nebo sociálním vyloučením </w:t>
      </w:r>
    </w:p>
    <w:p w14:paraId="7AE97473" w14:textId="77777777" w:rsidR="00ED0F2A" w:rsidRPr="006F6A0F" w:rsidRDefault="00ED0F2A" w:rsidP="00362C76">
      <w:pPr>
        <w:pStyle w:val="r2030nelovan"/>
        <w:spacing w:before="120" w:after="0" w:line="276" w:lineRule="auto"/>
        <w:ind w:left="567" w:hanging="567"/>
      </w:pPr>
      <w:r w:rsidRPr="006F6A0F">
        <w:t>3.2.1 Vývoj příjmů osob ohrožených příjmovou chudobou</w:t>
      </w:r>
    </w:p>
    <w:p w14:paraId="69256991" w14:textId="77777777" w:rsidR="00ED0F2A" w:rsidRPr="006F6A0F" w:rsidRDefault="00ED0F2A" w:rsidP="00362C76">
      <w:pPr>
        <w:pStyle w:val="r2030nelovan"/>
        <w:spacing w:before="120" w:after="0" w:line="276" w:lineRule="auto"/>
        <w:ind w:left="567" w:hanging="567"/>
      </w:pPr>
      <w:r w:rsidRPr="006F6A0F">
        <w:t>3.2.2 Průměrná měsíční mzda</w:t>
      </w:r>
    </w:p>
    <w:p w14:paraId="5B4FE160" w14:textId="77777777" w:rsidR="00ED0F2A" w:rsidRPr="006F6A0F" w:rsidRDefault="00ED0F2A" w:rsidP="00362C76">
      <w:pPr>
        <w:pStyle w:val="r2030nelovan"/>
        <w:spacing w:before="120" w:after="0" w:line="276" w:lineRule="auto"/>
        <w:ind w:left="567" w:hanging="567"/>
      </w:pPr>
      <w:r w:rsidRPr="006F6A0F">
        <w:t>3.2.3 Mediánová měsíční mzda</w:t>
      </w:r>
    </w:p>
    <w:p w14:paraId="228609D3" w14:textId="77777777" w:rsidR="00ED0F2A" w:rsidRPr="006F6A0F" w:rsidRDefault="00ED0F2A" w:rsidP="00362C76">
      <w:pPr>
        <w:pStyle w:val="r2030nelovan"/>
        <w:spacing w:before="120" w:after="0" w:line="276" w:lineRule="auto"/>
        <w:ind w:left="567" w:hanging="567"/>
      </w:pPr>
      <w:r w:rsidRPr="006F6A0F">
        <w:t xml:space="preserve">3.3.1 Gender pay gap </w:t>
      </w:r>
    </w:p>
    <w:p w14:paraId="0B33B75A" w14:textId="77777777" w:rsidR="00ED0F2A" w:rsidRPr="006F6A0F" w:rsidRDefault="00ED0F2A" w:rsidP="00362C76">
      <w:pPr>
        <w:pStyle w:val="r2030nelovan"/>
        <w:spacing w:before="120" w:after="0" w:line="276" w:lineRule="auto"/>
        <w:ind w:left="567" w:hanging="567"/>
      </w:pPr>
      <w:r w:rsidRPr="006F6A0F">
        <w:t xml:space="preserve">3.3.2 Zastoupení žen v zastupitelských a exekutivních orgánech </w:t>
      </w:r>
    </w:p>
    <w:p w14:paraId="5A0DA70C" w14:textId="77777777" w:rsidR="00ED0F2A" w:rsidRPr="006F6A0F" w:rsidRDefault="00ED0F2A" w:rsidP="00362C76">
      <w:pPr>
        <w:pStyle w:val="r2030nelovan"/>
        <w:spacing w:before="120" w:after="0" w:line="276" w:lineRule="auto"/>
        <w:ind w:left="567" w:hanging="567"/>
      </w:pPr>
      <w:r w:rsidRPr="006F6A0F">
        <w:t>3.3.3 Míra ekonomické aktivity žen a mužů</w:t>
      </w:r>
    </w:p>
    <w:p w14:paraId="58CE6FC5" w14:textId="77777777" w:rsidR="00ED0F2A" w:rsidRPr="006F6A0F" w:rsidRDefault="00ED0F2A" w:rsidP="00362C76">
      <w:pPr>
        <w:pStyle w:val="r2030nelovan"/>
        <w:spacing w:before="120" w:after="0" w:line="276" w:lineRule="auto"/>
        <w:ind w:left="567" w:hanging="567"/>
      </w:pPr>
      <w:r w:rsidRPr="006F6A0F">
        <w:t>3.4.1 Míry zaměstnanosti jednotlivých skupin</w:t>
      </w:r>
    </w:p>
    <w:p w14:paraId="02A2AE70" w14:textId="77777777" w:rsidR="00ED0F2A" w:rsidRPr="006F6A0F" w:rsidRDefault="00ED0F2A" w:rsidP="00362C76">
      <w:pPr>
        <w:pStyle w:val="r2030nelovan"/>
        <w:spacing w:before="120" w:after="0" w:line="276" w:lineRule="auto"/>
        <w:ind w:left="567" w:hanging="567"/>
      </w:pPr>
      <w:r w:rsidRPr="006F6A0F">
        <w:t>3.4.2 Pocit diskriminace</w:t>
      </w:r>
    </w:p>
    <w:p w14:paraId="360AB84F" w14:textId="77777777" w:rsidR="00ED0F2A" w:rsidRPr="006F6A0F" w:rsidRDefault="00ED0F2A" w:rsidP="00362C76">
      <w:pPr>
        <w:pStyle w:val="r2030nelovan"/>
        <w:spacing w:before="120" w:after="0" w:line="276" w:lineRule="auto"/>
        <w:ind w:left="567" w:hanging="567"/>
      </w:pPr>
      <w:r w:rsidRPr="006F6A0F">
        <w:t>4.1.1 Podíly studentů dle jednotlivých vzdělávacích drah</w:t>
      </w:r>
    </w:p>
    <w:p w14:paraId="544D7C54" w14:textId="6874FF45" w:rsidR="00ED0F2A" w:rsidRPr="006F6A0F" w:rsidRDefault="00ED0F2A" w:rsidP="00362C76">
      <w:pPr>
        <w:pStyle w:val="r2030nelovan"/>
        <w:spacing w:before="120" w:after="0" w:line="276" w:lineRule="auto"/>
        <w:ind w:left="567" w:hanging="567"/>
      </w:pPr>
      <w:r w:rsidRPr="006F6A0F">
        <w:t xml:space="preserve">4.1.2 Studenti </w:t>
      </w:r>
      <w:r w:rsidR="00D7056F">
        <w:t>vysokých škol</w:t>
      </w:r>
      <w:r w:rsidRPr="006F6A0F">
        <w:t xml:space="preserve"> dle socioekonomického zázemí</w:t>
      </w:r>
    </w:p>
    <w:p w14:paraId="3BA773E3" w14:textId="77777777" w:rsidR="00ED0F2A" w:rsidRPr="006F6A0F" w:rsidRDefault="00ED0F2A" w:rsidP="00362C76">
      <w:pPr>
        <w:pStyle w:val="r2030nelovan"/>
        <w:spacing w:before="120" w:after="0" w:line="276" w:lineRule="auto"/>
        <w:ind w:left="567" w:hanging="567"/>
      </w:pPr>
      <w:r w:rsidRPr="006F6A0F">
        <w:t>4.2.1 Existence systému kariérního rozvoje učitelů</w:t>
      </w:r>
    </w:p>
    <w:p w14:paraId="2215AF59" w14:textId="77777777" w:rsidR="00ED0F2A" w:rsidRPr="006F6A0F" w:rsidRDefault="00ED0F2A" w:rsidP="00362C76">
      <w:pPr>
        <w:pStyle w:val="r2030nelovan"/>
        <w:spacing w:before="120" w:after="0" w:line="276" w:lineRule="auto"/>
        <w:ind w:left="567" w:hanging="567"/>
      </w:pPr>
      <w:r w:rsidRPr="006F6A0F">
        <w:t>4.2.2 Platové ohodnocení učitelů</w:t>
      </w:r>
    </w:p>
    <w:p w14:paraId="34F4A1AE" w14:textId="77777777" w:rsidR="00ED0F2A" w:rsidRPr="006F6A0F" w:rsidRDefault="00ED0F2A" w:rsidP="00362C76">
      <w:pPr>
        <w:pStyle w:val="r2030nelovan"/>
        <w:spacing w:before="120" w:after="0" w:line="276" w:lineRule="auto"/>
        <w:ind w:left="567" w:hanging="567"/>
      </w:pPr>
      <w:r w:rsidRPr="006F6A0F">
        <w:lastRenderedPageBreak/>
        <w:t>4.3.1 Úroveň dovedností žáků v mezinárodním srovnání – čtenářská gramotnost</w:t>
      </w:r>
    </w:p>
    <w:p w14:paraId="27EB5A77" w14:textId="77777777" w:rsidR="00ED0F2A" w:rsidRPr="006F6A0F" w:rsidRDefault="00ED0F2A" w:rsidP="00362C76">
      <w:pPr>
        <w:pStyle w:val="r2030nelovan"/>
        <w:spacing w:before="120" w:after="0" w:line="276" w:lineRule="auto"/>
        <w:ind w:left="567" w:hanging="567"/>
      </w:pPr>
      <w:r w:rsidRPr="006F6A0F">
        <w:t>4.3.2 Úroveň dovedností žáků v mezinárodním srovnání – numerická gramotnost</w:t>
      </w:r>
    </w:p>
    <w:p w14:paraId="0AFA614C" w14:textId="77777777" w:rsidR="00ED0F2A" w:rsidRPr="006F6A0F" w:rsidRDefault="00ED0F2A" w:rsidP="00362C76">
      <w:pPr>
        <w:pStyle w:val="r2030nelovan"/>
        <w:spacing w:before="120" w:after="0" w:line="276" w:lineRule="auto"/>
        <w:ind w:left="567" w:hanging="567"/>
      </w:pPr>
      <w:r w:rsidRPr="006F6A0F">
        <w:t>4.3.3 Úroveň dovedností žáků v mezinárodním srovnání – přírodovědná gramotnost</w:t>
      </w:r>
    </w:p>
    <w:p w14:paraId="427360D3" w14:textId="77777777" w:rsidR="00ED0F2A" w:rsidRPr="006F6A0F" w:rsidRDefault="00ED0F2A" w:rsidP="00362C76">
      <w:pPr>
        <w:pStyle w:val="r2030nelovan"/>
        <w:spacing w:before="120" w:after="0" w:line="276" w:lineRule="auto"/>
        <w:ind w:left="567" w:hanging="567"/>
      </w:pPr>
      <w:r w:rsidRPr="006F6A0F">
        <w:t xml:space="preserve">4.4.1 Účast dospělé populace na celoživotním vzdělávání v posledních 4 týdnech </w:t>
      </w:r>
    </w:p>
    <w:p w14:paraId="5F564BAD" w14:textId="77777777" w:rsidR="00ED0F2A" w:rsidRPr="006F6A0F" w:rsidRDefault="00ED0F2A" w:rsidP="00362C76">
      <w:pPr>
        <w:pStyle w:val="r2030nelovan"/>
        <w:spacing w:before="120" w:after="0" w:line="276" w:lineRule="auto"/>
        <w:ind w:left="567" w:hanging="567"/>
      </w:pPr>
      <w:r w:rsidRPr="006F6A0F">
        <w:t>4.4.2 Úroveň kompetencí dospělých v mezinárodním srovnání – čtenářská gramotnost</w:t>
      </w:r>
    </w:p>
    <w:p w14:paraId="0CA22190" w14:textId="77777777" w:rsidR="00ED0F2A" w:rsidRPr="006F6A0F" w:rsidRDefault="00ED0F2A" w:rsidP="00362C76">
      <w:pPr>
        <w:pStyle w:val="r2030nelovan"/>
        <w:spacing w:before="120" w:after="0" w:line="276" w:lineRule="auto"/>
        <w:ind w:left="567" w:hanging="567"/>
      </w:pPr>
      <w:r w:rsidRPr="006F6A0F">
        <w:t>5.1.1 Naděje dožití – střední délka života při narození a ve věku 65 let</w:t>
      </w:r>
    </w:p>
    <w:p w14:paraId="42EE5280" w14:textId="77777777" w:rsidR="00ED0F2A" w:rsidRPr="006F6A0F" w:rsidRDefault="00ED0F2A" w:rsidP="00362C76">
      <w:pPr>
        <w:pStyle w:val="r2030nelovan"/>
        <w:spacing w:before="120" w:after="0" w:line="276" w:lineRule="auto"/>
        <w:ind w:left="567" w:hanging="567"/>
      </w:pPr>
      <w:r w:rsidRPr="006F6A0F">
        <w:t>5.1.2 Délka života ve zdraví (Healthy life years) při narození a ve věku 65 let</w:t>
      </w:r>
    </w:p>
    <w:p w14:paraId="4BDFD363" w14:textId="47354C06" w:rsidR="00ED0F2A" w:rsidRPr="006F6A0F" w:rsidRDefault="00ED0F2A" w:rsidP="00362C76">
      <w:pPr>
        <w:pStyle w:val="r2030nelovan"/>
        <w:spacing w:before="120" w:after="0" w:line="276" w:lineRule="auto"/>
        <w:ind w:left="567" w:hanging="567"/>
      </w:pPr>
      <w:r w:rsidRPr="006F6A0F">
        <w:t xml:space="preserve">5.2.1 </w:t>
      </w:r>
      <w:r w:rsidR="009849D4" w:rsidRPr="006F6A0F">
        <w:t>Dlouhodobé omezení aktivit (Global Activity Limitation Indicator)</w:t>
      </w:r>
    </w:p>
    <w:p w14:paraId="64BD6377" w14:textId="77777777" w:rsidR="00ED0F2A" w:rsidRPr="006F6A0F" w:rsidRDefault="00ED0F2A" w:rsidP="00362C76">
      <w:pPr>
        <w:pStyle w:val="r2030nelovan"/>
        <w:spacing w:before="120" w:after="0" w:line="276" w:lineRule="auto"/>
        <w:ind w:left="567" w:hanging="567"/>
      </w:pPr>
      <w:r w:rsidRPr="006F6A0F">
        <w:t>5.3.1 Věková struktura lékařských a nelékařských pracovníků ve zdravotnictví dle jednotlivých specializací</w:t>
      </w:r>
    </w:p>
    <w:p w14:paraId="509DB8A7" w14:textId="77777777" w:rsidR="00ED0F2A" w:rsidRPr="006F6A0F" w:rsidRDefault="00ED0F2A" w:rsidP="00362C76">
      <w:pPr>
        <w:pStyle w:val="r2030nelovan"/>
        <w:spacing w:before="120" w:after="0" w:line="276" w:lineRule="auto"/>
        <w:ind w:left="567" w:hanging="567"/>
      </w:pPr>
      <w:r w:rsidRPr="006F6A0F">
        <w:t xml:space="preserve">5.3.2 Průměrný a mediánový plat / mzda lékařských a nelékařských pracovníků ve zdravotnictví </w:t>
      </w:r>
    </w:p>
    <w:p w14:paraId="4DC1B223" w14:textId="77777777" w:rsidR="00ED0F2A" w:rsidRPr="006F6A0F" w:rsidRDefault="00ED0F2A" w:rsidP="00362C76">
      <w:pPr>
        <w:pStyle w:val="r2030nelovan"/>
        <w:spacing w:before="120" w:after="0" w:line="276" w:lineRule="auto"/>
        <w:ind w:left="567" w:hanging="567"/>
      </w:pPr>
      <w:r w:rsidRPr="006F6A0F">
        <w:t>5.3.3 Počet lékařů a nelékařů na 1 000 obyvatel</w:t>
      </w:r>
    </w:p>
    <w:p w14:paraId="773A8F96" w14:textId="77777777" w:rsidR="00F97D46" w:rsidRPr="006F6A0F" w:rsidRDefault="00F97D46" w:rsidP="00362C76">
      <w:pPr>
        <w:pStyle w:val="r2030nelovan"/>
        <w:spacing w:before="120" w:after="0" w:line="276" w:lineRule="auto"/>
        <w:ind w:left="567" w:hanging="567"/>
      </w:pPr>
      <w:r w:rsidRPr="006F6A0F">
        <w:t xml:space="preserve">5.3.4 Neuspokojená potřeba lékařské péče v posledních 12 měsících podle důvodu </w:t>
      </w:r>
    </w:p>
    <w:p w14:paraId="6D78ED5B" w14:textId="29F7E3C2" w:rsidR="00F97D46" w:rsidRPr="006F6A0F" w:rsidRDefault="00F97D46" w:rsidP="00362C76">
      <w:pPr>
        <w:pStyle w:val="r2030nelovan"/>
        <w:spacing w:before="120" w:after="0" w:line="276" w:lineRule="auto"/>
        <w:ind w:left="567" w:hanging="567"/>
      </w:pPr>
      <w:r w:rsidRPr="006F6A0F">
        <w:t>5.3.5 Přežití pacientů s nádorovými onemocněními</w:t>
      </w:r>
    </w:p>
    <w:p w14:paraId="7DC33C3C" w14:textId="1CA35D36" w:rsidR="00ED0F2A" w:rsidRPr="006F6A0F" w:rsidRDefault="00ED0F2A" w:rsidP="00362C76">
      <w:pPr>
        <w:pStyle w:val="r2030nelovan"/>
        <w:spacing w:before="120" w:after="0" w:line="276" w:lineRule="auto"/>
        <w:ind w:left="567" w:hanging="567"/>
      </w:pPr>
      <w:r w:rsidRPr="006F6A0F">
        <w:t>5.4.1 Veřejné výdaje na prevenci nemocí (primární i sekundární) a podporu zdraví v absolutním vyjádření a jako podíl na veřejných výdajích na zdravotnictví celkem</w:t>
      </w:r>
    </w:p>
    <w:p w14:paraId="45EAC4E7" w14:textId="77777777" w:rsidR="00ED0F2A" w:rsidRPr="006F6A0F" w:rsidRDefault="00ED0F2A" w:rsidP="00362C76">
      <w:pPr>
        <w:pStyle w:val="r2030nelovan"/>
        <w:spacing w:before="120" w:after="0" w:line="276" w:lineRule="auto"/>
        <w:ind w:left="567" w:hanging="567"/>
      </w:pPr>
      <w:r w:rsidRPr="006F6A0F">
        <w:t>5.5.1 Podíl osob s rizikovou konzumací alkoholu</w:t>
      </w:r>
    </w:p>
    <w:p w14:paraId="5A90BC8A" w14:textId="77777777" w:rsidR="00ED0F2A" w:rsidRPr="006F6A0F" w:rsidRDefault="00ED0F2A" w:rsidP="00362C76">
      <w:pPr>
        <w:pStyle w:val="r2030nelovan"/>
        <w:spacing w:before="120" w:after="0" w:line="276" w:lineRule="auto"/>
        <w:ind w:left="567" w:hanging="567"/>
      </w:pPr>
      <w:r w:rsidRPr="006F6A0F">
        <w:t>5.5.2 Podíl denních kuřáků</w:t>
      </w:r>
    </w:p>
    <w:p w14:paraId="7D9DE62D" w14:textId="77777777" w:rsidR="00ED0F2A" w:rsidRPr="006F6A0F" w:rsidRDefault="00ED0F2A" w:rsidP="00362C76">
      <w:pPr>
        <w:pStyle w:val="r2030nelovan"/>
        <w:spacing w:before="120" w:after="0" w:line="276" w:lineRule="auto"/>
        <w:ind w:left="567" w:hanging="567"/>
      </w:pPr>
      <w:r w:rsidRPr="006F6A0F">
        <w:t>5.5.3 Rozloha oblastí ČR s překročeným imisním limitem</w:t>
      </w:r>
    </w:p>
    <w:p w14:paraId="2D9449B4" w14:textId="77777777" w:rsidR="00ED0F2A" w:rsidRPr="006F6A0F" w:rsidRDefault="00ED0F2A" w:rsidP="00362C76">
      <w:pPr>
        <w:pStyle w:val="r2030nelovan"/>
        <w:spacing w:before="120" w:after="0" w:line="276" w:lineRule="auto"/>
        <w:ind w:left="567" w:hanging="567"/>
      </w:pPr>
      <w:r w:rsidRPr="006F6A0F">
        <w:t xml:space="preserve">5.5.4 Podíl obyvatel ČR žijících na území, kde jsou překračovány mezní hodnoty hlukových indikátorů Ldvn a Ln pro silniční dopravu </w:t>
      </w:r>
    </w:p>
    <w:p w14:paraId="2CDC53E3" w14:textId="77777777" w:rsidR="00ED0F2A" w:rsidRPr="006F6A0F" w:rsidRDefault="00ED0F2A" w:rsidP="00362C76">
      <w:pPr>
        <w:pStyle w:val="r2030nelovan"/>
        <w:spacing w:before="120" w:after="0" w:line="276" w:lineRule="auto"/>
        <w:ind w:left="567" w:hanging="567"/>
      </w:pPr>
      <w:r w:rsidRPr="006F6A0F">
        <w:t xml:space="preserve">6.1.1 Veřejné výdaje do oblasti kultury </w:t>
      </w:r>
    </w:p>
    <w:p w14:paraId="1B8AE89C" w14:textId="77777777" w:rsidR="00ED0F2A" w:rsidRPr="006F6A0F" w:rsidRDefault="00ED0F2A" w:rsidP="00362C76">
      <w:pPr>
        <w:pStyle w:val="r2030nelovan"/>
        <w:spacing w:before="120" w:after="0" w:line="276" w:lineRule="auto"/>
        <w:ind w:left="567" w:hanging="567"/>
      </w:pPr>
      <w:r w:rsidRPr="006F6A0F">
        <w:t>6.2.1 Investice do růstu sbírek současného umění</w:t>
      </w:r>
    </w:p>
    <w:p w14:paraId="3B0A648A" w14:textId="77777777" w:rsidR="00ED0F2A" w:rsidRPr="006F6A0F" w:rsidRDefault="00ED0F2A" w:rsidP="00362C76">
      <w:pPr>
        <w:pStyle w:val="r2030nelovan"/>
        <w:spacing w:before="120" w:after="0" w:line="276" w:lineRule="auto"/>
        <w:ind w:left="567" w:hanging="567"/>
      </w:pPr>
      <w:r w:rsidRPr="006F6A0F">
        <w:t>6.3.1 Veřejná podpora kulturních a kreativních průmyslů</w:t>
      </w:r>
    </w:p>
    <w:p w14:paraId="18BFE0FF" w14:textId="77777777" w:rsidR="00ED0F2A" w:rsidRPr="006F6A0F" w:rsidRDefault="00ED0F2A" w:rsidP="00362C76">
      <w:pPr>
        <w:pStyle w:val="r2030nelovan"/>
        <w:spacing w:before="120" w:after="0" w:line="276" w:lineRule="auto"/>
        <w:ind w:left="567" w:hanging="567"/>
      </w:pPr>
      <w:r w:rsidRPr="006F6A0F">
        <w:t>6.4.1 Platy a mzdy v kulturním sektoru</w:t>
      </w:r>
    </w:p>
    <w:p w14:paraId="14274878" w14:textId="77777777" w:rsidR="00ED0F2A" w:rsidRPr="006F6A0F" w:rsidRDefault="00ED0F2A" w:rsidP="00362C76">
      <w:pPr>
        <w:pStyle w:val="r2030nelovan"/>
        <w:spacing w:before="120" w:after="0" w:line="276" w:lineRule="auto"/>
        <w:ind w:left="567" w:hanging="567"/>
      </w:pPr>
      <w:r w:rsidRPr="006F6A0F">
        <w:t>7.1.1 Hrubá přidaná hodnota podniků</w:t>
      </w:r>
    </w:p>
    <w:p w14:paraId="4213CF0D" w14:textId="77777777" w:rsidR="00ED0F2A" w:rsidRPr="006F6A0F" w:rsidRDefault="00ED0F2A" w:rsidP="00362C76">
      <w:pPr>
        <w:pStyle w:val="r2030nelovan"/>
        <w:spacing w:before="120" w:after="0" w:line="276" w:lineRule="auto"/>
        <w:ind w:left="567" w:hanging="567"/>
      </w:pPr>
      <w:r w:rsidRPr="006F6A0F">
        <w:t>7.2.1 Podíl malých a středních podniků na hrubé přidané hodnotě</w:t>
      </w:r>
    </w:p>
    <w:p w14:paraId="0CFB0D0D" w14:textId="77777777" w:rsidR="00ED0F2A" w:rsidRPr="006F6A0F" w:rsidRDefault="00ED0F2A" w:rsidP="00362C76">
      <w:pPr>
        <w:pStyle w:val="r2030nelovan"/>
        <w:spacing w:before="120" w:after="0" w:line="276" w:lineRule="auto"/>
        <w:ind w:left="567" w:hanging="567"/>
      </w:pPr>
      <w:r w:rsidRPr="006F6A0F">
        <w:t>7.2.2 Čas nutný ke zpracování a platbě daní (Time to prepare and pay taxes)</w:t>
      </w:r>
    </w:p>
    <w:p w14:paraId="163071B5" w14:textId="77777777" w:rsidR="00ED0F2A" w:rsidRPr="006F6A0F" w:rsidRDefault="00ED0F2A" w:rsidP="00362C76">
      <w:pPr>
        <w:pStyle w:val="r2030nelovan"/>
        <w:spacing w:before="120" w:after="0" w:line="276" w:lineRule="auto"/>
        <w:ind w:left="567" w:hanging="567"/>
      </w:pPr>
      <w:r w:rsidRPr="006F6A0F">
        <w:t xml:space="preserve">7.3.1 Vývoz výrobků zpracovatelského průmyslu podle technologické náročnosti </w:t>
      </w:r>
    </w:p>
    <w:p w14:paraId="5B86F941" w14:textId="77777777" w:rsidR="00ED0F2A" w:rsidRPr="006F6A0F" w:rsidRDefault="00ED0F2A" w:rsidP="00362C76">
      <w:pPr>
        <w:pStyle w:val="r2030nelovan"/>
        <w:spacing w:before="120" w:after="0" w:line="276" w:lineRule="auto"/>
        <w:ind w:left="567" w:hanging="567"/>
      </w:pPr>
      <w:r w:rsidRPr="006F6A0F">
        <w:t xml:space="preserve">7.3.2 Příjmy z prodeje technologických služeb do zahraničí </w:t>
      </w:r>
    </w:p>
    <w:p w14:paraId="64151DE9" w14:textId="77777777" w:rsidR="00ED0F2A" w:rsidRPr="006F6A0F" w:rsidRDefault="00ED0F2A" w:rsidP="00362C76">
      <w:pPr>
        <w:pStyle w:val="r2030nelovan"/>
        <w:spacing w:before="120" w:after="0" w:line="276" w:lineRule="auto"/>
        <w:ind w:left="567" w:hanging="567"/>
      </w:pPr>
      <w:r w:rsidRPr="006F6A0F">
        <w:t xml:space="preserve">7.3.4 Patentové žádosti podané u Evropského patentového úřadu </w:t>
      </w:r>
    </w:p>
    <w:p w14:paraId="192951AF" w14:textId="77777777" w:rsidR="00ED0F2A" w:rsidRPr="006F6A0F" w:rsidRDefault="00ED0F2A" w:rsidP="00362C76">
      <w:pPr>
        <w:pStyle w:val="r2030nelovan"/>
        <w:spacing w:before="120" w:after="0" w:line="276" w:lineRule="auto"/>
        <w:ind w:left="567" w:hanging="567"/>
      </w:pPr>
      <w:r w:rsidRPr="006F6A0F">
        <w:t>7.4.1 Produktivita práce</w:t>
      </w:r>
    </w:p>
    <w:p w14:paraId="612F587A" w14:textId="13BA2E0B" w:rsidR="00ED0F2A" w:rsidRPr="006F6A0F" w:rsidRDefault="00425AF3" w:rsidP="00362C76">
      <w:pPr>
        <w:pStyle w:val="r2030nelovan"/>
        <w:spacing w:before="120" w:after="0" w:line="276" w:lineRule="auto"/>
        <w:ind w:left="567" w:hanging="567"/>
      </w:pPr>
      <w:r w:rsidRPr="006F6A0F">
        <w:t>8.1.1</w:t>
      </w:r>
      <w:r w:rsidR="00ED0F2A" w:rsidRPr="006F6A0F">
        <w:t xml:space="preserve"> Celkové výdaje na výzkum a vývoj (GERD)</w:t>
      </w:r>
    </w:p>
    <w:p w14:paraId="7062191C" w14:textId="6DEF377B" w:rsidR="00ED0F2A" w:rsidRPr="006F6A0F" w:rsidRDefault="00425AF3" w:rsidP="00362C76">
      <w:pPr>
        <w:pStyle w:val="r2030nelovan"/>
        <w:spacing w:before="120" w:after="0" w:line="276" w:lineRule="auto"/>
        <w:ind w:left="567" w:hanging="567"/>
      </w:pPr>
      <w:r w:rsidRPr="006F6A0F">
        <w:lastRenderedPageBreak/>
        <w:t>8.1.2</w:t>
      </w:r>
      <w:r w:rsidR="00ED0F2A" w:rsidRPr="006F6A0F">
        <w:t xml:space="preserve"> Veřejné (státní) rozpočtové výdaje na výzkum a vývoj (GBARD)</w:t>
      </w:r>
    </w:p>
    <w:p w14:paraId="7E6A2A60" w14:textId="059DFA5B" w:rsidR="00ED0F2A" w:rsidRPr="006F6A0F" w:rsidRDefault="00425AF3" w:rsidP="00362C76">
      <w:pPr>
        <w:pStyle w:val="r2030nelovan"/>
        <w:spacing w:before="120" w:after="0" w:line="276" w:lineRule="auto"/>
        <w:ind w:left="567" w:hanging="567"/>
      </w:pPr>
      <w:r w:rsidRPr="006F6A0F">
        <w:t>8.1.3</w:t>
      </w:r>
      <w:r w:rsidR="00ED0F2A" w:rsidRPr="006F6A0F">
        <w:t xml:space="preserve"> Celkový počet osob pracujících ve výzkumu a vývoji</w:t>
      </w:r>
    </w:p>
    <w:p w14:paraId="49E89198" w14:textId="77777777" w:rsidR="00ED0F2A" w:rsidRPr="006F6A0F" w:rsidRDefault="00ED0F2A" w:rsidP="00362C76">
      <w:pPr>
        <w:pStyle w:val="r2030nelovan"/>
        <w:spacing w:before="120" w:after="0" w:line="276" w:lineRule="auto"/>
        <w:ind w:left="567" w:hanging="567"/>
      </w:pPr>
      <w:r w:rsidRPr="006F6A0F">
        <w:t>8.1.4. Výzkumní pracovníci s cizím státním občanstvím</w:t>
      </w:r>
    </w:p>
    <w:p w14:paraId="7A2663A2" w14:textId="77777777" w:rsidR="00ED0F2A" w:rsidRPr="006F6A0F" w:rsidRDefault="00ED0F2A" w:rsidP="00362C76">
      <w:pPr>
        <w:pStyle w:val="r2030nelovan"/>
        <w:spacing w:before="120" w:after="0" w:line="276" w:lineRule="auto"/>
        <w:ind w:left="567" w:hanging="567"/>
      </w:pPr>
      <w:r w:rsidRPr="006F6A0F">
        <w:t>8.1.5 Specialisté v oblasti vědy a techniky</w:t>
      </w:r>
    </w:p>
    <w:p w14:paraId="2DC941E0" w14:textId="77777777" w:rsidR="00ED0F2A" w:rsidRPr="006F6A0F" w:rsidRDefault="00ED0F2A" w:rsidP="00362C76">
      <w:pPr>
        <w:pStyle w:val="r2030nelovan"/>
        <w:spacing w:before="120" w:after="0" w:line="276" w:lineRule="auto"/>
        <w:ind w:left="567" w:hanging="567"/>
      </w:pPr>
      <w:r w:rsidRPr="006F6A0F">
        <w:t>8.1.6 Studenti a absolventi přírodovědných a technických oborů vzdělání na vysokých školách</w:t>
      </w:r>
    </w:p>
    <w:p w14:paraId="1CF10A51" w14:textId="77777777" w:rsidR="00ED0F2A" w:rsidRPr="006F6A0F" w:rsidRDefault="00ED0F2A" w:rsidP="00362C76">
      <w:pPr>
        <w:pStyle w:val="r2030nelovan"/>
        <w:spacing w:before="120" w:after="0" w:line="276" w:lineRule="auto"/>
        <w:ind w:left="567" w:hanging="567"/>
      </w:pPr>
      <w:r w:rsidRPr="006F6A0F">
        <w:t xml:space="preserve">8.2.1 Výdaje na výzkum a vývoj v podnikatelském sektoru (BERD) </w:t>
      </w:r>
    </w:p>
    <w:p w14:paraId="66257407" w14:textId="77777777" w:rsidR="00ED0F2A" w:rsidRPr="006F6A0F" w:rsidRDefault="00ED0F2A" w:rsidP="00362C76">
      <w:pPr>
        <w:pStyle w:val="r2030nelovan"/>
        <w:spacing w:before="120" w:after="0" w:line="276" w:lineRule="auto"/>
        <w:ind w:left="567" w:hanging="567"/>
      </w:pPr>
      <w:r w:rsidRPr="006F6A0F">
        <w:t>8.2.2 Podniky s technickými (produktovými nebo procesními) inovacemi</w:t>
      </w:r>
    </w:p>
    <w:p w14:paraId="45E12FFF" w14:textId="77777777" w:rsidR="00ED0F2A" w:rsidRPr="006F6A0F" w:rsidRDefault="00ED0F2A" w:rsidP="00362C76">
      <w:pPr>
        <w:pStyle w:val="r2030nelovan"/>
        <w:spacing w:before="120" w:after="0" w:line="276" w:lineRule="auto"/>
        <w:ind w:left="567" w:hanging="567"/>
      </w:pPr>
      <w:r w:rsidRPr="006F6A0F">
        <w:t>8.2.3 Podniky provádějící výzkumnou a vývojovou činnost v rámci svých technických (produktových nebo procesních) inovačních aktivit</w:t>
      </w:r>
    </w:p>
    <w:p w14:paraId="6AFB2259" w14:textId="77777777" w:rsidR="00ED0F2A" w:rsidRPr="006F6A0F" w:rsidRDefault="00ED0F2A" w:rsidP="00362C76">
      <w:pPr>
        <w:pStyle w:val="r2030nelovan"/>
        <w:spacing w:before="120" w:after="0" w:line="276" w:lineRule="auto"/>
        <w:ind w:left="567" w:hanging="567"/>
      </w:pPr>
      <w:r w:rsidRPr="006F6A0F">
        <w:t>8.2.4 Celkové náklady na technické inovace</w:t>
      </w:r>
    </w:p>
    <w:p w14:paraId="3F61B2EF" w14:textId="77777777" w:rsidR="00ED0F2A" w:rsidRPr="006F6A0F" w:rsidRDefault="00ED0F2A" w:rsidP="00362C76">
      <w:pPr>
        <w:pStyle w:val="r2030nelovan"/>
        <w:spacing w:before="120" w:after="0" w:line="276" w:lineRule="auto"/>
        <w:ind w:left="567" w:hanging="567"/>
      </w:pPr>
      <w:r w:rsidRPr="006F6A0F">
        <w:t xml:space="preserve">8.2.5 Příjmy z prodeje služeb výzkumu a vývoje </w:t>
      </w:r>
    </w:p>
    <w:p w14:paraId="221A4561" w14:textId="77777777" w:rsidR="00ED0F2A" w:rsidRPr="006F6A0F" w:rsidRDefault="00ED0F2A" w:rsidP="00362C76">
      <w:pPr>
        <w:pStyle w:val="r2030nelovan"/>
        <w:spacing w:before="120" w:after="0" w:line="276" w:lineRule="auto"/>
        <w:ind w:left="567" w:hanging="567"/>
      </w:pPr>
      <w:r w:rsidRPr="006F6A0F">
        <w:t>8.2.6 Nepřímá veřejná (daňová) podpora výzkumu a vývoje v podnikatelském sektoru (GTARD)</w:t>
      </w:r>
    </w:p>
    <w:p w14:paraId="64E469CF" w14:textId="77777777" w:rsidR="00ED0F2A" w:rsidRPr="006F6A0F" w:rsidRDefault="00ED0F2A" w:rsidP="00362C76">
      <w:pPr>
        <w:pStyle w:val="r2030nelovan"/>
        <w:spacing w:before="120" w:after="0" w:line="276" w:lineRule="auto"/>
        <w:ind w:left="567" w:hanging="567"/>
      </w:pPr>
      <w:r w:rsidRPr="006F6A0F">
        <w:t>9.1.1 Emise skleníkových plynů</w:t>
      </w:r>
    </w:p>
    <w:p w14:paraId="29BC26A8" w14:textId="77777777" w:rsidR="00ED0F2A" w:rsidRPr="006F6A0F" w:rsidRDefault="00ED0F2A" w:rsidP="00362C76">
      <w:pPr>
        <w:pStyle w:val="r2030nelovan"/>
        <w:spacing w:before="120" w:after="0" w:line="276" w:lineRule="auto"/>
        <w:ind w:left="567" w:hanging="567"/>
      </w:pPr>
      <w:r w:rsidRPr="006F6A0F">
        <w:t>9.2.1 Podíl objemu produkce druhotných surovin na přímém materiálovém vstupu</w:t>
      </w:r>
    </w:p>
    <w:p w14:paraId="604C2223" w14:textId="61E42AE4" w:rsidR="00184BB6" w:rsidRPr="006F6A0F" w:rsidRDefault="00184BB6" w:rsidP="00362C76">
      <w:pPr>
        <w:pStyle w:val="r2030nelovan"/>
        <w:spacing w:before="120" w:after="0" w:line="276" w:lineRule="auto"/>
        <w:ind w:left="567" w:hanging="567"/>
      </w:pPr>
      <w:r w:rsidRPr="006F6A0F">
        <w:t>9.2.2 Celková produkce odpadů</w:t>
      </w:r>
    </w:p>
    <w:p w14:paraId="3223C98F" w14:textId="77777777" w:rsidR="00ED0F2A" w:rsidRPr="006F6A0F" w:rsidRDefault="00ED0F2A" w:rsidP="00362C76">
      <w:pPr>
        <w:pStyle w:val="r2030nelovan"/>
        <w:spacing w:before="120" w:after="0" w:line="276" w:lineRule="auto"/>
        <w:ind w:left="567" w:hanging="567"/>
      </w:pPr>
      <w:r w:rsidRPr="006F6A0F">
        <w:t>9.3.1 Efektivita využívání zdrojů</w:t>
      </w:r>
    </w:p>
    <w:p w14:paraId="21F83437" w14:textId="77777777" w:rsidR="00ED0F2A" w:rsidRPr="006F6A0F" w:rsidRDefault="00ED0F2A" w:rsidP="00362C76">
      <w:pPr>
        <w:pStyle w:val="r2030nelovan"/>
        <w:spacing w:before="120" w:after="0" w:line="276" w:lineRule="auto"/>
        <w:ind w:left="567" w:hanging="567"/>
      </w:pPr>
      <w:r w:rsidRPr="006F6A0F">
        <w:t xml:space="preserve">9.3.2 Energetická náročnost HDP </w:t>
      </w:r>
    </w:p>
    <w:p w14:paraId="078E7A03" w14:textId="4615918E" w:rsidR="00551E3A" w:rsidRPr="006F6A0F" w:rsidRDefault="00551E3A" w:rsidP="00362C76">
      <w:pPr>
        <w:pStyle w:val="r2030nelovan"/>
        <w:spacing w:before="120" w:after="0" w:line="276" w:lineRule="auto"/>
        <w:ind w:left="567" w:hanging="567"/>
      </w:pPr>
      <w:r w:rsidRPr="006F6A0F">
        <w:t>9.4.1 Míra soběstačnosti ČR v produkci základních potravin, krmiv a technických plodin</w:t>
      </w:r>
    </w:p>
    <w:p w14:paraId="49F7DD79" w14:textId="55BD69D0" w:rsidR="00ED0F2A" w:rsidRPr="006F6A0F" w:rsidRDefault="00425AF3" w:rsidP="00362C76">
      <w:pPr>
        <w:pStyle w:val="r2030nelovan"/>
        <w:spacing w:before="120" w:after="0" w:line="276" w:lineRule="auto"/>
        <w:ind w:left="567" w:hanging="567"/>
      </w:pPr>
      <w:r w:rsidRPr="006F6A0F">
        <w:t>10.1.1</w:t>
      </w:r>
      <w:r w:rsidR="00ED0F2A" w:rsidRPr="006F6A0F">
        <w:t xml:space="preserve"> Trvalá státní kontrola nad systémem kritické infrastruktury a rozvíjení systému ochrany kritické infrastruktur</w:t>
      </w:r>
    </w:p>
    <w:p w14:paraId="44F84D57" w14:textId="77777777" w:rsidR="00ED0F2A" w:rsidRPr="006F6A0F" w:rsidRDefault="00ED0F2A" w:rsidP="00362C76">
      <w:pPr>
        <w:pStyle w:val="r2030nelovan"/>
        <w:spacing w:before="120" w:after="0" w:line="276" w:lineRule="auto"/>
        <w:ind w:left="567" w:hanging="567"/>
      </w:pPr>
      <w:r w:rsidRPr="006F6A0F">
        <w:t>10.2.1 Postup v budování transevropské dopravní sítě</w:t>
      </w:r>
    </w:p>
    <w:p w14:paraId="04BBC90B" w14:textId="77777777" w:rsidR="00ED0F2A" w:rsidRPr="006F6A0F" w:rsidRDefault="00ED0F2A" w:rsidP="00362C76">
      <w:pPr>
        <w:pStyle w:val="r2030nelovan"/>
        <w:spacing w:before="120" w:after="0" w:line="276" w:lineRule="auto"/>
        <w:ind w:left="567" w:hanging="567"/>
      </w:pPr>
      <w:r w:rsidRPr="006F6A0F">
        <w:t>10.2.2 Jízdní doba do vybraných zahraničních měst</w:t>
      </w:r>
    </w:p>
    <w:p w14:paraId="331C5495" w14:textId="77777777" w:rsidR="00ED0F2A" w:rsidRPr="006F6A0F" w:rsidRDefault="00ED0F2A" w:rsidP="00362C76">
      <w:pPr>
        <w:pStyle w:val="r2030nelovan"/>
        <w:spacing w:before="120" w:after="0" w:line="276" w:lineRule="auto"/>
        <w:ind w:left="567" w:hanging="567"/>
      </w:pPr>
      <w:r w:rsidRPr="006F6A0F">
        <w:t>10.3.1 Výkonová přiměřenost přenosové soustavy</w:t>
      </w:r>
    </w:p>
    <w:p w14:paraId="434E06A4" w14:textId="77777777" w:rsidR="003378C0" w:rsidRPr="006F6A0F" w:rsidRDefault="003378C0" w:rsidP="00362C76">
      <w:pPr>
        <w:tabs>
          <w:tab w:val="left" w:pos="567"/>
        </w:tabs>
        <w:spacing w:before="120" w:line="276" w:lineRule="auto"/>
        <w:ind w:left="567" w:hanging="567"/>
        <w:jc w:val="both"/>
        <w:rPr>
          <w:rFonts w:ascii="Arial" w:hAnsi="Arial" w:cs="Arial"/>
          <w:sz w:val="22"/>
          <w:szCs w:val="22"/>
        </w:rPr>
      </w:pPr>
      <w:r w:rsidRPr="006F6A0F">
        <w:rPr>
          <w:rFonts w:ascii="Arial" w:hAnsi="Arial" w:cs="Arial"/>
          <w:sz w:val="22"/>
          <w:szCs w:val="22"/>
        </w:rPr>
        <w:t>10.4.1 Počet účinných soustav zásobování tepelnou energií</w:t>
      </w:r>
    </w:p>
    <w:p w14:paraId="60E5AAB3" w14:textId="0DF55218" w:rsidR="00ED0F2A" w:rsidRPr="006F6A0F" w:rsidRDefault="003378C0" w:rsidP="00362C76">
      <w:pPr>
        <w:pStyle w:val="r2030nelovan"/>
        <w:spacing w:before="120" w:after="0" w:line="276" w:lineRule="auto"/>
        <w:ind w:left="567" w:hanging="567"/>
      </w:pPr>
      <w:r w:rsidRPr="006F6A0F">
        <w:t>10.5</w:t>
      </w:r>
      <w:r w:rsidR="00ED0F2A" w:rsidRPr="006F6A0F">
        <w:t>.1 Přístup obyvatel ČR k</w:t>
      </w:r>
      <w:r w:rsidRPr="006F6A0F">
        <w:t> </w:t>
      </w:r>
      <w:r w:rsidR="00ED0F2A" w:rsidRPr="006F6A0F">
        <w:t>internetu</w:t>
      </w:r>
    </w:p>
    <w:p w14:paraId="329A099E" w14:textId="67E71766" w:rsidR="003378C0" w:rsidRPr="006F6A0F" w:rsidRDefault="003378C0" w:rsidP="00362C76">
      <w:pPr>
        <w:pStyle w:val="r2030nelovan"/>
        <w:spacing w:before="120" w:after="0" w:line="276" w:lineRule="auto"/>
        <w:ind w:left="567" w:hanging="567"/>
      </w:pPr>
      <w:r w:rsidRPr="006F6A0F">
        <w:t>10.5.2 Pokrytí České republiky sítěmi širokopásmového připojení k internetu</w:t>
      </w:r>
    </w:p>
    <w:p w14:paraId="65D2754F" w14:textId="080346E5" w:rsidR="00ED0F2A" w:rsidRPr="006F6A0F" w:rsidRDefault="003378C0" w:rsidP="00362C76">
      <w:pPr>
        <w:pStyle w:val="r2030nelovan"/>
        <w:spacing w:before="120" w:after="0" w:line="276" w:lineRule="auto"/>
        <w:ind w:left="567" w:hanging="567"/>
      </w:pPr>
      <w:r w:rsidRPr="006F6A0F">
        <w:t>10.6</w:t>
      </w:r>
      <w:r w:rsidR="00ED0F2A" w:rsidRPr="006F6A0F">
        <w:t>.1 Obyvatelé zásobovaní vodou z vodovodů pro veřejnou potřebu</w:t>
      </w:r>
    </w:p>
    <w:p w14:paraId="580C7E80" w14:textId="15F8FBCC" w:rsidR="006C6DB3" w:rsidRPr="006F6A0F" w:rsidRDefault="006C6DB3" w:rsidP="00362C76">
      <w:pPr>
        <w:pStyle w:val="r2030nelovan"/>
        <w:spacing w:before="120" w:after="0" w:line="276" w:lineRule="auto"/>
        <w:ind w:left="567" w:hanging="567"/>
      </w:pPr>
      <w:r w:rsidRPr="006F6A0F">
        <w:t>10.6.2 Obyvatelé trvale bydlící v domech napojených na kanalizaci pro veřejnou potřebu s koncovkou ČOV</w:t>
      </w:r>
    </w:p>
    <w:p w14:paraId="3D3111C7" w14:textId="77777777" w:rsidR="00ED0F2A" w:rsidRPr="006F6A0F" w:rsidRDefault="00ED0F2A" w:rsidP="00362C76">
      <w:pPr>
        <w:pStyle w:val="r2030nelovan"/>
        <w:spacing w:before="120" w:after="0" w:line="276" w:lineRule="auto"/>
        <w:ind w:left="567" w:hanging="567"/>
      </w:pPr>
      <w:r w:rsidRPr="006F6A0F">
        <w:t>11.1.1 Dluh sektoru vládních institucí</w:t>
      </w:r>
    </w:p>
    <w:p w14:paraId="1E83C760" w14:textId="77777777" w:rsidR="00ED0F2A" w:rsidRPr="006F6A0F" w:rsidRDefault="00ED0F2A" w:rsidP="00362C76">
      <w:pPr>
        <w:pStyle w:val="r2030nelovan"/>
        <w:spacing w:before="120" w:after="0" w:line="276" w:lineRule="auto"/>
        <w:ind w:left="567" w:hanging="567"/>
      </w:pPr>
      <w:r w:rsidRPr="006F6A0F">
        <w:t>11.1.2 Strukturální saldo sektoru vládních institucí</w:t>
      </w:r>
    </w:p>
    <w:p w14:paraId="40847DAD" w14:textId="77777777" w:rsidR="00ED0F2A" w:rsidRPr="006F6A0F" w:rsidRDefault="00ED0F2A" w:rsidP="00362C76">
      <w:pPr>
        <w:pStyle w:val="r2030nelovan"/>
        <w:spacing w:before="120" w:after="0" w:line="276" w:lineRule="auto"/>
        <w:ind w:left="567" w:hanging="567"/>
      </w:pPr>
      <w:r w:rsidRPr="006F6A0F">
        <w:t>11.2.1 Výstupová efektivita veřejných výdajů</w:t>
      </w:r>
    </w:p>
    <w:p w14:paraId="35D61A7C" w14:textId="77777777" w:rsidR="00ED0F2A" w:rsidRPr="006F6A0F" w:rsidRDefault="00ED0F2A" w:rsidP="00362C76">
      <w:pPr>
        <w:pStyle w:val="r2030nelovan"/>
        <w:spacing w:before="120" w:after="0" w:line="276" w:lineRule="auto"/>
        <w:ind w:left="567" w:hanging="567"/>
      </w:pPr>
      <w:r w:rsidRPr="006F6A0F">
        <w:lastRenderedPageBreak/>
        <w:t>12.2.1 Podíl orné půdy</w:t>
      </w:r>
    </w:p>
    <w:p w14:paraId="71C2C935" w14:textId="77777777" w:rsidR="00ED0F2A" w:rsidRPr="006F6A0F" w:rsidRDefault="00ED0F2A" w:rsidP="00362C76">
      <w:pPr>
        <w:pStyle w:val="r2030nelovan"/>
        <w:spacing w:before="120" w:after="0" w:line="276" w:lineRule="auto"/>
        <w:ind w:left="567" w:hanging="567"/>
      </w:pPr>
      <w:r w:rsidRPr="006F6A0F">
        <w:t>12.2.2 Podíl trvalých travních porostů</w:t>
      </w:r>
    </w:p>
    <w:p w14:paraId="58ADDF01" w14:textId="77777777" w:rsidR="00ED0F2A" w:rsidRPr="006F6A0F" w:rsidRDefault="00ED0F2A" w:rsidP="00362C76">
      <w:pPr>
        <w:pStyle w:val="r2030nelovan"/>
        <w:spacing w:before="120" w:after="0" w:line="276" w:lineRule="auto"/>
        <w:ind w:left="567" w:hanging="567"/>
      </w:pPr>
      <w:r w:rsidRPr="006F6A0F">
        <w:t>12.3.1 Podíl orné půdy obhospodařované v režimu ekologického zemědělství</w:t>
      </w:r>
    </w:p>
    <w:p w14:paraId="4DECD2DE" w14:textId="4E18561C" w:rsidR="00551E3A" w:rsidRPr="006F6A0F" w:rsidRDefault="00551E3A" w:rsidP="00362C76">
      <w:pPr>
        <w:pStyle w:val="r2030nelovan"/>
        <w:spacing w:before="120" w:after="0" w:line="276" w:lineRule="auto"/>
        <w:ind w:left="567" w:hanging="567"/>
      </w:pPr>
      <w:r w:rsidRPr="006F6A0F">
        <w:t>12.5.1 Podíl lesní půdy na celkové rozloze ČR</w:t>
      </w:r>
    </w:p>
    <w:p w14:paraId="215100CF" w14:textId="24785361" w:rsidR="00ED0F2A" w:rsidRPr="006F6A0F" w:rsidRDefault="00551E3A" w:rsidP="00362C76">
      <w:pPr>
        <w:pStyle w:val="r2030nelovan"/>
        <w:spacing w:before="120" w:after="0" w:line="276" w:lineRule="auto"/>
        <w:ind w:left="567" w:hanging="567"/>
      </w:pPr>
      <w:r w:rsidRPr="006F6A0F">
        <w:t>12.6</w:t>
      </w:r>
      <w:r w:rsidR="00ED0F2A" w:rsidRPr="006F6A0F">
        <w:t>.1 Počet kritických míst na dálkových migračních koridorech</w:t>
      </w:r>
    </w:p>
    <w:p w14:paraId="3B98B7B4" w14:textId="77777777" w:rsidR="00ED0F2A" w:rsidRPr="006F6A0F" w:rsidRDefault="00ED0F2A" w:rsidP="00362C76">
      <w:pPr>
        <w:pStyle w:val="r2030nelovan"/>
        <w:spacing w:before="120" w:after="0" w:line="276" w:lineRule="auto"/>
        <w:ind w:left="567" w:hanging="567"/>
      </w:pPr>
      <w:r w:rsidRPr="006F6A0F">
        <w:t>12.5.1 Existuje formalizovaný systém hodnocení ekosystémových služeb</w:t>
      </w:r>
    </w:p>
    <w:p w14:paraId="6CCC3833" w14:textId="77777777" w:rsidR="00ED0F2A" w:rsidRPr="006F6A0F" w:rsidRDefault="00ED0F2A" w:rsidP="00362C76">
      <w:pPr>
        <w:pStyle w:val="r2030nelovan"/>
        <w:spacing w:before="120" w:after="0" w:line="276" w:lineRule="auto"/>
        <w:ind w:left="567" w:hanging="567"/>
      </w:pPr>
      <w:r w:rsidRPr="006F6A0F">
        <w:t>13.1.1 Stav evropsky významných typů přírodních stanovišť</w:t>
      </w:r>
    </w:p>
    <w:p w14:paraId="7194E520" w14:textId="77777777" w:rsidR="00ED0F2A" w:rsidRPr="006F6A0F" w:rsidRDefault="00ED0F2A" w:rsidP="00362C76">
      <w:pPr>
        <w:pStyle w:val="r2030nelovan"/>
        <w:spacing w:before="120" w:after="0" w:line="276" w:lineRule="auto"/>
        <w:ind w:left="567" w:hanging="567"/>
      </w:pPr>
      <w:r w:rsidRPr="006F6A0F">
        <w:t>13.1.2 Indikátor druhů ptáků</w:t>
      </w:r>
    </w:p>
    <w:p w14:paraId="7826EC57" w14:textId="77777777" w:rsidR="00ED0F2A" w:rsidRPr="006F6A0F" w:rsidRDefault="00ED0F2A" w:rsidP="00362C76">
      <w:pPr>
        <w:pStyle w:val="r2030nelovan"/>
        <w:spacing w:before="120" w:after="0" w:line="276" w:lineRule="auto"/>
        <w:ind w:left="567" w:hanging="567"/>
      </w:pPr>
      <w:r w:rsidRPr="006F6A0F">
        <w:t>13.1.3 Stav evropsky významných druhů živočichů a rostlin</w:t>
      </w:r>
    </w:p>
    <w:p w14:paraId="0845BF38" w14:textId="555EDA57" w:rsidR="00ED0F2A" w:rsidRPr="006F6A0F" w:rsidRDefault="00F97D46" w:rsidP="00362C76">
      <w:pPr>
        <w:pStyle w:val="r2030nelovan"/>
        <w:spacing w:before="120" w:after="0" w:line="276" w:lineRule="auto"/>
        <w:ind w:left="567" w:hanging="567"/>
      </w:pPr>
      <w:r w:rsidRPr="006F6A0F">
        <w:t>13.1.4</w:t>
      </w:r>
      <w:r w:rsidR="00ED0F2A" w:rsidRPr="006F6A0F">
        <w:t xml:space="preserve"> Index červených seznamů</w:t>
      </w:r>
    </w:p>
    <w:p w14:paraId="4A4BE800" w14:textId="2A5D01ED" w:rsidR="00F97D46" w:rsidRPr="006F6A0F" w:rsidRDefault="00F97D46" w:rsidP="00362C76">
      <w:pPr>
        <w:pStyle w:val="r2030nelovan"/>
        <w:spacing w:before="120" w:after="0" w:line="276" w:lineRule="auto"/>
        <w:ind w:left="567" w:hanging="567"/>
      </w:pPr>
      <w:r w:rsidRPr="006F6A0F">
        <w:t>13.1.5 Invazní druhy</w:t>
      </w:r>
    </w:p>
    <w:p w14:paraId="76C57353" w14:textId="77777777" w:rsidR="00ED0F2A" w:rsidRPr="006F6A0F" w:rsidRDefault="00ED0F2A" w:rsidP="00362C76">
      <w:pPr>
        <w:pStyle w:val="r2030nelovan"/>
        <w:spacing w:before="120" w:after="0" w:line="276" w:lineRule="auto"/>
        <w:ind w:left="567" w:hanging="567"/>
      </w:pPr>
      <w:r w:rsidRPr="006F6A0F">
        <w:t xml:space="preserve">14.1.1 Objem přímého odtoku pro srážky s různou pravděpodobností výskytu </w:t>
      </w:r>
    </w:p>
    <w:p w14:paraId="0FE628E6" w14:textId="77777777" w:rsidR="00ED0F2A" w:rsidRPr="006F6A0F" w:rsidRDefault="00ED0F2A" w:rsidP="00362C76">
      <w:pPr>
        <w:pStyle w:val="r2030nelovan"/>
        <w:spacing w:before="120" w:after="0" w:line="276" w:lineRule="auto"/>
        <w:ind w:left="567" w:hanging="567"/>
      </w:pPr>
      <w:r w:rsidRPr="006F6A0F">
        <w:t>14.2.1 Ekologický stav vodních útvarů</w:t>
      </w:r>
    </w:p>
    <w:p w14:paraId="0BBBA8D8" w14:textId="77777777" w:rsidR="00ED0F2A" w:rsidRPr="006F6A0F" w:rsidRDefault="00ED0F2A" w:rsidP="00362C76">
      <w:pPr>
        <w:pStyle w:val="r2030nelovan"/>
        <w:spacing w:before="120" w:after="0" w:line="276" w:lineRule="auto"/>
        <w:ind w:left="567" w:hanging="567"/>
      </w:pPr>
      <w:r w:rsidRPr="006F6A0F">
        <w:t>14.2.2 Chemický stav útvarů povrchových a podzemních vod</w:t>
      </w:r>
    </w:p>
    <w:p w14:paraId="39491D2B" w14:textId="77777777" w:rsidR="00ED0F2A" w:rsidRPr="006F6A0F" w:rsidRDefault="00ED0F2A" w:rsidP="00362C76">
      <w:pPr>
        <w:pStyle w:val="r2030nelovan"/>
        <w:spacing w:before="120" w:after="0" w:line="276" w:lineRule="auto"/>
        <w:ind w:left="567" w:hanging="567"/>
      </w:pPr>
      <w:r w:rsidRPr="006F6A0F">
        <w:t>14.2.3 Kvantitativní stav útvarů podzemních vod</w:t>
      </w:r>
    </w:p>
    <w:p w14:paraId="44F0C506" w14:textId="77777777" w:rsidR="00ED0F2A" w:rsidRPr="006F6A0F" w:rsidRDefault="00ED0F2A" w:rsidP="00362C76">
      <w:pPr>
        <w:pStyle w:val="r2030nelovan"/>
        <w:spacing w:before="120" w:after="0" w:line="276" w:lineRule="auto"/>
        <w:ind w:left="567" w:hanging="567"/>
      </w:pPr>
      <w:r w:rsidRPr="006F6A0F">
        <w:t>15.1.1 Obsah organické hmoty v půdě</w:t>
      </w:r>
    </w:p>
    <w:p w14:paraId="63C35F2E" w14:textId="77777777" w:rsidR="00ED0F2A" w:rsidRPr="006F6A0F" w:rsidRDefault="00ED0F2A" w:rsidP="00362C76">
      <w:pPr>
        <w:pStyle w:val="r2030nelovan"/>
        <w:spacing w:before="120" w:after="0" w:line="276" w:lineRule="auto"/>
        <w:ind w:left="567" w:hanging="567"/>
      </w:pPr>
      <w:r w:rsidRPr="006F6A0F">
        <w:t>15.1.2 Půdní struktura</w:t>
      </w:r>
    </w:p>
    <w:p w14:paraId="5927460B" w14:textId="77777777" w:rsidR="00ED0F2A" w:rsidRPr="006F6A0F" w:rsidRDefault="00ED0F2A" w:rsidP="00362C76">
      <w:pPr>
        <w:pStyle w:val="r2030nelovan"/>
        <w:spacing w:before="120" w:after="0" w:line="276" w:lineRule="auto"/>
        <w:ind w:left="567" w:hanging="567"/>
      </w:pPr>
      <w:r w:rsidRPr="006F6A0F">
        <w:t>15.2.1 Podíl půd významně ohrožených erozí</w:t>
      </w:r>
    </w:p>
    <w:p w14:paraId="52B70822" w14:textId="77777777" w:rsidR="00ED0F2A" w:rsidRPr="006F6A0F" w:rsidRDefault="00ED0F2A" w:rsidP="00362C76">
      <w:pPr>
        <w:pStyle w:val="r2030nelovan"/>
        <w:spacing w:before="120" w:after="0" w:line="276" w:lineRule="auto"/>
        <w:ind w:left="567" w:hanging="567"/>
      </w:pPr>
      <w:r w:rsidRPr="006F6A0F">
        <w:t>15.2.2 Průměrná velikost bloku orné půdy</w:t>
      </w:r>
    </w:p>
    <w:p w14:paraId="52BFEF05" w14:textId="77777777" w:rsidR="00ED0F2A" w:rsidRPr="006F6A0F" w:rsidRDefault="00ED0F2A" w:rsidP="00362C76">
      <w:pPr>
        <w:pStyle w:val="r2030nelovan"/>
        <w:spacing w:before="120" w:after="0" w:line="276" w:lineRule="auto"/>
        <w:ind w:left="567" w:hanging="567"/>
      </w:pPr>
      <w:r w:rsidRPr="006F6A0F">
        <w:t>15.3.1 Podíl jednotlivých druhů dřevin na obnově lesa</w:t>
      </w:r>
    </w:p>
    <w:p w14:paraId="28417786" w14:textId="77777777" w:rsidR="00ED0F2A" w:rsidRPr="006F6A0F" w:rsidRDefault="00ED0F2A" w:rsidP="00362C76">
      <w:pPr>
        <w:pStyle w:val="r2030nelovan"/>
        <w:spacing w:before="120" w:after="0" w:line="276" w:lineRule="auto"/>
        <w:ind w:left="567" w:hanging="567"/>
      </w:pPr>
      <w:r w:rsidRPr="006F6A0F">
        <w:t xml:space="preserve">16.1.1 Existence metodiky pro koordinaci územního a strategického plánování na úrovni státu, krajů a obcí </w:t>
      </w:r>
    </w:p>
    <w:p w14:paraId="729307F3" w14:textId="77777777" w:rsidR="00ED0F2A" w:rsidRPr="006F6A0F" w:rsidRDefault="00ED0F2A" w:rsidP="00362C76">
      <w:pPr>
        <w:pStyle w:val="r2030nelovan"/>
        <w:spacing w:before="120" w:after="0" w:line="276" w:lineRule="auto"/>
        <w:ind w:left="567" w:hanging="567"/>
      </w:pPr>
      <w:r w:rsidRPr="006F6A0F">
        <w:t>16.1.2 Počet projektů realizovaných v rámci strategií CLLD</w:t>
      </w:r>
    </w:p>
    <w:p w14:paraId="0DA4DEEE" w14:textId="77777777" w:rsidR="00ED0F2A" w:rsidRPr="006F6A0F" w:rsidRDefault="00ED0F2A" w:rsidP="00362C76">
      <w:pPr>
        <w:pStyle w:val="r2030nelovan"/>
        <w:spacing w:before="120" w:after="0" w:line="276" w:lineRule="auto"/>
        <w:ind w:left="567" w:hanging="567"/>
      </w:pPr>
      <w:r w:rsidRPr="006F6A0F">
        <w:t xml:space="preserve">16.1.3 Počet projektů realizovaných v rámci strategických dokumentů pro území aglomerace </w:t>
      </w:r>
    </w:p>
    <w:p w14:paraId="09090870" w14:textId="77777777" w:rsidR="00ED0F2A" w:rsidRPr="006F6A0F" w:rsidRDefault="00ED0F2A" w:rsidP="00362C76">
      <w:pPr>
        <w:pStyle w:val="r2030nelovan"/>
        <w:spacing w:before="120" w:after="0" w:line="276" w:lineRule="auto"/>
        <w:ind w:left="567" w:hanging="567"/>
      </w:pPr>
      <w:r w:rsidRPr="006F6A0F">
        <w:t>16.2.1 Existence standardů dostupnosti veřejných služeb</w:t>
      </w:r>
    </w:p>
    <w:p w14:paraId="3A95581A" w14:textId="000687DE" w:rsidR="00ED0F2A" w:rsidRPr="006F6A0F" w:rsidRDefault="00ED0F2A" w:rsidP="00362C76">
      <w:pPr>
        <w:pStyle w:val="r2030nelovan"/>
        <w:spacing w:before="120" w:after="0" w:line="276" w:lineRule="auto"/>
        <w:ind w:left="567" w:hanging="567"/>
      </w:pPr>
      <w:r w:rsidRPr="006F6A0F">
        <w:t xml:space="preserve">16.3.1 </w:t>
      </w:r>
      <w:r w:rsidR="000E2B81" w:rsidRPr="006F6A0F">
        <w:t>Počet municipalit naplňujících požadavky metodiky "Standardy dostupnosti veřejné infrastruktury"</w:t>
      </w:r>
    </w:p>
    <w:p w14:paraId="0E61A5C1" w14:textId="77777777" w:rsidR="00ED0F2A" w:rsidRPr="006F6A0F" w:rsidRDefault="00ED0F2A" w:rsidP="00362C76">
      <w:pPr>
        <w:pStyle w:val="r2030nelovan"/>
        <w:spacing w:before="120" w:after="0" w:line="276" w:lineRule="auto"/>
        <w:ind w:left="567" w:hanging="567"/>
      </w:pPr>
      <w:r w:rsidRPr="006F6A0F">
        <w:t>16.4.1 Existence metodiky pro koordinaci územního a strategického plánování na úrovni přesahující úroveň jednotlivých obcí</w:t>
      </w:r>
    </w:p>
    <w:p w14:paraId="53209B74" w14:textId="77777777" w:rsidR="00ED0F2A" w:rsidRPr="006F6A0F" w:rsidRDefault="00ED0F2A" w:rsidP="00362C76">
      <w:pPr>
        <w:pStyle w:val="r2030nelovan"/>
        <w:spacing w:before="120" w:after="0" w:line="276" w:lineRule="auto"/>
        <w:ind w:left="567" w:hanging="567"/>
      </w:pPr>
      <w:r w:rsidRPr="006F6A0F">
        <w:t xml:space="preserve">16.4.2 Podíl území/obyvatel z celkové rozlohy ČR/obyvatelstva ČR, zahrnutých do území řešených dokumenty územního a strategického plánování přesahujících úroveň jednotlivých obcí, vzájemně metodicky koordinovaných </w:t>
      </w:r>
    </w:p>
    <w:p w14:paraId="24F88FC7" w14:textId="77777777" w:rsidR="00ED0F2A" w:rsidRPr="006F6A0F" w:rsidRDefault="00ED0F2A" w:rsidP="00362C76">
      <w:pPr>
        <w:pStyle w:val="r2030nelovan"/>
        <w:spacing w:before="120" w:after="0" w:line="276" w:lineRule="auto"/>
        <w:ind w:left="567" w:hanging="567"/>
      </w:pPr>
      <w:r w:rsidRPr="006F6A0F">
        <w:t xml:space="preserve">17.1.1 Migrační saldo (daného území) </w:t>
      </w:r>
    </w:p>
    <w:p w14:paraId="6EB08893" w14:textId="77777777" w:rsidR="00ED0F2A" w:rsidRPr="006F6A0F" w:rsidRDefault="00ED0F2A" w:rsidP="00362C76">
      <w:pPr>
        <w:pStyle w:val="r2030nelovan"/>
        <w:spacing w:before="120" w:after="0" w:line="276" w:lineRule="auto"/>
        <w:ind w:left="567" w:hanging="567"/>
      </w:pPr>
      <w:r w:rsidRPr="006F6A0F">
        <w:t>17.1.2 Index stáří</w:t>
      </w:r>
    </w:p>
    <w:p w14:paraId="057473F4" w14:textId="77777777" w:rsidR="00ED0F2A" w:rsidRPr="006F6A0F" w:rsidRDefault="00ED0F2A" w:rsidP="00362C76">
      <w:pPr>
        <w:pStyle w:val="r2030nelovan"/>
        <w:spacing w:before="120" w:after="0" w:line="276" w:lineRule="auto"/>
        <w:ind w:left="567" w:hanging="567"/>
      </w:pPr>
      <w:r w:rsidRPr="006F6A0F">
        <w:lastRenderedPageBreak/>
        <w:t>17.2.1 Disponibilní příjem domácnosti na 1 obyvatele dle krajů</w:t>
      </w:r>
    </w:p>
    <w:p w14:paraId="5F91178E" w14:textId="77777777" w:rsidR="00ED0F2A" w:rsidRPr="006F6A0F" w:rsidRDefault="00ED0F2A" w:rsidP="00362C76">
      <w:pPr>
        <w:pStyle w:val="r2030nelovan"/>
        <w:spacing w:before="120" w:after="0" w:line="276" w:lineRule="auto"/>
        <w:ind w:left="567" w:hanging="567"/>
      </w:pPr>
      <w:r w:rsidRPr="006F6A0F">
        <w:t xml:space="preserve">17.2.2 Státní podpora malého a středního podnikání mimo hlavní aglomerace </w:t>
      </w:r>
    </w:p>
    <w:p w14:paraId="5C417A1A" w14:textId="77777777" w:rsidR="00ED0F2A" w:rsidRPr="006F6A0F" w:rsidRDefault="00ED0F2A" w:rsidP="00362C76">
      <w:pPr>
        <w:pStyle w:val="r2030nelovan"/>
        <w:spacing w:before="120" w:after="0" w:line="276" w:lineRule="auto"/>
        <w:ind w:left="567" w:hanging="567"/>
      </w:pPr>
      <w:r w:rsidRPr="006F6A0F">
        <w:t>17.3.1 Medián podílu celkových výdajů na bydlení na disponibilním příjmu domácnosti (vše po odečtení příspěvku na bydlení)</w:t>
      </w:r>
    </w:p>
    <w:p w14:paraId="56F61747" w14:textId="77777777" w:rsidR="00ED0F2A" w:rsidRPr="006F6A0F" w:rsidRDefault="00ED0F2A" w:rsidP="00362C76">
      <w:pPr>
        <w:pStyle w:val="r2030nelovan"/>
        <w:spacing w:before="120" w:after="0" w:line="276" w:lineRule="auto"/>
        <w:ind w:left="567" w:hanging="567"/>
      </w:pPr>
      <w:r w:rsidRPr="006F6A0F">
        <w:t>17.3.2 Podíl nájemního bydlení na obydlených bytech</w:t>
      </w:r>
    </w:p>
    <w:p w14:paraId="39E7E4D9" w14:textId="77777777" w:rsidR="00ED0F2A" w:rsidRPr="006F6A0F" w:rsidRDefault="00ED0F2A" w:rsidP="00362C76">
      <w:pPr>
        <w:pStyle w:val="r2030nelovan"/>
        <w:spacing w:before="120" w:after="0" w:line="276" w:lineRule="auto"/>
        <w:ind w:left="567" w:hanging="567"/>
      </w:pPr>
      <w:r w:rsidRPr="006F6A0F">
        <w:t>17.3.3 Byty se sociálním určením pořízené s podporou z prostředků Ministerstva pro místní rozvoj a Státního fondu rozvoje bydlení v roce</w:t>
      </w:r>
    </w:p>
    <w:p w14:paraId="10431B72" w14:textId="77777777" w:rsidR="00ED0F2A" w:rsidRPr="006F6A0F" w:rsidRDefault="00ED0F2A" w:rsidP="00362C76">
      <w:pPr>
        <w:pStyle w:val="r2030nelovan"/>
        <w:spacing w:before="120" w:after="0" w:line="276" w:lineRule="auto"/>
        <w:ind w:left="567" w:hanging="567"/>
      </w:pPr>
      <w:r w:rsidRPr="006F6A0F">
        <w:t>17.3.4 Počet sociálních bytů na bytovém fondu obce</w:t>
      </w:r>
    </w:p>
    <w:p w14:paraId="7980AA3E" w14:textId="77777777" w:rsidR="00ED0F2A" w:rsidRPr="006F6A0F" w:rsidRDefault="00ED0F2A" w:rsidP="00362C76">
      <w:pPr>
        <w:pStyle w:val="r2030nelovan"/>
        <w:spacing w:before="120" w:after="0" w:line="276" w:lineRule="auto"/>
        <w:ind w:left="567" w:hanging="567"/>
      </w:pPr>
      <w:r w:rsidRPr="006F6A0F">
        <w:t>17.4.1 Počet území v rámci správních obvodů obcí s rozšířenou působností s výskytem sociálně vyloučených lokalit</w:t>
      </w:r>
    </w:p>
    <w:p w14:paraId="581017D0" w14:textId="77777777" w:rsidR="00ED0F2A" w:rsidRPr="006F6A0F" w:rsidRDefault="00ED0F2A" w:rsidP="00362C76">
      <w:pPr>
        <w:pStyle w:val="r2030nelovan"/>
        <w:spacing w:before="120" w:after="0" w:line="276" w:lineRule="auto"/>
        <w:ind w:left="567" w:hanging="567"/>
      </w:pPr>
      <w:r w:rsidRPr="006F6A0F">
        <w:t xml:space="preserve">17.4.2 Podíl osob vykazujících známky sociálního vyloučení </w:t>
      </w:r>
    </w:p>
    <w:p w14:paraId="7C6E7A2C" w14:textId="77777777" w:rsidR="00ED0F2A" w:rsidRPr="006F6A0F" w:rsidRDefault="00ED0F2A" w:rsidP="00362C76">
      <w:pPr>
        <w:pStyle w:val="r2030nelovan"/>
        <w:spacing w:before="120" w:after="0" w:line="276" w:lineRule="auto"/>
        <w:ind w:left="567" w:hanging="567"/>
      </w:pPr>
      <w:r w:rsidRPr="006F6A0F">
        <w:t>17.4.3 Počet místních integrovaných strategií</w:t>
      </w:r>
    </w:p>
    <w:p w14:paraId="3551F49A" w14:textId="77777777" w:rsidR="00ED0F2A" w:rsidRPr="006F6A0F" w:rsidRDefault="00ED0F2A" w:rsidP="00362C76">
      <w:pPr>
        <w:pStyle w:val="r2030nelovan"/>
        <w:spacing w:before="120" w:after="0" w:line="276" w:lineRule="auto"/>
        <w:ind w:left="567" w:hanging="567"/>
      </w:pPr>
      <w:r w:rsidRPr="006F6A0F">
        <w:t>17.4.4 Spokojenost s mezilidskými vztahy v obci</w:t>
      </w:r>
    </w:p>
    <w:p w14:paraId="24219349" w14:textId="77777777" w:rsidR="00ED0F2A" w:rsidRPr="006F6A0F" w:rsidRDefault="00ED0F2A" w:rsidP="00362C76">
      <w:pPr>
        <w:pStyle w:val="r2030nelovan"/>
        <w:spacing w:before="120" w:after="0" w:line="276" w:lineRule="auto"/>
        <w:ind w:left="567" w:hanging="567"/>
      </w:pPr>
      <w:r w:rsidRPr="006F6A0F">
        <w:t>17.4.5 Podíl osob se špatně vnímanou celkovou sociální podporou</w:t>
      </w:r>
    </w:p>
    <w:p w14:paraId="371C1B1B" w14:textId="54069AD6" w:rsidR="00ED0F2A" w:rsidRPr="006F6A0F" w:rsidRDefault="00425AF3" w:rsidP="00362C76">
      <w:pPr>
        <w:pStyle w:val="r2030nelovan"/>
        <w:spacing w:before="120" w:after="0" w:line="276" w:lineRule="auto"/>
        <w:ind w:left="567" w:hanging="567"/>
      </w:pPr>
      <w:r w:rsidRPr="006F6A0F">
        <w:t>18.1.1</w:t>
      </w:r>
      <w:r w:rsidR="00ED0F2A" w:rsidRPr="006F6A0F">
        <w:t xml:space="preserve"> Roční zábor zemědělského půdního fondu </w:t>
      </w:r>
    </w:p>
    <w:p w14:paraId="4C48AE81" w14:textId="67E36482" w:rsidR="00ED0F2A" w:rsidRPr="006F6A0F" w:rsidRDefault="00425AF3" w:rsidP="00362C76">
      <w:pPr>
        <w:pStyle w:val="r2030nelovan"/>
        <w:spacing w:before="120" w:after="0" w:line="276" w:lineRule="auto"/>
        <w:ind w:left="567" w:hanging="567"/>
      </w:pPr>
      <w:r w:rsidRPr="006F6A0F">
        <w:t>18.1.2</w:t>
      </w:r>
      <w:r w:rsidR="00ED0F2A" w:rsidRPr="006F6A0F">
        <w:t xml:space="preserve"> Podíl počtu obyvatel ORP vůči výměře zastavěného území v ORP</w:t>
      </w:r>
    </w:p>
    <w:p w14:paraId="1B5B6095" w14:textId="77777777" w:rsidR="00ED0F2A" w:rsidRPr="006F6A0F" w:rsidRDefault="00ED0F2A" w:rsidP="00362C76">
      <w:pPr>
        <w:pStyle w:val="r2030nelovan"/>
        <w:spacing w:before="120" w:after="0" w:line="276" w:lineRule="auto"/>
        <w:ind w:left="567" w:hanging="567"/>
      </w:pPr>
      <w:r w:rsidRPr="006F6A0F">
        <w:t>18.1.3 Počet a plocha výměry brownfieldů v kraji</w:t>
      </w:r>
    </w:p>
    <w:p w14:paraId="1B95062E" w14:textId="77777777" w:rsidR="00ED0F2A" w:rsidRPr="006F6A0F" w:rsidRDefault="00ED0F2A" w:rsidP="00362C76">
      <w:pPr>
        <w:pStyle w:val="r2030nelovan"/>
        <w:spacing w:before="120" w:after="0" w:line="276" w:lineRule="auto"/>
        <w:ind w:left="567" w:hanging="567"/>
      </w:pPr>
      <w:r w:rsidRPr="006F6A0F">
        <w:t xml:space="preserve">18.2.1 Počet municipalit naplňujících požadavky metodiky "Standardy dostupnosti veřejné infrastruktury" </w:t>
      </w:r>
    </w:p>
    <w:p w14:paraId="3F1AC237" w14:textId="77777777" w:rsidR="00ED0F2A" w:rsidRPr="006F6A0F" w:rsidRDefault="00ED0F2A" w:rsidP="00362C76">
      <w:pPr>
        <w:pStyle w:val="r2030nelovan"/>
        <w:spacing w:before="120" w:after="0" w:line="276" w:lineRule="auto"/>
        <w:ind w:left="567" w:hanging="567"/>
      </w:pPr>
      <w:r w:rsidRPr="006F6A0F">
        <w:t xml:space="preserve">18.2.2 Ročně ujeté vozokilometry MHD ve městech </w:t>
      </w:r>
    </w:p>
    <w:p w14:paraId="009997F8" w14:textId="77777777" w:rsidR="00ED0F2A" w:rsidRPr="006F6A0F" w:rsidRDefault="00ED0F2A" w:rsidP="00362C76">
      <w:pPr>
        <w:pStyle w:val="r2030nelovan"/>
        <w:spacing w:before="120" w:after="0" w:line="276" w:lineRule="auto"/>
        <w:ind w:left="567" w:hanging="567"/>
      </w:pPr>
      <w:r w:rsidRPr="006F6A0F">
        <w:t xml:space="preserve">18.2.3 Podíl nízkopodlažních vozidel MHD ve městech </w:t>
      </w:r>
    </w:p>
    <w:p w14:paraId="1F67AC5C" w14:textId="77777777" w:rsidR="00ED0F2A" w:rsidRPr="006F6A0F" w:rsidRDefault="00ED0F2A" w:rsidP="00362C76">
      <w:pPr>
        <w:pStyle w:val="r2030nelovan"/>
        <w:spacing w:before="120" w:after="0" w:line="276" w:lineRule="auto"/>
        <w:ind w:left="567" w:hanging="567"/>
      </w:pPr>
      <w:r w:rsidRPr="006F6A0F">
        <w:t>18.3.1 Počet realizátorů místní Agendy 21</w:t>
      </w:r>
    </w:p>
    <w:p w14:paraId="674BFFCA" w14:textId="77777777" w:rsidR="00ED0F2A" w:rsidRPr="006F6A0F" w:rsidRDefault="00ED0F2A" w:rsidP="00362C76">
      <w:pPr>
        <w:pStyle w:val="r2030nelovan"/>
        <w:spacing w:before="120" w:after="0" w:line="276" w:lineRule="auto"/>
        <w:ind w:left="567" w:hanging="567"/>
      </w:pPr>
      <w:r w:rsidRPr="006F6A0F">
        <w:t>18.3.2 Počet strategií CLLD</w:t>
      </w:r>
    </w:p>
    <w:p w14:paraId="69A0E0D4" w14:textId="77777777" w:rsidR="00ED0F2A" w:rsidRPr="006F6A0F" w:rsidRDefault="00ED0F2A" w:rsidP="00362C76">
      <w:pPr>
        <w:pStyle w:val="r2030nelovan"/>
        <w:spacing w:before="120" w:after="0" w:line="276" w:lineRule="auto"/>
        <w:ind w:left="567" w:hanging="567"/>
      </w:pPr>
      <w:r w:rsidRPr="006F6A0F">
        <w:t>18.3.3 Počet obcí uskutečňujících participativní rozpočtování</w:t>
      </w:r>
    </w:p>
    <w:p w14:paraId="5BDE1183" w14:textId="77777777" w:rsidR="00ED0F2A" w:rsidRPr="006F6A0F" w:rsidRDefault="00ED0F2A" w:rsidP="00362C76">
      <w:pPr>
        <w:pStyle w:val="r2030nelovan"/>
        <w:spacing w:before="120" w:after="0" w:line="276" w:lineRule="auto"/>
        <w:ind w:left="567" w:hanging="567"/>
      </w:pPr>
      <w:r w:rsidRPr="006F6A0F">
        <w:t>19.1.1 Podíl integrovaných strategií obcí III. stupně obsahujících problematiku změny klimatu</w:t>
      </w:r>
    </w:p>
    <w:p w14:paraId="7152A907" w14:textId="77777777" w:rsidR="00ED0F2A" w:rsidRPr="006F6A0F" w:rsidRDefault="00ED0F2A" w:rsidP="00362C76">
      <w:pPr>
        <w:pStyle w:val="r2030nelovan"/>
        <w:spacing w:before="120" w:after="0" w:line="276" w:lineRule="auto"/>
        <w:ind w:left="567" w:hanging="567"/>
      </w:pPr>
      <w:r w:rsidRPr="006F6A0F">
        <w:t>19.2.1 Tepelný ostrov města</w:t>
      </w:r>
    </w:p>
    <w:p w14:paraId="0B2B549A" w14:textId="77777777" w:rsidR="00ED0F2A" w:rsidRPr="006F6A0F" w:rsidRDefault="00ED0F2A" w:rsidP="00362C76">
      <w:pPr>
        <w:pStyle w:val="r2030nelovan"/>
        <w:spacing w:before="120" w:after="0" w:line="276" w:lineRule="auto"/>
        <w:ind w:left="567" w:hanging="567"/>
      </w:pPr>
      <w:r w:rsidRPr="006F6A0F">
        <w:t>19.3.1 Podíl dokončených budov ve třídě A na počtu dokončených budov</w:t>
      </w:r>
    </w:p>
    <w:p w14:paraId="18595085" w14:textId="77777777" w:rsidR="00ED0F2A" w:rsidRPr="006F6A0F" w:rsidRDefault="00ED0F2A" w:rsidP="00362C76">
      <w:pPr>
        <w:pStyle w:val="r2030nelovan"/>
        <w:spacing w:before="120" w:after="0" w:line="276" w:lineRule="auto"/>
        <w:ind w:left="567" w:hanging="567"/>
      </w:pPr>
      <w:r w:rsidRPr="006F6A0F">
        <w:t>19.3.2 Podíl adaptovaných budov</w:t>
      </w:r>
    </w:p>
    <w:p w14:paraId="3572B71D" w14:textId="77777777" w:rsidR="00ED0F2A" w:rsidRPr="006F6A0F" w:rsidRDefault="00ED0F2A" w:rsidP="00362C76">
      <w:pPr>
        <w:pStyle w:val="r2030nelovan"/>
        <w:spacing w:before="120" w:after="0" w:line="276" w:lineRule="auto"/>
        <w:ind w:left="567" w:hanging="567"/>
      </w:pPr>
      <w:r w:rsidRPr="006F6A0F">
        <w:t xml:space="preserve">19.4.1 Podíl plochy zeleně ve městech </w:t>
      </w:r>
    </w:p>
    <w:p w14:paraId="0CE7A13D" w14:textId="77777777" w:rsidR="00ED0F2A" w:rsidRPr="006F6A0F" w:rsidRDefault="00ED0F2A" w:rsidP="00362C76">
      <w:pPr>
        <w:pStyle w:val="r2030nelovan"/>
        <w:spacing w:before="120" w:after="0" w:line="276" w:lineRule="auto"/>
        <w:ind w:left="567" w:hanging="567"/>
      </w:pPr>
      <w:r w:rsidRPr="006F6A0F">
        <w:t xml:space="preserve">19.5.1 Počet kilometrů nově vybudovaných úseků cyklistické infrastruktury </w:t>
      </w:r>
    </w:p>
    <w:p w14:paraId="2D216280" w14:textId="77777777" w:rsidR="00ED0F2A" w:rsidRPr="006F6A0F" w:rsidRDefault="00ED0F2A" w:rsidP="00362C76">
      <w:pPr>
        <w:pStyle w:val="r2030nelovan"/>
        <w:spacing w:before="120" w:after="0" w:line="276" w:lineRule="auto"/>
        <w:ind w:left="567" w:hanging="567"/>
      </w:pPr>
      <w:r w:rsidRPr="006F6A0F">
        <w:t xml:space="preserve">19.6.1 Počet elektrovozidel  </w:t>
      </w:r>
    </w:p>
    <w:p w14:paraId="74CC8AF5" w14:textId="77777777" w:rsidR="00ED0F2A" w:rsidRPr="006F6A0F" w:rsidRDefault="00ED0F2A" w:rsidP="00362C76">
      <w:pPr>
        <w:pStyle w:val="r2030nelovan"/>
        <w:spacing w:before="120" w:after="0" w:line="276" w:lineRule="auto"/>
        <w:ind w:left="567" w:hanging="567"/>
      </w:pPr>
      <w:r w:rsidRPr="006F6A0F">
        <w:t xml:space="preserve">19.6.2 Počet rychlodobíjecích stanic na veřejné silniční síti. </w:t>
      </w:r>
    </w:p>
    <w:p w14:paraId="65FBDDA0" w14:textId="77777777" w:rsidR="00ED0F2A" w:rsidRPr="006F6A0F" w:rsidRDefault="00ED0F2A" w:rsidP="00362C76">
      <w:pPr>
        <w:pStyle w:val="r2030nelovan"/>
        <w:spacing w:before="120" w:after="0" w:line="276" w:lineRule="auto"/>
        <w:ind w:left="567" w:hanging="567"/>
      </w:pPr>
      <w:r w:rsidRPr="006F6A0F">
        <w:t>19.6.3 Počet vozidel na zemní plyn (CNG/LNG)</w:t>
      </w:r>
    </w:p>
    <w:p w14:paraId="0A723073" w14:textId="77777777" w:rsidR="00ED0F2A" w:rsidRPr="006F6A0F" w:rsidRDefault="00ED0F2A" w:rsidP="00362C76">
      <w:pPr>
        <w:pStyle w:val="r2030nelovan"/>
        <w:spacing w:before="120" w:after="0" w:line="276" w:lineRule="auto"/>
        <w:ind w:left="567" w:hanging="567"/>
      </w:pPr>
      <w:r w:rsidRPr="006F6A0F">
        <w:t>19.6.4 Počet napájecích stanic CNG/LNG na veřejné silniční síti</w:t>
      </w:r>
    </w:p>
    <w:p w14:paraId="6D1EAD45" w14:textId="13A5119F" w:rsidR="00D01E36" w:rsidRPr="006F6A0F" w:rsidRDefault="00D01E36" w:rsidP="00362C76">
      <w:pPr>
        <w:pStyle w:val="r2030nelovan"/>
        <w:spacing w:before="120" w:after="0" w:line="276" w:lineRule="auto"/>
        <w:ind w:left="567" w:hanging="567"/>
      </w:pPr>
      <w:r w:rsidRPr="006F6A0F">
        <w:lastRenderedPageBreak/>
        <w:t>19.7.1 Absolutní množství produkovaného komunálního odpadu</w:t>
      </w:r>
    </w:p>
    <w:p w14:paraId="3EA1B849" w14:textId="53103722" w:rsidR="00D01E36" w:rsidRPr="006F6A0F" w:rsidRDefault="00D01E36" w:rsidP="00362C76">
      <w:pPr>
        <w:pStyle w:val="r2030nelovan"/>
        <w:spacing w:before="120" w:after="0" w:line="276" w:lineRule="auto"/>
        <w:ind w:left="567" w:hanging="567"/>
      </w:pPr>
      <w:r w:rsidRPr="006F6A0F">
        <w:t>19.7.2 Absolutní množství skládkovaného komunálního odpadu</w:t>
      </w:r>
    </w:p>
    <w:p w14:paraId="59B95FC7" w14:textId="77777777" w:rsidR="00ED0F2A" w:rsidRPr="006F6A0F" w:rsidRDefault="00ED0F2A" w:rsidP="00362C76">
      <w:pPr>
        <w:pStyle w:val="r2030nelovan"/>
        <w:spacing w:before="120" w:after="0" w:line="276" w:lineRule="auto"/>
        <w:ind w:left="567" w:hanging="567"/>
      </w:pPr>
      <w:r w:rsidRPr="006F6A0F">
        <w:t>20.1.1 Existující metodická podpora nástrojům pro udržitelný rozvoj municipalit</w:t>
      </w:r>
    </w:p>
    <w:p w14:paraId="379C3161" w14:textId="77777777" w:rsidR="00ED0F2A" w:rsidRPr="006F6A0F" w:rsidRDefault="00ED0F2A" w:rsidP="00362C76">
      <w:pPr>
        <w:pStyle w:val="r2030nelovan"/>
        <w:spacing w:before="120" w:after="0" w:line="276" w:lineRule="auto"/>
        <w:ind w:left="567" w:hanging="567"/>
      </w:pPr>
      <w:r w:rsidRPr="006F6A0F">
        <w:t>20.2.1 Četnost využívání řízení kvality v samosprávných úřadech</w:t>
      </w:r>
    </w:p>
    <w:p w14:paraId="7E1F3924" w14:textId="77777777" w:rsidR="00ED0F2A" w:rsidRPr="006F6A0F" w:rsidRDefault="00ED0F2A" w:rsidP="00362C76">
      <w:pPr>
        <w:pStyle w:val="r2030nelovan"/>
        <w:spacing w:before="120" w:after="0" w:line="276" w:lineRule="auto"/>
        <w:ind w:left="567" w:hanging="567"/>
      </w:pPr>
      <w:r w:rsidRPr="006F6A0F">
        <w:t>20.3.1 Počet realizátorů MA21</w:t>
      </w:r>
    </w:p>
    <w:p w14:paraId="0EE0114B" w14:textId="77777777" w:rsidR="00ED0F2A" w:rsidRPr="006F6A0F" w:rsidRDefault="00ED0F2A" w:rsidP="00362C76">
      <w:pPr>
        <w:pStyle w:val="r2030nelovan"/>
        <w:spacing w:before="120" w:after="0" w:line="276" w:lineRule="auto"/>
        <w:ind w:left="567" w:hanging="567"/>
      </w:pPr>
      <w:r w:rsidRPr="006F6A0F">
        <w:t xml:space="preserve">21.1.1 Promítnutí Agendy 2030 do koncepčních a strategických dokumentů ČR, EU a nejvýznamnějších mezinárodních organizací. </w:t>
      </w:r>
    </w:p>
    <w:p w14:paraId="45041D6C" w14:textId="77777777" w:rsidR="00ED0F2A" w:rsidRPr="006F6A0F" w:rsidRDefault="00ED0F2A" w:rsidP="00362C76">
      <w:pPr>
        <w:pStyle w:val="r2030nelovan"/>
        <w:spacing w:before="120" w:after="0" w:line="276" w:lineRule="auto"/>
        <w:ind w:left="567" w:hanging="567"/>
      </w:pPr>
      <w:r w:rsidRPr="006F6A0F">
        <w:t xml:space="preserve">21.1.2 Podíl ODA na HND. </w:t>
      </w:r>
    </w:p>
    <w:p w14:paraId="49E99465" w14:textId="77777777" w:rsidR="00ED0F2A" w:rsidRPr="006F6A0F" w:rsidRDefault="00ED0F2A" w:rsidP="00362C76">
      <w:pPr>
        <w:pStyle w:val="r2030nelovan"/>
        <w:spacing w:before="120" w:after="0" w:line="276" w:lineRule="auto"/>
        <w:ind w:left="567" w:hanging="567"/>
      </w:pPr>
      <w:r w:rsidRPr="006F6A0F">
        <w:t>21.2.1 Procenta bilaterální oficiální rozvojové spolupráce vynaložená na posílení rozvojových zemí v oblasti lidských práv a dobrého vládnutí, jak jsou vymezeny v rámci SDG16.</w:t>
      </w:r>
    </w:p>
    <w:p w14:paraId="20EED091" w14:textId="77777777" w:rsidR="00ED0F2A" w:rsidRPr="006F6A0F" w:rsidRDefault="00ED0F2A" w:rsidP="00362C76">
      <w:pPr>
        <w:pStyle w:val="r2030nelovan"/>
        <w:spacing w:before="120" w:after="0" w:line="276" w:lineRule="auto"/>
        <w:ind w:left="567" w:hanging="567"/>
      </w:pPr>
      <w:r w:rsidRPr="006F6A0F">
        <w:t xml:space="preserve">21.3.1 Zastoupení ČR ve volených orgánech nejvýznamnějších mezinárodních organizací relevantních pro udržitelný rozvoj. </w:t>
      </w:r>
    </w:p>
    <w:p w14:paraId="04C41768" w14:textId="77777777" w:rsidR="00ED0F2A" w:rsidRPr="006F6A0F" w:rsidRDefault="00ED0F2A" w:rsidP="00362C76">
      <w:pPr>
        <w:pStyle w:val="r2030nelovan"/>
        <w:spacing w:before="120" w:after="0" w:line="276" w:lineRule="auto"/>
        <w:ind w:left="567" w:hanging="567"/>
      </w:pPr>
      <w:r w:rsidRPr="006F6A0F">
        <w:t xml:space="preserve">22.1.1 Soulad koncepčních dokumentů a programů vnějších politik České republiky s přijatými mezinárodními závazky a národními prioritami v oblasti udržitelného rozvoje  </w:t>
      </w:r>
    </w:p>
    <w:p w14:paraId="71C2A441" w14:textId="77777777" w:rsidR="00ED0F2A" w:rsidRPr="006F6A0F" w:rsidRDefault="00ED0F2A" w:rsidP="00362C76">
      <w:pPr>
        <w:pStyle w:val="r2030nelovan"/>
        <w:spacing w:before="120" w:after="0" w:line="276" w:lineRule="auto"/>
        <w:ind w:left="567" w:hanging="567"/>
      </w:pPr>
      <w:r w:rsidRPr="006F6A0F">
        <w:t>22.2.1 Vytvoření metodiky ke koherenci politik pro veřejnou správu a její pilotní aplikace na konkrétní tematické oblasti</w:t>
      </w:r>
    </w:p>
    <w:p w14:paraId="532449A6" w14:textId="77777777" w:rsidR="00ED0F2A" w:rsidRPr="006F6A0F" w:rsidRDefault="00ED0F2A" w:rsidP="00362C76">
      <w:pPr>
        <w:pStyle w:val="r2030nelovan"/>
        <w:spacing w:before="120" w:after="0" w:line="276" w:lineRule="auto"/>
        <w:ind w:left="567" w:hanging="567"/>
      </w:pPr>
      <w:r w:rsidRPr="006F6A0F">
        <w:t xml:space="preserve">22.2.2 Pravidelné vyhodnocení koherence klíčových politik v jednotlivých tematických oblastech </w:t>
      </w:r>
    </w:p>
    <w:p w14:paraId="322A3ED8" w14:textId="77777777" w:rsidR="00ED0F2A" w:rsidRPr="006F6A0F" w:rsidRDefault="00ED0F2A" w:rsidP="00362C76">
      <w:pPr>
        <w:pStyle w:val="r2030nelovan"/>
        <w:spacing w:before="120" w:after="0" w:line="276" w:lineRule="auto"/>
        <w:ind w:left="567" w:hanging="567"/>
      </w:pPr>
      <w:r w:rsidRPr="006F6A0F">
        <w:t xml:space="preserve">22.3.1 Zapojení České republiky do mezinárodních platforem na evropské a globální úrovni, kde je projednávána problematika koherence politik </w:t>
      </w:r>
    </w:p>
    <w:p w14:paraId="19B9C0A2" w14:textId="77777777" w:rsidR="00ED0F2A" w:rsidRPr="006F6A0F" w:rsidRDefault="00ED0F2A" w:rsidP="00362C76">
      <w:pPr>
        <w:pStyle w:val="r2030nelovan"/>
        <w:spacing w:before="120" w:after="0" w:line="276" w:lineRule="auto"/>
        <w:ind w:left="567" w:hanging="567"/>
      </w:pPr>
      <w:r w:rsidRPr="006F6A0F">
        <w:t>23.1.1 Počet projektů realizovaných správními úřady v oblasti vzdělávání a v oblasti tvorby nových nebo úpravy stávajících vnitřních systémů vzdělávání či koncepcí/strategií vzdělávání</w:t>
      </w:r>
    </w:p>
    <w:p w14:paraId="061FCA5E" w14:textId="77777777" w:rsidR="00ED0F2A" w:rsidRPr="006F6A0F" w:rsidRDefault="00ED0F2A" w:rsidP="00362C76">
      <w:pPr>
        <w:pStyle w:val="r2030nelovan"/>
        <w:spacing w:before="120" w:after="0" w:line="276" w:lineRule="auto"/>
        <w:ind w:left="567" w:hanging="567"/>
      </w:pPr>
      <w:r w:rsidRPr="006F6A0F">
        <w:t>23.1.2 Počet projektů realizovaných územními samosprávnými celky v oblasti vzdělávání zaměstnanců a rozvoje lidských zdrojů</w:t>
      </w:r>
    </w:p>
    <w:p w14:paraId="0CA31E84" w14:textId="77777777" w:rsidR="00ED0F2A" w:rsidRPr="006F6A0F" w:rsidRDefault="00ED0F2A" w:rsidP="00362C76">
      <w:pPr>
        <w:pStyle w:val="r2030nelovan"/>
        <w:spacing w:before="120" w:after="0" w:line="276" w:lineRule="auto"/>
        <w:ind w:left="567" w:hanging="567"/>
      </w:pPr>
      <w:r w:rsidRPr="006F6A0F">
        <w:t>23.1.3 Počet úředníků proškolených v oblasti strategické práce</w:t>
      </w:r>
    </w:p>
    <w:p w14:paraId="68D6616D" w14:textId="77777777" w:rsidR="00ED0F2A" w:rsidRPr="006F6A0F" w:rsidRDefault="00ED0F2A" w:rsidP="00362C76">
      <w:pPr>
        <w:pStyle w:val="r2030nelovan"/>
        <w:spacing w:before="120" w:after="0" w:line="276" w:lineRule="auto"/>
        <w:ind w:left="567" w:hanging="567"/>
      </w:pPr>
      <w:r w:rsidRPr="006F6A0F">
        <w:t>23.2.1 Počet realizátorů MA21</w:t>
      </w:r>
    </w:p>
    <w:p w14:paraId="03648AA3" w14:textId="77777777" w:rsidR="00ED0F2A" w:rsidRPr="006F6A0F" w:rsidRDefault="00ED0F2A" w:rsidP="00362C76">
      <w:pPr>
        <w:pStyle w:val="r2030nelovan"/>
        <w:spacing w:before="120" w:after="0" w:line="276" w:lineRule="auto"/>
        <w:ind w:left="567" w:hanging="567"/>
      </w:pPr>
      <w:r w:rsidRPr="006F6A0F">
        <w:t>23.3.1 Hodnocení výzkumných organizací</w:t>
      </w:r>
    </w:p>
    <w:p w14:paraId="4327423E" w14:textId="77777777" w:rsidR="00ED0F2A" w:rsidRPr="006F6A0F" w:rsidRDefault="00ED0F2A" w:rsidP="00362C76">
      <w:pPr>
        <w:pStyle w:val="r2030nelovan"/>
        <w:spacing w:before="120" w:after="0" w:line="276" w:lineRule="auto"/>
        <w:ind w:left="567" w:hanging="567"/>
      </w:pPr>
      <w:r w:rsidRPr="006F6A0F">
        <w:t xml:space="preserve">24.1.1 Počet  služebních úřadů využívajících řízení kvality </w:t>
      </w:r>
    </w:p>
    <w:p w14:paraId="542512BF" w14:textId="77777777" w:rsidR="00ED0F2A" w:rsidRPr="006F6A0F" w:rsidRDefault="00ED0F2A" w:rsidP="00362C76">
      <w:pPr>
        <w:pStyle w:val="r2030nelovan"/>
        <w:spacing w:before="120" w:after="0" w:line="276" w:lineRule="auto"/>
        <w:ind w:left="567" w:hanging="567"/>
      </w:pPr>
      <w:r w:rsidRPr="006F6A0F">
        <w:t xml:space="preserve">24.1.2 Počet územních samosprávných celků a obcí využívajících řízení kvality </w:t>
      </w:r>
    </w:p>
    <w:p w14:paraId="2D4D1B81" w14:textId="77777777" w:rsidR="00ED0F2A" w:rsidRPr="006F6A0F" w:rsidRDefault="00ED0F2A" w:rsidP="00362C76">
      <w:pPr>
        <w:pStyle w:val="r2030nelovan"/>
        <w:spacing w:before="120" w:after="0" w:line="276" w:lineRule="auto"/>
        <w:ind w:left="567" w:hanging="567"/>
      </w:pPr>
      <w:r w:rsidRPr="006F6A0F">
        <w:t xml:space="preserve">24.1.3 Institucionální kapacita pro potřeby strategické práce </w:t>
      </w:r>
    </w:p>
    <w:p w14:paraId="0224EFD8" w14:textId="77777777" w:rsidR="00ED0F2A" w:rsidRPr="006F6A0F" w:rsidRDefault="00ED0F2A" w:rsidP="00362C76">
      <w:pPr>
        <w:pStyle w:val="r2030nelovan"/>
        <w:spacing w:before="120" w:after="0" w:line="276" w:lineRule="auto"/>
        <w:ind w:left="567" w:hanging="567"/>
      </w:pPr>
      <w:r w:rsidRPr="006F6A0F">
        <w:t>24.2.1 Nastavení hierarchického systému strategických dokumentů</w:t>
      </w:r>
    </w:p>
    <w:p w14:paraId="5E11EBFC" w14:textId="77777777" w:rsidR="00ED0F2A" w:rsidRPr="006F6A0F" w:rsidRDefault="00ED0F2A" w:rsidP="00362C76">
      <w:pPr>
        <w:pStyle w:val="r2030nelovan"/>
        <w:spacing w:before="120" w:after="0" w:line="276" w:lineRule="auto"/>
        <w:ind w:left="567" w:hanging="567"/>
      </w:pPr>
      <w:r w:rsidRPr="006F6A0F">
        <w:t>24.2.2 Podíl/počet strategických dokumentů připravených v souladu s Metodikou přípravy veřejných strategií</w:t>
      </w:r>
    </w:p>
    <w:p w14:paraId="70971D6E" w14:textId="77777777" w:rsidR="00ED0F2A" w:rsidRPr="006F6A0F" w:rsidRDefault="00ED0F2A" w:rsidP="00362C76">
      <w:pPr>
        <w:pStyle w:val="r2030nelovan"/>
        <w:spacing w:before="120" w:after="0" w:line="276" w:lineRule="auto"/>
        <w:ind w:left="567" w:hanging="567"/>
      </w:pPr>
      <w:r w:rsidRPr="006F6A0F">
        <w:t xml:space="preserve">24.3.1 Hodnocení dopadů navrhované regulace </w:t>
      </w:r>
    </w:p>
    <w:p w14:paraId="7050F19B" w14:textId="77777777" w:rsidR="00ED0F2A" w:rsidRPr="006F6A0F" w:rsidRDefault="00ED0F2A" w:rsidP="00362C76">
      <w:pPr>
        <w:pStyle w:val="r2030nelovan"/>
        <w:spacing w:before="120" w:after="0" w:line="276" w:lineRule="auto"/>
        <w:ind w:left="567" w:hanging="567"/>
      </w:pPr>
      <w:r w:rsidRPr="006F6A0F">
        <w:t xml:space="preserve">24.4.1 Počet evaluací veřejných politik (zpráv, studií, či podkladů) </w:t>
      </w:r>
    </w:p>
    <w:p w14:paraId="6C51AFD5" w14:textId="77777777" w:rsidR="00ED0F2A" w:rsidRPr="006F6A0F" w:rsidRDefault="00ED0F2A" w:rsidP="00362C76">
      <w:pPr>
        <w:pStyle w:val="r2030nelovan"/>
        <w:spacing w:before="120" w:after="0" w:line="276" w:lineRule="auto"/>
        <w:ind w:left="567" w:hanging="567"/>
      </w:pPr>
      <w:r w:rsidRPr="006F6A0F">
        <w:lastRenderedPageBreak/>
        <w:t>24.4.2 Počet institucí veřejné správy zastoupených na konferenci evaluačních jednotek pořádané evaluační jednotkou Národního orgánu pro koordinaci.</w:t>
      </w:r>
    </w:p>
    <w:p w14:paraId="14D36735" w14:textId="77777777" w:rsidR="00ED0F2A" w:rsidRPr="006F6A0F" w:rsidRDefault="00ED0F2A" w:rsidP="00362C76">
      <w:pPr>
        <w:pStyle w:val="r2030nelovan"/>
        <w:spacing w:before="120" w:after="0" w:line="276" w:lineRule="auto"/>
        <w:ind w:left="567" w:hanging="567"/>
      </w:pPr>
      <w:r w:rsidRPr="006F6A0F">
        <w:t>25.1.1 Schválené a do Databáze strategií vložené – nové i aktualizované – strategické dokumenty</w:t>
      </w:r>
    </w:p>
    <w:p w14:paraId="0D2B143B" w14:textId="77777777" w:rsidR="00ED0F2A" w:rsidRPr="006F6A0F" w:rsidRDefault="00ED0F2A" w:rsidP="00362C76">
      <w:pPr>
        <w:pStyle w:val="r2030nelovan"/>
        <w:spacing w:before="120" w:after="0" w:line="276" w:lineRule="auto"/>
        <w:ind w:left="567" w:hanging="567"/>
      </w:pPr>
      <w:r w:rsidRPr="006F6A0F">
        <w:t>25.1.2 Počet zveřejněných analýz</w:t>
      </w:r>
    </w:p>
    <w:p w14:paraId="48B3C2D8" w14:textId="77777777" w:rsidR="00ED0F2A" w:rsidRPr="006F6A0F" w:rsidRDefault="00ED0F2A" w:rsidP="00362C76">
      <w:pPr>
        <w:pStyle w:val="r2030nelovan"/>
        <w:spacing w:before="120" w:after="0" w:line="276" w:lineRule="auto"/>
        <w:ind w:left="567" w:hanging="567"/>
      </w:pPr>
      <w:r w:rsidRPr="006F6A0F">
        <w:t xml:space="preserve">25.2.1 Zpřístupnění obsahu, transparentnost, open data </w:t>
      </w:r>
    </w:p>
    <w:p w14:paraId="3346C724" w14:textId="77777777" w:rsidR="00ED0F2A" w:rsidRPr="006F6A0F" w:rsidRDefault="00ED0F2A" w:rsidP="00362C76">
      <w:pPr>
        <w:pStyle w:val="r2030nelovan"/>
        <w:spacing w:before="120" w:after="0" w:line="276" w:lineRule="auto"/>
        <w:ind w:left="567" w:hanging="567"/>
      </w:pPr>
      <w:r w:rsidRPr="006F6A0F">
        <w:t xml:space="preserve">25.2.2 Počet osob využívajících ke komunikaci s úřady internet </w:t>
      </w:r>
    </w:p>
    <w:p w14:paraId="3D526E6B" w14:textId="77777777" w:rsidR="00ED0F2A" w:rsidRPr="006F6A0F" w:rsidRDefault="00ED0F2A" w:rsidP="00362C76">
      <w:pPr>
        <w:pStyle w:val="r2030nelovan"/>
        <w:spacing w:before="120" w:after="0" w:line="276" w:lineRule="auto"/>
        <w:ind w:left="567" w:hanging="567"/>
      </w:pPr>
      <w:r w:rsidRPr="006F6A0F">
        <w:t>25.3.1 Míra využití existujících forem stáží a studií mezi českou veřejnou správou a EU</w:t>
      </w:r>
    </w:p>
    <w:p w14:paraId="1E62DD82" w14:textId="77777777" w:rsidR="00ED0F2A" w:rsidRPr="006F6A0F" w:rsidRDefault="00ED0F2A" w:rsidP="00362C76">
      <w:pPr>
        <w:pStyle w:val="r2030nelovan"/>
        <w:spacing w:before="120" w:after="0" w:line="276" w:lineRule="auto"/>
        <w:ind w:left="567" w:hanging="567"/>
      </w:pPr>
      <w:r w:rsidRPr="006F6A0F">
        <w:t xml:space="preserve">26.1.1 Počet přihlášek do European Public Sector Awards </w:t>
      </w:r>
    </w:p>
    <w:p w14:paraId="51D88783" w14:textId="77777777" w:rsidR="00ED0F2A" w:rsidRPr="006F6A0F" w:rsidRDefault="00ED0F2A" w:rsidP="00362C76">
      <w:pPr>
        <w:pStyle w:val="r2030nelovan"/>
        <w:spacing w:before="120" w:after="0" w:line="276" w:lineRule="auto"/>
        <w:ind w:left="567" w:hanging="567"/>
      </w:pPr>
      <w:r w:rsidRPr="006F6A0F">
        <w:t xml:space="preserve">26.1.2 Počet záznamů v databázi OECD Observatory of Public Sector Innovation </w:t>
      </w:r>
    </w:p>
    <w:p w14:paraId="7AD38AC5" w14:textId="77777777" w:rsidR="00ED0F2A" w:rsidRPr="006F6A0F" w:rsidRDefault="00ED0F2A" w:rsidP="00362C76">
      <w:pPr>
        <w:pStyle w:val="r2030nelovan"/>
        <w:spacing w:before="120" w:after="0" w:line="276" w:lineRule="auto"/>
        <w:ind w:left="567" w:hanging="567"/>
      </w:pPr>
      <w:r w:rsidRPr="006F6A0F">
        <w:t>26.1.3 Počet institucí, které se přihlásily do soutěže o Cenu Ministerstva vnitra za inovaci ve veřejné správě.</w:t>
      </w:r>
    </w:p>
    <w:p w14:paraId="207FB422" w14:textId="77777777" w:rsidR="00ED0F2A" w:rsidRPr="006F6A0F" w:rsidRDefault="00ED0F2A" w:rsidP="00362C76">
      <w:pPr>
        <w:pStyle w:val="r2030nelovan"/>
        <w:spacing w:before="120" w:after="0" w:line="276" w:lineRule="auto"/>
        <w:ind w:left="567" w:hanging="567"/>
      </w:pPr>
      <w:r w:rsidRPr="006F6A0F">
        <w:t xml:space="preserve">26.2.1 Experimentální testování veřejných politik  </w:t>
      </w:r>
    </w:p>
    <w:p w14:paraId="5E2E4CE6" w14:textId="77777777" w:rsidR="00ED0F2A" w:rsidRPr="006F6A0F" w:rsidRDefault="00ED0F2A" w:rsidP="00362C76">
      <w:pPr>
        <w:pStyle w:val="r2030nelovan"/>
        <w:spacing w:before="120" w:after="0" w:line="276" w:lineRule="auto"/>
        <w:ind w:left="567" w:hanging="567"/>
      </w:pPr>
      <w:r w:rsidRPr="006F6A0F">
        <w:t xml:space="preserve">26.2.2 Systematická analýza aktuálního stavu vědění </w:t>
      </w:r>
    </w:p>
    <w:p w14:paraId="3148F783" w14:textId="77777777" w:rsidR="00ED0F2A" w:rsidRPr="006F6A0F" w:rsidRDefault="00ED0F2A" w:rsidP="00362C76">
      <w:pPr>
        <w:pStyle w:val="r2030nelovan"/>
        <w:spacing w:before="120" w:after="0" w:line="276" w:lineRule="auto"/>
        <w:ind w:left="567" w:hanging="567"/>
      </w:pPr>
      <w:r w:rsidRPr="006F6A0F">
        <w:t>26.3.1 Konzultace návrhů veřejných politik s dotčenými subjekty</w:t>
      </w:r>
    </w:p>
    <w:p w14:paraId="574C1BE7" w14:textId="77777777" w:rsidR="00ED0F2A" w:rsidRPr="006F6A0F" w:rsidRDefault="00ED0F2A" w:rsidP="00362C76">
      <w:pPr>
        <w:pStyle w:val="r2030nelovan"/>
        <w:spacing w:before="120" w:after="0" w:line="276" w:lineRule="auto"/>
        <w:ind w:left="567" w:hanging="567"/>
      </w:pPr>
      <w:r w:rsidRPr="006F6A0F">
        <w:t>26.3.2 Počet realizátorů MA21</w:t>
      </w:r>
    </w:p>
    <w:p w14:paraId="1DD7596B" w14:textId="77777777" w:rsidR="00ED0F2A" w:rsidRPr="006F6A0F" w:rsidRDefault="00ED0F2A" w:rsidP="00362C76">
      <w:pPr>
        <w:pStyle w:val="r2030nelovan"/>
        <w:spacing w:before="120" w:after="0" w:line="276" w:lineRule="auto"/>
        <w:ind w:left="567" w:hanging="567"/>
      </w:pPr>
      <w:r w:rsidRPr="006F6A0F">
        <w:t xml:space="preserve">27.1.1 Volební účast ve všech typech voleb </w:t>
      </w:r>
    </w:p>
    <w:p w14:paraId="698E11F2" w14:textId="77777777" w:rsidR="00ED0F2A" w:rsidRPr="006F6A0F" w:rsidRDefault="00ED0F2A" w:rsidP="00362C76">
      <w:pPr>
        <w:pStyle w:val="r2030nelovan"/>
        <w:spacing w:before="120" w:after="0" w:line="276" w:lineRule="auto"/>
        <w:ind w:left="567" w:hanging="567"/>
      </w:pPr>
      <w:r w:rsidRPr="006F6A0F">
        <w:t>27.1.2 Četnost krajských a místních referend a účast v nich</w:t>
      </w:r>
    </w:p>
    <w:p w14:paraId="0A5353F9" w14:textId="77777777" w:rsidR="00ED0F2A" w:rsidRPr="006F6A0F" w:rsidRDefault="00ED0F2A" w:rsidP="00362C76">
      <w:pPr>
        <w:pStyle w:val="r2030nelovan"/>
        <w:spacing w:before="120" w:after="0" w:line="276" w:lineRule="auto"/>
        <w:ind w:left="567" w:hanging="567"/>
      </w:pPr>
      <w:r w:rsidRPr="006F6A0F">
        <w:t xml:space="preserve">27.1.3 Zastoupení žen/mužů ve volených orgánech </w:t>
      </w:r>
    </w:p>
    <w:p w14:paraId="39C92FE1" w14:textId="77777777" w:rsidR="00ED0F2A" w:rsidRPr="006F6A0F" w:rsidRDefault="00ED0F2A" w:rsidP="00362C76">
      <w:pPr>
        <w:pStyle w:val="r2030nelovan"/>
        <w:spacing w:before="120" w:after="0" w:line="276" w:lineRule="auto"/>
        <w:ind w:left="567" w:hanging="567"/>
      </w:pPr>
      <w:r w:rsidRPr="006F6A0F">
        <w:t>27.1.4 Populace žijící pod hranicí chudoby před sociálními transfery a po nich.</w:t>
      </w:r>
    </w:p>
    <w:p w14:paraId="763E9BF5" w14:textId="77777777" w:rsidR="00ED0F2A" w:rsidRPr="006F6A0F" w:rsidRDefault="00ED0F2A" w:rsidP="00362C76">
      <w:pPr>
        <w:pStyle w:val="r2030nelovan"/>
        <w:spacing w:before="120" w:after="0" w:line="276" w:lineRule="auto"/>
        <w:ind w:left="567" w:hanging="567"/>
      </w:pPr>
      <w:r w:rsidRPr="006F6A0F">
        <w:t>27.1.5 Zastoupení žen/mužů ve vedoucích pozicích veřejné správy</w:t>
      </w:r>
    </w:p>
    <w:p w14:paraId="5AF2024F" w14:textId="77777777" w:rsidR="00ED0F2A" w:rsidRPr="006F6A0F" w:rsidRDefault="00ED0F2A" w:rsidP="00362C76">
      <w:pPr>
        <w:pStyle w:val="r2030nelovan"/>
        <w:spacing w:before="120" w:after="0" w:line="276" w:lineRule="auto"/>
        <w:ind w:left="567" w:hanging="567"/>
      </w:pPr>
      <w:r w:rsidRPr="006F6A0F">
        <w:t>27.2.1 Efektivita veřejné správy z hlediska jejích klientů</w:t>
      </w:r>
    </w:p>
    <w:p w14:paraId="6D99C82F" w14:textId="114F77BB" w:rsidR="00ED0F2A" w:rsidRPr="006F6A0F" w:rsidRDefault="00ED0F2A" w:rsidP="00362C76">
      <w:pPr>
        <w:pStyle w:val="r2030nelovan"/>
        <w:spacing w:before="120" w:after="0" w:line="276" w:lineRule="auto"/>
        <w:ind w:left="567" w:hanging="567"/>
      </w:pPr>
      <w:r w:rsidRPr="006F6A0F">
        <w:t>27.2.2 Průměrná délka soudního řízení </w:t>
      </w:r>
    </w:p>
    <w:p w14:paraId="09C5F2C3" w14:textId="77777777" w:rsidR="00470F71" w:rsidRPr="006F6A0F" w:rsidRDefault="00470F71" w:rsidP="00C91095">
      <w:pPr>
        <w:pStyle w:val="r2030nelovan"/>
        <w:ind w:left="567"/>
      </w:pPr>
    </w:p>
    <w:sectPr w:rsidR="00470F71" w:rsidRPr="006F6A0F" w:rsidSect="008728AF">
      <w:headerReference w:type="default" r:id="rId19"/>
      <w:footerReference w:type="default" r:id="rId20"/>
      <w:head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977BB6" w14:textId="77777777" w:rsidR="00A07B6A" w:rsidRDefault="00A07B6A" w:rsidP="00001E1E">
      <w:r>
        <w:separator/>
      </w:r>
    </w:p>
  </w:endnote>
  <w:endnote w:type="continuationSeparator" w:id="0">
    <w:p w14:paraId="527C916D" w14:textId="77777777" w:rsidR="00A07B6A" w:rsidRDefault="00A07B6A" w:rsidP="00001E1E">
      <w:r>
        <w:continuationSeparator/>
      </w:r>
    </w:p>
  </w:endnote>
  <w:endnote w:type="continuationNotice" w:id="1">
    <w:p w14:paraId="36CB40FC" w14:textId="77777777" w:rsidR="00A07B6A" w:rsidRDefault="00A07B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 w:name="OfficinaSanItcTCE-Book">
    <w:altName w:val="MS Mincho"/>
    <w:panose1 w:val="00000000000000000000"/>
    <w:charset w:val="80"/>
    <w:family w:val="auto"/>
    <w:notTrueType/>
    <w:pitch w:val="default"/>
    <w:sig w:usb0="00000005" w:usb1="08070000" w:usb2="00000010" w:usb3="00000000" w:csb0="00020002" w:csb1="00000000"/>
  </w:font>
  <w:font w:name="MyriadPro-Light">
    <w:altName w:val="MS Gothic"/>
    <w:panose1 w:val="00000000000000000000"/>
    <w:charset w:val="80"/>
    <w:family w:val="swiss"/>
    <w:notTrueType/>
    <w:pitch w:val="default"/>
    <w:sig w:usb0="00000000" w:usb1="08070000" w:usb2="00000010" w:usb3="00000000" w:csb0="00020000" w:csb1="00000000"/>
  </w:font>
  <w:font w:name="ArialMT">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99D8A" w14:textId="77777777" w:rsidR="00A07B6A" w:rsidRPr="00D85F22" w:rsidRDefault="00A07B6A" w:rsidP="00FB7FCA">
    <w:pPr>
      <w:pStyle w:val="Zpat"/>
      <w:pBdr>
        <w:top w:val="single" w:sz="4" w:space="1" w:color="auto"/>
      </w:pBdr>
      <w:jc w:val="right"/>
      <w:rPr>
        <w:rFonts w:ascii="Arial Narrow" w:hAnsi="Arial Narrow" w:cs="Arial"/>
        <w:sz w:val="18"/>
      </w:rPr>
    </w:pPr>
    <w:r w:rsidRPr="00D85F22">
      <w:rPr>
        <w:rFonts w:ascii="Arial Narrow" w:hAnsi="Arial Narrow" w:cs="Arial"/>
        <w:sz w:val="18"/>
      </w:rPr>
      <w:t xml:space="preserve">Strana </w:t>
    </w:r>
    <w:r w:rsidRPr="00D85F22">
      <w:rPr>
        <w:rFonts w:ascii="Arial Narrow" w:hAnsi="Arial Narrow" w:cs="Arial"/>
        <w:sz w:val="18"/>
      </w:rPr>
      <w:fldChar w:fldCharType="begin"/>
    </w:r>
    <w:r w:rsidRPr="00D85F22">
      <w:rPr>
        <w:rFonts w:ascii="Arial Narrow" w:hAnsi="Arial Narrow" w:cs="Arial"/>
        <w:sz w:val="18"/>
      </w:rPr>
      <w:instrText>PAGE   \* MERGEFORMAT</w:instrText>
    </w:r>
    <w:r w:rsidRPr="00D85F22">
      <w:rPr>
        <w:rFonts w:ascii="Arial Narrow" w:hAnsi="Arial Narrow" w:cs="Arial"/>
        <w:sz w:val="18"/>
      </w:rPr>
      <w:fldChar w:fldCharType="separate"/>
    </w:r>
    <w:r w:rsidR="008B7571">
      <w:rPr>
        <w:rFonts w:ascii="Arial Narrow" w:hAnsi="Arial Narrow" w:cs="Arial"/>
        <w:noProof/>
        <w:sz w:val="18"/>
      </w:rPr>
      <w:t>89</w:t>
    </w:r>
    <w:r w:rsidRPr="00D85F22">
      <w:rPr>
        <w:rFonts w:ascii="Arial Narrow" w:hAnsi="Arial Narrow" w:cs="Arial"/>
        <w:sz w:val="18"/>
      </w:rPr>
      <w:fldChar w:fldCharType="end"/>
    </w:r>
    <w:r w:rsidRPr="00D85F22">
      <w:rPr>
        <w:rFonts w:ascii="Arial Narrow" w:hAnsi="Arial Narrow" w:cs="Arial"/>
        <w:sz w:val="18"/>
      </w:rPr>
      <w:t xml:space="preserve"> (celkem </w:t>
    </w:r>
    <w:r w:rsidRPr="00D85F22">
      <w:rPr>
        <w:rFonts w:ascii="Arial Narrow" w:hAnsi="Arial Narrow" w:cs="Arial"/>
        <w:sz w:val="18"/>
      </w:rPr>
      <w:fldChar w:fldCharType="begin"/>
    </w:r>
    <w:r w:rsidRPr="00D85F22">
      <w:rPr>
        <w:rFonts w:ascii="Arial Narrow" w:hAnsi="Arial Narrow" w:cs="Arial"/>
        <w:sz w:val="18"/>
      </w:rPr>
      <w:instrText xml:space="preserve"> NUMPAGES  \* Arabic  \* MERGEFORMAT </w:instrText>
    </w:r>
    <w:r w:rsidRPr="00D85F22">
      <w:rPr>
        <w:rFonts w:ascii="Arial Narrow" w:hAnsi="Arial Narrow" w:cs="Arial"/>
        <w:sz w:val="18"/>
      </w:rPr>
      <w:fldChar w:fldCharType="separate"/>
    </w:r>
    <w:r w:rsidR="008B7571">
      <w:rPr>
        <w:rFonts w:ascii="Arial Narrow" w:hAnsi="Arial Narrow" w:cs="Arial"/>
        <w:noProof/>
        <w:sz w:val="18"/>
      </w:rPr>
      <w:t>104</w:t>
    </w:r>
    <w:r w:rsidRPr="00D85F22">
      <w:rPr>
        <w:rFonts w:ascii="Arial Narrow" w:hAnsi="Arial Narrow" w:cs="Arial"/>
        <w:noProof/>
        <w:sz w:val="18"/>
      </w:rPr>
      <w:fldChar w:fldCharType="end"/>
    </w:r>
    <w:r w:rsidRPr="00D85F22">
      <w:rPr>
        <w:rFonts w:ascii="Arial Narrow" w:hAnsi="Arial Narrow" w:cs="Arial"/>
        <w:noProof/>
        <w:sz w:val="18"/>
      </w:rPr>
      <w:t>)</w:t>
    </w:r>
  </w:p>
  <w:p w14:paraId="10FD8849" w14:textId="77777777" w:rsidR="00A07B6A" w:rsidRPr="00D85F22" w:rsidRDefault="00A07B6A" w:rsidP="00FB7FCA">
    <w:pPr>
      <w:pStyle w:val="Zpat"/>
      <w:rPr>
        <w:rFonts w:ascii="Arial Narrow" w:hAnsi="Arial Narrow"/>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CE09CD" w14:textId="77777777" w:rsidR="00A07B6A" w:rsidRDefault="00A07B6A" w:rsidP="00001E1E">
      <w:r>
        <w:separator/>
      </w:r>
    </w:p>
  </w:footnote>
  <w:footnote w:type="continuationSeparator" w:id="0">
    <w:p w14:paraId="4936D2EB" w14:textId="77777777" w:rsidR="00A07B6A" w:rsidRDefault="00A07B6A" w:rsidP="00001E1E">
      <w:r>
        <w:continuationSeparator/>
      </w:r>
    </w:p>
  </w:footnote>
  <w:footnote w:type="continuationNotice" w:id="1">
    <w:p w14:paraId="3EEFB1C4" w14:textId="77777777" w:rsidR="00A07B6A" w:rsidRDefault="00A07B6A"/>
  </w:footnote>
  <w:footnote w:id="2">
    <w:p w14:paraId="0BA65398" w14:textId="77777777" w:rsidR="00A07B6A" w:rsidRPr="005869A0" w:rsidRDefault="00A07B6A" w:rsidP="00666033">
      <w:pPr>
        <w:pStyle w:val="Textpoznpodarou"/>
        <w:rPr>
          <w:rFonts w:ascii="Arial" w:hAnsi="Arial" w:cs="Arial"/>
        </w:rPr>
      </w:pPr>
      <w:r w:rsidRPr="005869A0">
        <w:rPr>
          <w:rStyle w:val="Znakapoznpodarou"/>
          <w:rFonts w:ascii="Arial" w:hAnsi="Arial" w:cs="Arial"/>
        </w:rPr>
        <w:footnoteRef/>
      </w:r>
      <w:r w:rsidRPr="005869A0">
        <w:rPr>
          <w:rFonts w:ascii="Arial" w:hAnsi="Arial" w:cs="Arial"/>
        </w:rPr>
        <w:t xml:space="preserve"> </w:t>
      </w:r>
      <w:proofErr w:type="spellStart"/>
      <w:r w:rsidRPr="005869A0">
        <w:rPr>
          <w:rFonts w:ascii="Arial" w:hAnsi="Arial" w:cs="Arial"/>
        </w:rPr>
        <w:t>World</w:t>
      </w:r>
      <w:proofErr w:type="spellEnd"/>
      <w:r w:rsidRPr="005869A0">
        <w:rPr>
          <w:rFonts w:ascii="Arial" w:hAnsi="Arial" w:cs="Arial"/>
        </w:rPr>
        <w:t xml:space="preserve"> Bank, </w:t>
      </w:r>
      <w:proofErr w:type="spellStart"/>
      <w:r w:rsidRPr="005869A0">
        <w:rPr>
          <w:rFonts w:ascii="Arial" w:hAnsi="Arial" w:cs="Arial"/>
        </w:rPr>
        <w:t>Doing</w:t>
      </w:r>
      <w:proofErr w:type="spellEnd"/>
      <w:r w:rsidRPr="005869A0">
        <w:rPr>
          <w:rFonts w:ascii="Arial" w:hAnsi="Arial" w:cs="Arial"/>
        </w:rPr>
        <w:t xml:space="preserve"> Business Project (</w:t>
      </w:r>
      <w:hyperlink r:id="rId1" w:history="1">
        <w:r w:rsidRPr="005869A0">
          <w:rPr>
            <w:rStyle w:val="Hypertextovodkaz"/>
            <w:rFonts w:ascii="Arial" w:hAnsi="Arial" w:cs="Arial"/>
          </w:rPr>
          <w:t>http://www.doingbusiness.org/ExploreTopics/PayingTaxes</w:t>
        </w:r>
      </w:hyperlink>
      <w:r w:rsidRPr="005869A0">
        <w:rPr>
          <w:rFonts w:ascii="Arial" w:hAnsi="Arial" w:cs="Arial"/>
        </w:rPr>
        <w:t xml:space="preserve">). Data dostupná zde: </w:t>
      </w:r>
      <w:hyperlink r:id="rId2" w:history="1">
        <w:r w:rsidRPr="005869A0">
          <w:rPr>
            <w:rStyle w:val="Hypertextovodkaz"/>
            <w:rFonts w:ascii="Arial" w:hAnsi="Arial" w:cs="Arial"/>
          </w:rPr>
          <w:t>http://databank.worldbank.org/data/reports.aspx?source=doing-business</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931" w:type="dxa"/>
      <w:tblInd w:w="-34" w:type="dxa"/>
      <w:tblLook w:val="04A0" w:firstRow="1" w:lastRow="0" w:firstColumn="1" w:lastColumn="0" w:noHBand="0" w:noVBand="1"/>
    </w:tblPr>
    <w:tblGrid>
      <w:gridCol w:w="5833"/>
      <w:gridCol w:w="3098"/>
    </w:tblGrid>
    <w:tr w:rsidR="00A07B6A" w14:paraId="74C9DCA5" w14:textId="77777777" w:rsidTr="005B0217">
      <w:tc>
        <w:tcPr>
          <w:tcW w:w="5833" w:type="dxa"/>
          <w:shd w:val="clear" w:color="auto" w:fill="auto"/>
        </w:tcPr>
        <w:p w14:paraId="1C26F742" w14:textId="4B9B19EF" w:rsidR="00A07B6A" w:rsidRPr="00F76890" w:rsidRDefault="00A07B6A" w:rsidP="007C79DE">
          <w:pPr>
            <w:tabs>
              <w:tab w:val="left" w:pos="1206"/>
            </w:tabs>
            <w:ind w:left="317" w:hanging="317"/>
            <w:rPr>
              <w:rFonts w:ascii="Cambria" w:hAnsi="Cambria" w:cs="Arial"/>
              <w:sz w:val="44"/>
              <w:szCs w:val="40"/>
            </w:rPr>
          </w:pPr>
          <w:r w:rsidRPr="00F76890">
            <w:rPr>
              <w:rFonts w:ascii="Cambria" w:hAnsi="Cambria" w:cs="Arial"/>
              <w:b/>
              <w:color w:val="1F497D"/>
              <w:sz w:val="44"/>
              <w:szCs w:val="40"/>
            </w:rPr>
            <w:t>Úřad vlády České republiky</w:t>
          </w:r>
          <w:r w:rsidRPr="00F76890">
            <w:rPr>
              <w:rFonts w:ascii="Cambria" w:hAnsi="Cambria" w:cs="Arial"/>
              <w:b/>
              <w:color w:val="1F497D"/>
              <w:sz w:val="44"/>
              <w:szCs w:val="40"/>
            </w:rPr>
            <w:br/>
          </w:r>
          <w:r>
            <w:rPr>
              <w:rFonts w:ascii="Cambria" w:hAnsi="Cambria" w:cs="Arial"/>
              <w:color w:val="1F497D"/>
              <w:sz w:val="28"/>
              <w:szCs w:val="26"/>
            </w:rPr>
            <w:t>Odbor pro udržitelný rozvoj</w:t>
          </w:r>
        </w:p>
      </w:tc>
      <w:tc>
        <w:tcPr>
          <w:tcW w:w="3098" w:type="dxa"/>
          <w:shd w:val="clear" w:color="auto" w:fill="auto"/>
        </w:tcPr>
        <w:p w14:paraId="1DE85321" w14:textId="77777777" w:rsidR="00A07B6A" w:rsidRDefault="00A07B6A" w:rsidP="005B0217">
          <w:pPr>
            <w:pStyle w:val="Zhlav"/>
            <w:jc w:val="right"/>
          </w:pPr>
          <w:r>
            <w:rPr>
              <w:rFonts w:cs="Arial"/>
              <w:b/>
              <w:noProof/>
              <w:color w:val="1F497D"/>
              <w:sz w:val="44"/>
              <w:szCs w:val="28"/>
            </w:rPr>
            <w:drawing>
              <wp:inline distT="0" distB="0" distL="0" distR="0" wp14:anchorId="263AA2E3" wp14:editId="3287B59C">
                <wp:extent cx="1802765" cy="526415"/>
                <wp:effectExtent l="0" t="0" r="6985" b="6985"/>
                <wp:docPr id="1" name="Obrázek 1" descr="uvcr-logo-sablony-zahlav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uvcr-logo-sablony-zahlav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2765" cy="526415"/>
                        </a:xfrm>
                        <a:prstGeom prst="rect">
                          <a:avLst/>
                        </a:prstGeom>
                        <a:noFill/>
                        <a:ln>
                          <a:noFill/>
                        </a:ln>
                      </pic:spPr>
                    </pic:pic>
                  </a:graphicData>
                </a:graphic>
              </wp:inline>
            </w:drawing>
          </w:r>
        </w:p>
      </w:tc>
    </w:tr>
  </w:tbl>
  <w:p w14:paraId="7F22A6F7" w14:textId="77777777" w:rsidR="00A07B6A" w:rsidRDefault="00A07B6A" w:rsidP="005B0217">
    <w:pPr>
      <w:pStyle w:val="Zhlav"/>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931" w:type="dxa"/>
      <w:tblInd w:w="-34" w:type="dxa"/>
      <w:tblLook w:val="04A0" w:firstRow="1" w:lastRow="0" w:firstColumn="1" w:lastColumn="0" w:noHBand="0" w:noVBand="1"/>
    </w:tblPr>
    <w:tblGrid>
      <w:gridCol w:w="5833"/>
      <w:gridCol w:w="3098"/>
    </w:tblGrid>
    <w:tr w:rsidR="00A07B6A" w14:paraId="776A422D" w14:textId="77777777" w:rsidTr="0015417B">
      <w:tc>
        <w:tcPr>
          <w:tcW w:w="5833" w:type="dxa"/>
          <w:shd w:val="clear" w:color="auto" w:fill="auto"/>
        </w:tcPr>
        <w:p w14:paraId="6FD23A0F" w14:textId="04A9AE5C" w:rsidR="00A07B6A" w:rsidRPr="00F76890" w:rsidRDefault="00A07B6A" w:rsidP="007C79DE">
          <w:pPr>
            <w:tabs>
              <w:tab w:val="left" w:pos="1206"/>
            </w:tabs>
            <w:ind w:left="317" w:hanging="317"/>
            <w:rPr>
              <w:rFonts w:ascii="Cambria" w:hAnsi="Cambria" w:cs="Arial"/>
              <w:sz w:val="44"/>
              <w:szCs w:val="40"/>
            </w:rPr>
          </w:pPr>
          <w:r w:rsidRPr="00F76890">
            <w:rPr>
              <w:rFonts w:ascii="Cambria" w:hAnsi="Cambria" w:cs="Arial"/>
              <w:b/>
              <w:color w:val="1F497D"/>
              <w:sz w:val="44"/>
              <w:szCs w:val="40"/>
            </w:rPr>
            <w:t>Úřad vlády České republiky</w:t>
          </w:r>
          <w:r w:rsidRPr="00F76890">
            <w:rPr>
              <w:rFonts w:ascii="Cambria" w:hAnsi="Cambria" w:cs="Arial"/>
              <w:b/>
              <w:color w:val="1F497D"/>
              <w:sz w:val="44"/>
              <w:szCs w:val="40"/>
            </w:rPr>
            <w:br/>
          </w:r>
          <w:r>
            <w:rPr>
              <w:rFonts w:ascii="Cambria" w:hAnsi="Cambria" w:cs="Arial"/>
              <w:color w:val="1F497D"/>
              <w:sz w:val="28"/>
              <w:szCs w:val="26"/>
            </w:rPr>
            <w:t>Odbor pro udržitelný rozvoj</w:t>
          </w:r>
        </w:p>
      </w:tc>
      <w:tc>
        <w:tcPr>
          <w:tcW w:w="3098" w:type="dxa"/>
          <w:shd w:val="clear" w:color="auto" w:fill="auto"/>
        </w:tcPr>
        <w:p w14:paraId="6F0A40F1" w14:textId="77777777" w:rsidR="00A07B6A" w:rsidRDefault="00A07B6A" w:rsidP="0015417B">
          <w:pPr>
            <w:pStyle w:val="Zhlav"/>
            <w:jc w:val="right"/>
          </w:pPr>
          <w:r>
            <w:rPr>
              <w:rFonts w:cs="Arial"/>
              <w:b/>
              <w:noProof/>
              <w:color w:val="1F497D"/>
              <w:sz w:val="44"/>
              <w:szCs w:val="28"/>
            </w:rPr>
            <w:drawing>
              <wp:inline distT="0" distB="0" distL="0" distR="0" wp14:anchorId="5B11959C" wp14:editId="4CA577E9">
                <wp:extent cx="1802765" cy="526415"/>
                <wp:effectExtent l="0" t="0" r="6985" b="6985"/>
                <wp:docPr id="2" name="Obrázek 2" descr="uvcr-logo-sablony-zahlav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uvcr-logo-sablony-zahlav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2765" cy="526415"/>
                        </a:xfrm>
                        <a:prstGeom prst="rect">
                          <a:avLst/>
                        </a:prstGeom>
                        <a:noFill/>
                        <a:ln>
                          <a:noFill/>
                        </a:ln>
                      </pic:spPr>
                    </pic:pic>
                  </a:graphicData>
                </a:graphic>
              </wp:inline>
            </w:drawing>
          </w:r>
        </w:p>
      </w:tc>
    </w:tr>
  </w:tbl>
  <w:p w14:paraId="4279B674" w14:textId="77777777" w:rsidR="00A07B6A" w:rsidRDefault="00A07B6A" w:rsidP="0061774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83517"/>
    <w:multiLevelType w:val="hybridMultilevel"/>
    <w:tmpl w:val="A56EEDB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F0B4F3E"/>
    <w:multiLevelType w:val="hybridMultilevel"/>
    <w:tmpl w:val="034CCD4E"/>
    <w:lvl w:ilvl="0" w:tplc="6B003E28">
      <w:start w:val="2016"/>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8FF123A"/>
    <w:multiLevelType w:val="hybridMultilevel"/>
    <w:tmpl w:val="B7722D96"/>
    <w:lvl w:ilvl="0" w:tplc="4B2649F6">
      <w:start w:val="1"/>
      <w:numFmt w:val="decimal"/>
      <w:pStyle w:val="Nadpis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DF61B9C"/>
    <w:multiLevelType w:val="hybridMultilevel"/>
    <w:tmpl w:val="AB461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4E5516"/>
    <w:multiLevelType w:val="multilevel"/>
    <w:tmpl w:val="293642CC"/>
    <w:lvl w:ilvl="0">
      <w:start w:val="711"/>
      <w:numFmt w:val="decimal"/>
      <w:pStyle w:val="slovanodstavec"/>
      <w:lvlText w:val="%1."/>
      <w:lvlJc w:val="left"/>
      <w:pPr>
        <w:ind w:left="432" w:hanging="432"/>
      </w:pPr>
      <w:rPr>
        <w:rFonts w:hint="default"/>
        <w:b w: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nsid w:val="1F640649"/>
    <w:multiLevelType w:val="hybridMultilevel"/>
    <w:tmpl w:val="135ACE7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C1E36E2"/>
    <w:multiLevelType w:val="multilevel"/>
    <w:tmpl w:val="2F86ADE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none"/>
      <w:lvlRestart w:val="0"/>
      <w:suff w:val="space"/>
      <w:lvlText w:val="-"/>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D617882"/>
    <w:multiLevelType w:val="multilevel"/>
    <w:tmpl w:val="8712408E"/>
    <w:lvl w:ilvl="0">
      <w:start w:val="2"/>
      <w:numFmt w:val="decimal"/>
      <w:lvlText w:val="%1"/>
      <w:lvlJc w:val="left"/>
      <w:pPr>
        <w:ind w:left="360" w:hanging="360"/>
      </w:pPr>
      <w:rPr>
        <w:rFonts w:hint="default"/>
      </w:rPr>
    </w:lvl>
    <w:lvl w:ilvl="1">
      <w:start w:val="1"/>
      <w:numFmt w:val="decimal"/>
      <w:lvlText w:val="%1.%2"/>
      <w:lvlJc w:val="left"/>
      <w:pPr>
        <w:ind w:left="1326" w:hanging="360"/>
      </w:pPr>
      <w:rPr>
        <w:rFonts w:hint="default"/>
        <w:b w:val="0"/>
      </w:rPr>
    </w:lvl>
    <w:lvl w:ilvl="2">
      <w:start w:val="1"/>
      <w:numFmt w:val="decimal"/>
      <w:lvlText w:val="%1.%2.%3"/>
      <w:lvlJc w:val="left"/>
      <w:pPr>
        <w:ind w:left="2652" w:hanging="720"/>
      </w:pPr>
      <w:rPr>
        <w:rFonts w:hint="default"/>
      </w:rPr>
    </w:lvl>
    <w:lvl w:ilvl="3">
      <w:start w:val="1"/>
      <w:numFmt w:val="decimal"/>
      <w:lvlText w:val="%1.%2.%3.%4"/>
      <w:lvlJc w:val="left"/>
      <w:pPr>
        <w:ind w:left="3618" w:hanging="720"/>
      </w:pPr>
      <w:rPr>
        <w:rFonts w:hint="default"/>
      </w:rPr>
    </w:lvl>
    <w:lvl w:ilvl="4">
      <w:start w:val="1"/>
      <w:numFmt w:val="decimal"/>
      <w:lvlText w:val="%1.%2.%3.%4.%5"/>
      <w:lvlJc w:val="left"/>
      <w:pPr>
        <w:ind w:left="4944" w:hanging="1080"/>
      </w:pPr>
      <w:rPr>
        <w:rFonts w:hint="default"/>
      </w:rPr>
    </w:lvl>
    <w:lvl w:ilvl="5">
      <w:start w:val="1"/>
      <w:numFmt w:val="decimal"/>
      <w:lvlText w:val="%1.%2.%3.%4.%5.%6"/>
      <w:lvlJc w:val="left"/>
      <w:pPr>
        <w:ind w:left="5910" w:hanging="1080"/>
      </w:pPr>
      <w:rPr>
        <w:rFonts w:hint="default"/>
      </w:rPr>
    </w:lvl>
    <w:lvl w:ilvl="6">
      <w:start w:val="1"/>
      <w:numFmt w:val="decimal"/>
      <w:lvlText w:val="%1.%2.%3.%4.%5.%6.%7"/>
      <w:lvlJc w:val="left"/>
      <w:pPr>
        <w:ind w:left="7236" w:hanging="1440"/>
      </w:pPr>
      <w:rPr>
        <w:rFonts w:hint="default"/>
      </w:rPr>
    </w:lvl>
    <w:lvl w:ilvl="7">
      <w:start w:val="1"/>
      <w:numFmt w:val="decimal"/>
      <w:lvlText w:val="%1.%2.%3.%4.%5.%6.%7.%8"/>
      <w:lvlJc w:val="left"/>
      <w:pPr>
        <w:ind w:left="8202" w:hanging="1440"/>
      </w:pPr>
      <w:rPr>
        <w:rFonts w:hint="default"/>
      </w:rPr>
    </w:lvl>
    <w:lvl w:ilvl="8">
      <w:start w:val="1"/>
      <w:numFmt w:val="decimal"/>
      <w:lvlText w:val="%1.%2.%3.%4.%5.%6.%7.%8.%9"/>
      <w:lvlJc w:val="left"/>
      <w:pPr>
        <w:ind w:left="9528" w:hanging="1800"/>
      </w:pPr>
      <w:rPr>
        <w:rFonts w:hint="default"/>
      </w:rPr>
    </w:lvl>
  </w:abstractNum>
  <w:abstractNum w:abstractNumId="8">
    <w:nsid w:val="4EA54C70"/>
    <w:multiLevelType w:val="hybridMultilevel"/>
    <w:tmpl w:val="EE7CA7CC"/>
    <w:lvl w:ilvl="0" w:tplc="BA168558">
      <w:start w:val="1"/>
      <w:numFmt w:val="bullet"/>
      <w:lvlText w:val="-"/>
      <w:lvlJc w:val="left"/>
      <w:pPr>
        <w:ind w:left="1800" w:hanging="360"/>
      </w:pPr>
      <w:rPr>
        <w:rFonts w:ascii="Calibri" w:eastAsiaTheme="minorHAnsi" w:hAnsi="Calibri" w:cstheme="minorBidi"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9">
    <w:nsid w:val="50C14329"/>
    <w:multiLevelType w:val="hybridMultilevel"/>
    <w:tmpl w:val="5BC400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5321DA7"/>
    <w:multiLevelType w:val="hybridMultilevel"/>
    <w:tmpl w:val="66A8AC7C"/>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5AA5433C"/>
    <w:multiLevelType w:val="hybridMultilevel"/>
    <w:tmpl w:val="FDE8337E"/>
    <w:lvl w:ilvl="0" w:tplc="828E1A44">
      <w:start w:val="17"/>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66C84B5D"/>
    <w:multiLevelType w:val="multilevel"/>
    <w:tmpl w:val="BFACCF0E"/>
    <w:lvl w:ilvl="0">
      <w:start w:val="1"/>
      <w:numFmt w:val="decimal"/>
      <w:lvlText w:val="%1"/>
      <w:lvlJc w:val="left"/>
      <w:pPr>
        <w:ind w:left="555" w:hanging="555"/>
      </w:pPr>
      <w:rPr>
        <w:rFonts w:hint="default"/>
        <w:b/>
      </w:rPr>
    </w:lvl>
    <w:lvl w:ilvl="1">
      <w:start w:val="1"/>
      <w:numFmt w:val="decimal"/>
      <w:lvlText w:val="%1.%2"/>
      <w:lvlJc w:val="left"/>
      <w:pPr>
        <w:ind w:left="555" w:hanging="555"/>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nsid w:val="763C3A76"/>
    <w:multiLevelType w:val="hybridMultilevel"/>
    <w:tmpl w:val="EC7A899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7E4914A0"/>
    <w:multiLevelType w:val="multilevel"/>
    <w:tmpl w:val="CD98CADA"/>
    <w:lvl w:ilvl="0">
      <w:start w:val="1"/>
      <w:numFmt w:val="decimal"/>
      <w:pStyle w:val="r2030cle"/>
      <w:lvlText w:val="%1."/>
      <w:lvlJc w:val="left"/>
      <w:pPr>
        <w:ind w:left="360" w:hanging="360"/>
      </w:pPr>
    </w:lvl>
    <w:lvl w:ilvl="1">
      <w:start w:val="1"/>
      <w:numFmt w:val="decimal"/>
      <w:pStyle w:val="r2030podcle"/>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7F1C2F16"/>
    <w:multiLevelType w:val="multilevel"/>
    <w:tmpl w:val="584244EC"/>
    <w:lvl w:ilvl="0">
      <w:start w:val="1"/>
      <w:numFmt w:val="decimal"/>
      <w:lvlText w:val="%1."/>
      <w:lvlJc w:val="left"/>
      <w:pPr>
        <w:ind w:left="966" w:hanging="360"/>
      </w:pPr>
      <w:rPr>
        <w:rFonts w:hint="default"/>
      </w:rPr>
    </w:lvl>
    <w:lvl w:ilvl="1">
      <w:start w:val="2"/>
      <w:numFmt w:val="decimal"/>
      <w:isLgl/>
      <w:lvlText w:val="%1.%2"/>
      <w:lvlJc w:val="left"/>
      <w:pPr>
        <w:ind w:left="1326" w:hanging="360"/>
      </w:pPr>
      <w:rPr>
        <w:rFonts w:hint="default"/>
      </w:rPr>
    </w:lvl>
    <w:lvl w:ilvl="2">
      <w:start w:val="1"/>
      <w:numFmt w:val="decimal"/>
      <w:isLgl/>
      <w:lvlText w:val="%1.%2.%3"/>
      <w:lvlJc w:val="left"/>
      <w:pPr>
        <w:ind w:left="2046" w:hanging="720"/>
      </w:pPr>
      <w:rPr>
        <w:rFonts w:hint="default"/>
      </w:rPr>
    </w:lvl>
    <w:lvl w:ilvl="3">
      <w:start w:val="1"/>
      <w:numFmt w:val="decimal"/>
      <w:isLgl/>
      <w:lvlText w:val="%1.%2.%3.%4"/>
      <w:lvlJc w:val="left"/>
      <w:pPr>
        <w:ind w:left="2406" w:hanging="720"/>
      </w:pPr>
      <w:rPr>
        <w:rFonts w:hint="default"/>
      </w:rPr>
    </w:lvl>
    <w:lvl w:ilvl="4">
      <w:start w:val="1"/>
      <w:numFmt w:val="decimal"/>
      <w:isLgl/>
      <w:lvlText w:val="%1.%2.%3.%4.%5"/>
      <w:lvlJc w:val="left"/>
      <w:pPr>
        <w:ind w:left="3126" w:hanging="1080"/>
      </w:pPr>
      <w:rPr>
        <w:rFonts w:hint="default"/>
      </w:rPr>
    </w:lvl>
    <w:lvl w:ilvl="5">
      <w:start w:val="1"/>
      <w:numFmt w:val="decimal"/>
      <w:isLgl/>
      <w:lvlText w:val="%1.%2.%3.%4.%5.%6"/>
      <w:lvlJc w:val="left"/>
      <w:pPr>
        <w:ind w:left="3486" w:hanging="1080"/>
      </w:pPr>
      <w:rPr>
        <w:rFonts w:hint="default"/>
      </w:rPr>
    </w:lvl>
    <w:lvl w:ilvl="6">
      <w:start w:val="1"/>
      <w:numFmt w:val="decimal"/>
      <w:isLgl/>
      <w:lvlText w:val="%1.%2.%3.%4.%5.%6.%7"/>
      <w:lvlJc w:val="left"/>
      <w:pPr>
        <w:ind w:left="4206" w:hanging="1440"/>
      </w:pPr>
      <w:rPr>
        <w:rFonts w:hint="default"/>
      </w:rPr>
    </w:lvl>
    <w:lvl w:ilvl="7">
      <w:start w:val="1"/>
      <w:numFmt w:val="decimal"/>
      <w:isLgl/>
      <w:lvlText w:val="%1.%2.%3.%4.%5.%6.%7.%8"/>
      <w:lvlJc w:val="left"/>
      <w:pPr>
        <w:ind w:left="4566" w:hanging="1440"/>
      </w:pPr>
      <w:rPr>
        <w:rFonts w:hint="default"/>
      </w:rPr>
    </w:lvl>
    <w:lvl w:ilvl="8">
      <w:start w:val="1"/>
      <w:numFmt w:val="decimal"/>
      <w:isLgl/>
      <w:lvlText w:val="%1.%2.%3.%4.%5.%6.%7.%8.%9"/>
      <w:lvlJc w:val="left"/>
      <w:pPr>
        <w:ind w:left="5286" w:hanging="1800"/>
      </w:pPr>
      <w:rPr>
        <w:rFonts w:hint="default"/>
      </w:rPr>
    </w:lvl>
  </w:abstractNum>
  <w:num w:numId="1">
    <w:abstractNumId w:val="4"/>
  </w:num>
  <w:num w:numId="2">
    <w:abstractNumId w:val="8"/>
  </w:num>
  <w:num w:numId="3">
    <w:abstractNumId w:val="9"/>
  </w:num>
  <w:num w:numId="4">
    <w:abstractNumId w:val="1"/>
  </w:num>
  <w:num w:numId="5">
    <w:abstractNumId w:val="10"/>
  </w:num>
  <w:num w:numId="6">
    <w:abstractNumId w:val="13"/>
  </w:num>
  <w:num w:numId="7">
    <w:abstractNumId w:val="2"/>
  </w:num>
  <w:num w:numId="8">
    <w:abstractNumId w:val="14"/>
  </w:num>
  <w:num w:numId="9">
    <w:abstractNumId w:val="11"/>
  </w:num>
  <w:num w:numId="10">
    <w:abstractNumId w:val="6"/>
  </w:num>
  <w:num w:numId="11">
    <w:abstractNumId w:val="0"/>
  </w:num>
  <w:num w:numId="12">
    <w:abstractNumId w:val="5"/>
  </w:num>
  <w:num w:numId="13">
    <w:abstractNumId w:val="3"/>
  </w:num>
  <w:num w:numId="14">
    <w:abstractNumId w:val="14"/>
  </w:num>
  <w:num w:numId="15">
    <w:abstractNumId w:val="12"/>
  </w:num>
  <w:num w:numId="16">
    <w:abstractNumId w:val="15"/>
  </w:num>
  <w:num w:numId="17">
    <w:abstractNumId w:val="7"/>
  </w:num>
  <w:num w:numId="18">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hideSpellingErrors/>
  <w:hideGrammaticalErrors/>
  <w:proofState w:spelling="clean" w:grammar="clean"/>
  <w:defaultTabStop w:val="708"/>
  <w:hyphenationZone w:val="425"/>
  <w:characterSpacingControl w:val="doNotCompress"/>
  <w:hdrShapeDefaults>
    <o:shapedefaults v:ext="edit" spidmax="1740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187"/>
    <w:rsid w:val="000007D6"/>
    <w:rsid w:val="00001E1E"/>
    <w:rsid w:val="00002006"/>
    <w:rsid w:val="00003B31"/>
    <w:rsid w:val="000065DB"/>
    <w:rsid w:val="00023187"/>
    <w:rsid w:val="000247BF"/>
    <w:rsid w:val="000418A4"/>
    <w:rsid w:val="00047B7F"/>
    <w:rsid w:val="00047FFC"/>
    <w:rsid w:val="00050178"/>
    <w:rsid w:val="000511A8"/>
    <w:rsid w:val="000515ED"/>
    <w:rsid w:val="000604A0"/>
    <w:rsid w:val="000612EA"/>
    <w:rsid w:val="00061D6F"/>
    <w:rsid w:val="000645CC"/>
    <w:rsid w:val="00066238"/>
    <w:rsid w:val="00066C40"/>
    <w:rsid w:val="00066E48"/>
    <w:rsid w:val="0007074B"/>
    <w:rsid w:val="00073640"/>
    <w:rsid w:val="00077086"/>
    <w:rsid w:val="000916A3"/>
    <w:rsid w:val="00095F86"/>
    <w:rsid w:val="000965BD"/>
    <w:rsid w:val="000A157B"/>
    <w:rsid w:val="000A5BA0"/>
    <w:rsid w:val="000A67F7"/>
    <w:rsid w:val="000A7EBC"/>
    <w:rsid w:val="000B0F1C"/>
    <w:rsid w:val="000B6026"/>
    <w:rsid w:val="000B666F"/>
    <w:rsid w:val="000B7091"/>
    <w:rsid w:val="000C2F4D"/>
    <w:rsid w:val="000C51A1"/>
    <w:rsid w:val="000C72E9"/>
    <w:rsid w:val="000D22A5"/>
    <w:rsid w:val="000D4959"/>
    <w:rsid w:val="000E1278"/>
    <w:rsid w:val="000E2219"/>
    <w:rsid w:val="000E2B81"/>
    <w:rsid w:val="000E3F35"/>
    <w:rsid w:val="000F2D0F"/>
    <w:rsid w:val="000F7BB4"/>
    <w:rsid w:val="00100860"/>
    <w:rsid w:val="00110517"/>
    <w:rsid w:val="001124D3"/>
    <w:rsid w:val="00113638"/>
    <w:rsid w:val="00113DF9"/>
    <w:rsid w:val="001165B6"/>
    <w:rsid w:val="00120807"/>
    <w:rsid w:val="001231FE"/>
    <w:rsid w:val="0013287D"/>
    <w:rsid w:val="0013383F"/>
    <w:rsid w:val="00141353"/>
    <w:rsid w:val="00144E6A"/>
    <w:rsid w:val="00145F41"/>
    <w:rsid w:val="00146D1C"/>
    <w:rsid w:val="001500B5"/>
    <w:rsid w:val="00152D7F"/>
    <w:rsid w:val="0015417B"/>
    <w:rsid w:val="001677B4"/>
    <w:rsid w:val="001730CB"/>
    <w:rsid w:val="001731DC"/>
    <w:rsid w:val="00176CCE"/>
    <w:rsid w:val="00176F03"/>
    <w:rsid w:val="00181FD7"/>
    <w:rsid w:val="0018204B"/>
    <w:rsid w:val="00184BB6"/>
    <w:rsid w:val="001869F3"/>
    <w:rsid w:val="00187187"/>
    <w:rsid w:val="001913D9"/>
    <w:rsid w:val="00191450"/>
    <w:rsid w:val="0019272A"/>
    <w:rsid w:val="00196F90"/>
    <w:rsid w:val="00197167"/>
    <w:rsid w:val="001A0127"/>
    <w:rsid w:val="001A2883"/>
    <w:rsid w:val="001A5056"/>
    <w:rsid w:val="001A6162"/>
    <w:rsid w:val="001B299A"/>
    <w:rsid w:val="001B6433"/>
    <w:rsid w:val="001B6949"/>
    <w:rsid w:val="001C070E"/>
    <w:rsid w:val="001C3F69"/>
    <w:rsid w:val="001C45F4"/>
    <w:rsid w:val="001D2D59"/>
    <w:rsid w:val="001D3687"/>
    <w:rsid w:val="001D6908"/>
    <w:rsid w:val="001D7EBF"/>
    <w:rsid w:val="001E089F"/>
    <w:rsid w:val="001E59A6"/>
    <w:rsid w:val="001E6F8C"/>
    <w:rsid w:val="001E6FCD"/>
    <w:rsid w:val="001F6803"/>
    <w:rsid w:val="00200A49"/>
    <w:rsid w:val="00200D42"/>
    <w:rsid w:val="002018FB"/>
    <w:rsid w:val="002066DD"/>
    <w:rsid w:val="00216EEB"/>
    <w:rsid w:val="002170F1"/>
    <w:rsid w:val="00223A0E"/>
    <w:rsid w:val="002329B2"/>
    <w:rsid w:val="00233550"/>
    <w:rsid w:val="0023415D"/>
    <w:rsid w:val="0024059F"/>
    <w:rsid w:val="0024168B"/>
    <w:rsid w:val="002460FC"/>
    <w:rsid w:val="00246639"/>
    <w:rsid w:val="00246D73"/>
    <w:rsid w:val="002479A1"/>
    <w:rsid w:val="002519F2"/>
    <w:rsid w:val="002524BE"/>
    <w:rsid w:val="0026184C"/>
    <w:rsid w:val="0026632C"/>
    <w:rsid w:val="00266CB6"/>
    <w:rsid w:val="00266F08"/>
    <w:rsid w:val="00267BA8"/>
    <w:rsid w:val="002712FE"/>
    <w:rsid w:val="00272A9C"/>
    <w:rsid w:val="00274F37"/>
    <w:rsid w:val="00275E31"/>
    <w:rsid w:val="00276E7C"/>
    <w:rsid w:val="0028639E"/>
    <w:rsid w:val="00291255"/>
    <w:rsid w:val="002936C0"/>
    <w:rsid w:val="00295222"/>
    <w:rsid w:val="002967CA"/>
    <w:rsid w:val="002A2689"/>
    <w:rsid w:val="002A4D5A"/>
    <w:rsid w:val="002B08BB"/>
    <w:rsid w:val="002B6876"/>
    <w:rsid w:val="002C5192"/>
    <w:rsid w:val="002D6097"/>
    <w:rsid w:val="002E1991"/>
    <w:rsid w:val="002E2FF4"/>
    <w:rsid w:val="002E3FCF"/>
    <w:rsid w:val="002E47D0"/>
    <w:rsid w:val="002E6D9C"/>
    <w:rsid w:val="002E7719"/>
    <w:rsid w:val="002F0058"/>
    <w:rsid w:val="002F3509"/>
    <w:rsid w:val="002F35A0"/>
    <w:rsid w:val="002F454B"/>
    <w:rsid w:val="002F629F"/>
    <w:rsid w:val="002F643E"/>
    <w:rsid w:val="002F6EA4"/>
    <w:rsid w:val="00301985"/>
    <w:rsid w:val="0030405A"/>
    <w:rsid w:val="00306C87"/>
    <w:rsid w:val="00323046"/>
    <w:rsid w:val="00336AB8"/>
    <w:rsid w:val="003378C0"/>
    <w:rsid w:val="0034060B"/>
    <w:rsid w:val="00343883"/>
    <w:rsid w:val="0034660F"/>
    <w:rsid w:val="00353F70"/>
    <w:rsid w:val="0035714A"/>
    <w:rsid w:val="00361E39"/>
    <w:rsid w:val="00362C76"/>
    <w:rsid w:val="00364D84"/>
    <w:rsid w:val="00366359"/>
    <w:rsid w:val="0037296E"/>
    <w:rsid w:val="00374167"/>
    <w:rsid w:val="00375C6C"/>
    <w:rsid w:val="003770A7"/>
    <w:rsid w:val="00380433"/>
    <w:rsid w:val="00383F94"/>
    <w:rsid w:val="0038535F"/>
    <w:rsid w:val="00385A97"/>
    <w:rsid w:val="00386488"/>
    <w:rsid w:val="00390609"/>
    <w:rsid w:val="00391C59"/>
    <w:rsid w:val="00393DEA"/>
    <w:rsid w:val="00393E8D"/>
    <w:rsid w:val="00395AB8"/>
    <w:rsid w:val="003A30A6"/>
    <w:rsid w:val="003A6949"/>
    <w:rsid w:val="003A7BE4"/>
    <w:rsid w:val="003C4879"/>
    <w:rsid w:val="003D41F0"/>
    <w:rsid w:val="003D42E8"/>
    <w:rsid w:val="003D4671"/>
    <w:rsid w:val="003E18C2"/>
    <w:rsid w:val="003F5209"/>
    <w:rsid w:val="003F570B"/>
    <w:rsid w:val="003F75B6"/>
    <w:rsid w:val="003F7F7A"/>
    <w:rsid w:val="00404E0E"/>
    <w:rsid w:val="00406EB6"/>
    <w:rsid w:val="00412F97"/>
    <w:rsid w:val="004136E4"/>
    <w:rsid w:val="00415709"/>
    <w:rsid w:val="0041581B"/>
    <w:rsid w:val="00420B64"/>
    <w:rsid w:val="00422C03"/>
    <w:rsid w:val="00425AF3"/>
    <w:rsid w:val="0043615C"/>
    <w:rsid w:val="004400DE"/>
    <w:rsid w:val="00441B6B"/>
    <w:rsid w:val="00443FA5"/>
    <w:rsid w:val="00447734"/>
    <w:rsid w:val="004533FB"/>
    <w:rsid w:val="0045351E"/>
    <w:rsid w:val="00457014"/>
    <w:rsid w:val="004608B4"/>
    <w:rsid w:val="00461F76"/>
    <w:rsid w:val="0046665E"/>
    <w:rsid w:val="00470F71"/>
    <w:rsid w:val="00471978"/>
    <w:rsid w:val="00474834"/>
    <w:rsid w:val="00476475"/>
    <w:rsid w:val="00477C4B"/>
    <w:rsid w:val="00477E8D"/>
    <w:rsid w:val="00481B16"/>
    <w:rsid w:val="004830D0"/>
    <w:rsid w:val="00485257"/>
    <w:rsid w:val="004861E5"/>
    <w:rsid w:val="00491A1C"/>
    <w:rsid w:val="00492080"/>
    <w:rsid w:val="004936CF"/>
    <w:rsid w:val="00494370"/>
    <w:rsid w:val="00496972"/>
    <w:rsid w:val="004A08BB"/>
    <w:rsid w:val="004A4A62"/>
    <w:rsid w:val="004A5CF2"/>
    <w:rsid w:val="004A5E00"/>
    <w:rsid w:val="004A6581"/>
    <w:rsid w:val="004A7975"/>
    <w:rsid w:val="004B53F4"/>
    <w:rsid w:val="004B546D"/>
    <w:rsid w:val="004B5707"/>
    <w:rsid w:val="004B6D8C"/>
    <w:rsid w:val="004B7412"/>
    <w:rsid w:val="004C127B"/>
    <w:rsid w:val="004C5139"/>
    <w:rsid w:val="004D443E"/>
    <w:rsid w:val="004D5553"/>
    <w:rsid w:val="004D609B"/>
    <w:rsid w:val="004D7773"/>
    <w:rsid w:val="004E105C"/>
    <w:rsid w:val="004E347C"/>
    <w:rsid w:val="004E5E68"/>
    <w:rsid w:val="004F1652"/>
    <w:rsid w:val="004F40CC"/>
    <w:rsid w:val="00500BE5"/>
    <w:rsid w:val="00500DD9"/>
    <w:rsid w:val="00503525"/>
    <w:rsid w:val="00505329"/>
    <w:rsid w:val="00510B5A"/>
    <w:rsid w:val="005148DC"/>
    <w:rsid w:val="00514E6F"/>
    <w:rsid w:val="00515E96"/>
    <w:rsid w:val="0051697C"/>
    <w:rsid w:val="00520A2F"/>
    <w:rsid w:val="00523B0B"/>
    <w:rsid w:val="00524E8E"/>
    <w:rsid w:val="00534B06"/>
    <w:rsid w:val="00537984"/>
    <w:rsid w:val="00537BF5"/>
    <w:rsid w:val="00543D0B"/>
    <w:rsid w:val="005450EE"/>
    <w:rsid w:val="005477CE"/>
    <w:rsid w:val="00550B46"/>
    <w:rsid w:val="00550E51"/>
    <w:rsid w:val="00551E3A"/>
    <w:rsid w:val="00560C5E"/>
    <w:rsid w:val="005613C4"/>
    <w:rsid w:val="0056276C"/>
    <w:rsid w:val="00565129"/>
    <w:rsid w:val="0056747E"/>
    <w:rsid w:val="005739B3"/>
    <w:rsid w:val="0057584C"/>
    <w:rsid w:val="00577246"/>
    <w:rsid w:val="005808F9"/>
    <w:rsid w:val="005833DA"/>
    <w:rsid w:val="0058513D"/>
    <w:rsid w:val="005869A0"/>
    <w:rsid w:val="00587FED"/>
    <w:rsid w:val="005930BF"/>
    <w:rsid w:val="0059403C"/>
    <w:rsid w:val="00595B44"/>
    <w:rsid w:val="005A02AF"/>
    <w:rsid w:val="005A0DA4"/>
    <w:rsid w:val="005A1539"/>
    <w:rsid w:val="005A6D20"/>
    <w:rsid w:val="005B0217"/>
    <w:rsid w:val="005B2080"/>
    <w:rsid w:val="005C1811"/>
    <w:rsid w:val="005C3F32"/>
    <w:rsid w:val="005C4061"/>
    <w:rsid w:val="005C4DC7"/>
    <w:rsid w:val="005C51A5"/>
    <w:rsid w:val="005D0233"/>
    <w:rsid w:val="005E6234"/>
    <w:rsid w:val="005E754A"/>
    <w:rsid w:val="005F0793"/>
    <w:rsid w:val="005F6632"/>
    <w:rsid w:val="00602A4D"/>
    <w:rsid w:val="006114D0"/>
    <w:rsid w:val="00613F92"/>
    <w:rsid w:val="0061774A"/>
    <w:rsid w:val="00617FA2"/>
    <w:rsid w:val="0062345D"/>
    <w:rsid w:val="006246C1"/>
    <w:rsid w:val="006249AC"/>
    <w:rsid w:val="00630D39"/>
    <w:rsid w:val="00635062"/>
    <w:rsid w:val="00635271"/>
    <w:rsid w:val="00642448"/>
    <w:rsid w:val="0064496B"/>
    <w:rsid w:val="0064586C"/>
    <w:rsid w:val="006465FF"/>
    <w:rsid w:val="006507FD"/>
    <w:rsid w:val="00653272"/>
    <w:rsid w:val="00653A6E"/>
    <w:rsid w:val="006572B8"/>
    <w:rsid w:val="006575CE"/>
    <w:rsid w:val="00661E38"/>
    <w:rsid w:val="00666033"/>
    <w:rsid w:val="00671427"/>
    <w:rsid w:val="006762A3"/>
    <w:rsid w:val="00682DAD"/>
    <w:rsid w:val="006849E6"/>
    <w:rsid w:val="00691FB5"/>
    <w:rsid w:val="00692933"/>
    <w:rsid w:val="006953A9"/>
    <w:rsid w:val="006A70F6"/>
    <w:rsid w:val="006B0DDA"/>
    <w:rsid w:val="006B2232"/>
    <w:rsid w:val="006B244A"/>
    <w:rsid w:val="006B3E06"/>
    <w:rsid w:val="006B4247"/>
    <w:rsid w:val="006B6866"/>
    <w:rsid w:val="006C0AD0"/>
    <w:rsid w:val="006C12F6"/>
    <w:rsid w:val="006C3E0D"/>
    <w:rsid w:val="006C46D4"/>
    <w:rsid w:val="006C6DB3"/>
    <w:rsid w:val="006D044F"/>
    <w:rsid w:val="006D7F9E"/>
    <w:rsid w:val="006E2C5B"/>
    <w:rsid w:val="006E67B7"/>
    <w:rsid w:val="006E7159"/>
    <w:rsid w:val="006F0E12"/>
    <w:rsid w:val="006F0F09"/>
    <w:rsid w:val="006F11B5"/>
    <w:rsid w:val="006F6A0F"/>
    <w:rsid w:val="006F7A8F"/>
    <w:rsid w:val="00700898"/>
    <w:rsid w:val="00701021"/>
    <w:rsid w:val="0070265E"/>
    <w:rsid w:val="007042AB"/>
    <w:rsid w:val="00713191"/>
    <w:rsid w:val="0072049B"/>
    <w:rsid w:val="00720F2E"/>
    <w:rsid w:val="00724039"/>
    <w:rsid w:val="007251DD"/>
    <w:rsid w:val="00726FCD"/>
    <w:rsid w:val="00735419"/>
    <w:rsid w:val="00740B27"/>
    <w:rsid w:val="007419C7"/>
    <w:rsid w:val="00741C7D"/>
    <w:rsid w:val="00742523"/>
    <w:rsid w:val="00744A4F"/>
    <w:rsid w:val="00751EE5"/>
    <w:rsid w:val="00753D80"/>
    <w:rsid w:val="0075472A"/>
    <w:rsid w:val="00784A8A"/>
    <w:rsid w:val="00787C96"/>
    <w:rsid w:val="00790F34"/>
    <w:rsid w:val="0079256B"/>
    <w:rsid w:val="00793AAC"/>
    <w:rsid w:val="00793B30"/>
    <w:rsid w:val="00795F94"/>
    <w:rsid w:val="00797BF4"/>
    <w:rsid w:val="007A2332"/>
    <w:rsid w:val="007A7991"/>
    <w:rsid w:val="007B7911"/>
    <w:rsid w:val="007C0164"/>
    <w:rsid w:val="007C5FE0"/>
    <w:rsid w:val="007C6ED4"/>
    <w:rsid w:val="007C79DE"/>
    <w:rsid w:val="007D5FEB"/>
    <w:rsid w:val="007E32ED"/>
    <w:rsid w:val="007E4428"/>
    <w:rsid w:val="007E6BD4"/>
    <w:rsid w:val="007F29B1"/>
    <w:rsid w:val="007F49ED"/>
    <w:rsid w:val="007F6EFB"/>
    <w:rsid w:val="008009A0"/>
    <w:rsid w:val="00803D7E"/>
    <w:rsid w:val="00805118"/>
    <w:rsid w:val="00806A30"/>
    <w:rsid w:val="00815B6C"/>
    <w:rsid w:val="0082100E"/>
    <w:rsid w:val="008210E3"/>
    <w:rsid w:val="00821817"/>
    <w:rsid w:val="00826223"/>
    <w:rsid w:val="00827BDC"/>
    <w:rsid w:val="0083173E"/>
    <w:rsid w:val="00832627"/>
    <w:rsid w:val="00833F7B"/>
    <w:rsid w:val="00836BCF"/>
    <w:rsid w:val="008427D4"/>
    <w:rsid w:val="00844D76"/>
    <w:rsid w:val="00846A07"/>
    <w:rsid w:val="00847A07"/>
    <w:rsid w:val="008609DE"/>
    <w:rsid w:val="008626DD"/>
    <w:rsid w:val="008728AF"/>
    <w:rsid w:val="00875513"/>
    <w:rsid w:val="00882A57"/>
    <w:rsid w:val="008A01AB"/>
    <w:rsid w:val="008A111E"/>
    <w:rsid w:val="008A3827"/>
    <w:rsid w:val="008A4A05"/>
    <w:rsid w:val="008A57D7"/>
    <w:rsid w:val="008A5BF0"/>
    <w:rsid w:val="008B0489"/>
    <w:rsid w:val="008B04BB"/>
    <w:rsid w:val="008B0C33"/>
    <w:rsid w:val="008B42D7"/>
    <w:rsid w:val="008B7571"/>
    <w:rsid w:val="008C00F7"/>
    <w:rsid w:val="008C1375"/>
    <w:rsid w:val="008C4146"/>
    <w:rsid w:val="008C7AAB"/>
    <w:rsid w:val="008D1390"/>
    <w:rsid w:val="008D14FE"/>
    <w:rsid w:val="008D1E16"/>
    <w:rsid w:val="008D3A74"/>
    <w:rsid w:val="008D6016"/>
    <w:rsid w:val="008E3683"/>
    <w:rsid w:val="008F714A"/>
    <w:rsid w:val="00901AB1"/>
    <w:rsid w:val="009038C4"/>
    <w:rsid w:val="009069C1"/>
    <w:rsid w:val="009074AC"/>
    <w:rsid w:val="009101C8"/>
    <w:rsid w:val="00910601"/>
    <w:rsid w:val="00910DA5"/>
    <w:rsid w:val="00911B87"/>
    <w:rsid w:val="00912258"/>
    <w:rsid w:val="009125B3"/>
    <w:rsid w:val="00916D22"/>
    <w:rsid w:val="00921D7A"/>
    <w:rsid w:val="009240FD"/>
    <w:rsid w:val="009243B1"/>
    <w:rsid w:val="00927504"/>
    <w:rsid w:val="00932E54"/>
    <w:rsid w:val="00933847"/>
    <w:rsid w:val="00935AD3"/>
    <w:rsid w:val="00936045"/>
    <w:rsid w:val="009372DF"/>
    <w:rsid w:val="00947351"/>
    <w:rsid w:val="0095720A"/>
    <w:rsid w:val="00957A90"/>
    <w:rsid w:val="009763F8"/>
    <w:rsid w:val="00980DF9"/>
    <w:rsid w:val="009849D4"/>
    <w:rsid w:val="00991D71"/>
    <w:rsid w:val="00993791"/>
    <w:rsid w:val="00993D66"/>
    <w:rsid w:val="0099602A"/>
    <w:rsid w:val="009A03C5"/>
    <w:rsid w:val="009A5D52"/>
    <w:rsid w:val="009A7EA3"/>
    <w:rsid w:val="009B251E"/>
    <w:rsid w:val="009B4EC8"/>
    <w:rsid w:val="009B5D9E"/>
    <w:rsid w:val="009C08F3"/>
    <w:rsid w:val="009C0D10"/>
    <w:rsid w:val="009C6CA5"/>
    <w:rsid w:val="009D2F31"/>
    <w:rsid w:val="009D7F6D"/>
    <w:rsid w:val="009E4BBC"/>
    <w:rsid w:val="009E79D8"/>
    <w:rsid w:val="009E7EBB"/>
    <w:rsid w:val="009F25FB"/>
    <w:rsid w:val="009F2B6A"/>
    <w:rsid w:val="009F3C12"/>
    <w:rsid w:val="009F5C69"/>
    <w:rsid w:val="009F7924"/>
    <w:rsid w:val="00A046FB"/>
    <w:rsid w:val="00A0717F"/>
    <w:rsid w:val="00A07B6A"/>
    <w:rsid w:val="00A116C7"/>
    <w:rsid w:val="00A14103"/>
    <w:rsid w:val="00A14A4A"/>
    <w:rsid w:val="00A2616B"/>
    <w:rsid w:val="00A26C94"/>
    <w:rsid w:val="00A27955"/>
    <w:rsid w:val="00A319CE"/>
    <w:rsid w:val="00A33DDB"/>
    <w:rsid w:val="00A362A5"/>
    <w:rsid w:val="00A407DC"/>
    <w:rsid w:val="00A4318D"/>
    <w:rsid w:val="00A43F9D"/>
    <w:rsid w:val="00A556DB"/>
    <w:rsid w:val="00A55A53"/>
    <w:rsid w:val="00A57F60"/>
    <w:rsid w:val="00A61D66"/>
    <w:rsid w:val="00A62E5F"/>
    <w:rsid w:val="00A632B6"/>
    <w:rsid w:val="00A65073"/>
    <w:rsid w:val="00A65CF4"/>
    <w:rsid w:val="00A67A64"/>
    <w:rsid w:val="00A7465B"/>
    <w:rsid w:val="00A80C67"/>
    <w:rsid w:val="00A84E44"/>
    <w:rsid w:val="00A95AB3"/>
    <w:rsid w:val="00A97D3C"/>
    <w:rsid w:val="00AA08CC"/>
    <w:rsid w:val="00AA16FE"/>
    <w:rsid w:val="00AB09CE"/>
    <w:rsid w:val="00AB0D35"/>
    <w:rsid w:val="00AB3C1D"/>
    <w:rsid w:val="00AC3D41"/>
    <w:rsid w:val="00AC5A88"/>
    <w:rsid w:val="00AD4798"/>
    <w:rsid w:val="00AD6658"/>
    <w:rsid w:val="00AD6A56"/>
    <w:rsid w:val="00AD7D5D"/>
    <w:rsid w:val="00AE1E89"/>
    <w:rsid w:val="00AE356E"/>
    <w:rsid w:val="00AE4CB1"/>
    <w:rsid w:val="00AE647F"/>
    <w:rsid w:val="00AF4003"/>
    <w:rsid w:val="00AF6D3F"/>
    <w:rsid w:val="00B00E88"/>
    <w:rsid w:val="00B0276E"/>
    <w:rsid w:val="00B06DC5"/>
    <w:rsid w:val="00B07A19"/>
    <w:rsid w:val="00B12A0B"/>
    <w:rsid w:val="00B22E59"/>
    <w:rsid w:val="00B25CF5"/>
    <w:rsid w:val="00B31A72"/>
    <w:rsid w:val="00B36224"/>
    <w:rsid w:val="00B405B1"/>
    <w:rsid w:val="00B42347"/>
    <w:rsid w:val="00B460D5"/>
    <w:rsid w:val="00B57EE3"/>
    <w:rsid w:val="00B60475"/>
    <w:rsid w:val="00B64FA0"/>
    <w:rsid w:val="00B65661"/>
    <w:rsid w:val="00B7098A"/>
    <w:rsid w:val="00B70F6A"/>
    <w:rsid w:val="00B73C63"/>
    <w:rsid w:val="00B73E7B"/>
    <w:rsid w:val="00B740D2"/>
    <w:rsid w:val="00B74994"/>
    <w:rsid w:val="00B75EA2"/>
    <w:rsid w:val="00B77298"/>
    <w:rsid w:val="00B822D4"/>
    <w:rsid w:val="00B832C5"/>
    <w:rsid w:val="00B86352"/>
    <w:rsid w:val="00B86883"/>
    <w:rsid w:val="00B9232B"/>
    <w:rsid w:val="00B943E3"/>
    <w:rsid w:val="00B96979"/>
    <w:rsid w:val="00B96B5D"/>
    <w:rsid w:val="00B974ED"/>
    <w:rsid w:val="00BA0402"/>
    <w:rsid w:val="00BA0F9E"/>
    <w:rsid w:val="00BA18D5"/>
    <w:rsid w:val="00BA1A47"/>
    <w:rsid w:val="00BA1EE7"/>
    <w:rsid w:val="00BA1EFE"/>
    <w:rsid w:val="00BA4037"/>
    <w:rsid w:val="00BB18A2"/>
    <w:rsid w:val="00BB1C81"/>
    <w:rsid w:val="00BB38BF"/>
    <w:rsid w:val="00BB5E38"/>
    <w:rsid w:val="00BB61C3"/>
    <w:rsid w:val="00BC2B99"/>
    <w:rsid w:val="00BC2C12"/>
    <w:rsid w:val="00BD1874"/>
    <w:rsid w:val="00BD3065"/>
    <w:rsid w:val="00BD51AC"/>
    <w:rsid w:val="00BD603F"/>
    <w:rsid w:val="00BD6089"/>
    <w:rsid w:val="00BD7451"/>
    <w:rsid w:val="00BD7667"/>
    <w:rsid w:val="00BD79ED"/>
    <w:rsid w:val="00BE1309"/>
    <w:rsid w:val="00BE1896"/>
    <w:rsid w:val="00BE246E"/>
    <w:rsid w:val="00BE2F20"/>
    <w:rsid w:val="00BF1CDD"/>
    <w:rsid w:val="00BF37CE"/>
    <w:rsid w:val="00BF4D76"/>
    <w:rsid w:val="00BF5ED5"/>
    <w:rsid w:val="00C00BB8"/>
    <w:rsid w:val="00C033EE"/>
    <w:rsid w:val="00C03DF0"/>
    <w:rsid w:val="00C04F62"/>
    <w:rsid w:val="00C06475"/>
    <w:rsid w:val="00C10C29"/>
    <w:rsid w:val="00C11A52"/>
    <w:rsid w:val="00C14486"/>
    <w:rsid w:val="00C16043"/>
    <w:rsid w:val="00C22EF8"/>
    <w:rsid w:val="00C24508"/>
    <w:rsid w:val="00C3137B"/>
    <w:rsid w:val="00C34866"/>
    <w:rsid w:val="00C34D82"/>
    <w:rsid w:val="00C3526B"/>
    <w:rsid w:val="00C369CB"/>
    <w:rsid w:val="00C371B0"/>
    <w:rsid w:val="00C375C1"/>
    <w:rsid w:val="00C37EFF"/>
    <w:rsid w:val="00C42CDC"/>
    <w:rsid w:val="00C516EA"/>
    <w:rsid w:val="00C51B65"/>
    <w:rsid w:val="00C53856"/>
    <w:rsid w:val="00C546D6"/>
    <w:rsid w:val="00C54BB7"/>
    <w:rsid w:val="00C63E8B"/>
    <w:rsid w:val="00C66FFF"/>
    <w:rsid w:val="00C72774"/>
    <w:rsid w:val="00C76291"/>
    <w:rsid w:val="00C86E98"/>
    <w:rsid w:val="00C91095"/>
    <w:rsid w:val="00C935EC"/>
    <w:rsid w:val="00C9631C"/>
    <w:rsid w:val="00C9769C"/>
    <w:rsid w:val="00CA08FB"/>
    <w:rsid w:val="00CA1743"/>
    <w:rsid w:val="00CA32A9"/>
    <w:rsid w:val="00CA6FD7"/>
    <w:rsid w:val="00CA79AD"/>
    <w:rsid w:val="00CB6A4B"/>
    <w:rsid w:val="00CC28CC"/>
    <w:rsid w:val="00CC2A0B"/>
    <w:rsid w:val="00CC6937"/>
    <w:rsid w:val="00CC7A6B"/>
    <w:rsid w:val="00CC7AD4"/>
    <w:rsid w:val="00CD2ADB"/>
    <w:rsid w:val="00CD5590"/>
    <w:rsid w:val="00CE0409"/>
    <w:rsid w:val="00CE5672"/>
    <w:rsid w:val="00CE7B59"/>
    <w:rsid w:val="00CE7D6A"/>
    <w:rsid w:val="00CF4014"/>
    <w:rsid w:val="00CF524E"/>
    <w:rsid w:val="00D01E36"/>
    <w:rsid w:val="00D04A49"/>
    <w:rsid w:val="00D064C6"/>
    <w:rsid w:val="00D11947"/>
    <w:rsid w:val="00D11FCC"/>
    <w:rsid w:val="00D12CBB"/>
    <w:rsid w:val="00D13386"/>
    <w:rsid w:val="00D14EDF"/>
    <w:rsid w:val="00D210B9"/>
    <w:rsid w:val="00D22265"/>
    <w:rsid w:val="00D226B2"/>
    <w:rsid w:val="00D24A24"/>
    <w:rsid w:val="00D27214"/>
    <w:rsid w:val="00D305FA"/>
    <w:rsid w:val="00D332C0"/>
    <w:rsid w:val="00D3478F"/>
    <w:rsid w:val="00D36117"/>
    <w:rsid w:val="00D45EE3"/>
    <w:rsid w:val="00D45FC1"/>
    <w:rsid w:val="00D60C3A"/>
    <w:rsid w:val="00D613FD"/>
    <w:rsid w:val="00D62014"/>
    <w:rsid w:val="00D64C42"/>
    <w:rsid w:val="00D64E3A"/>
    <w:rsid w:val="00D7056F"/>
    <w:rsid w:val="00D71C2A"/>
    <w:rsid w:val="00D74D21"/>
    <w:rsid w:val="00D7622A"/>
    <w:rsid w:val="00D77DB6"/>
    <w:rsid w:val="00D90AB5"/>
    <w:rsid w:val="00D92FB0"/>
    <w:rsid w:val="00D94D09"/>
    <w:rsid w:val="00D95C8A"/>
    <w:rsid w:val="00D97F70"/>
    <w:rsid w:val="00DA146C"/>
    <w:rsid w:val="00DA3A75"/>
    <w:rsid w:val="00DB487A"/>
    <w:rsid w:val="00DB6017"/>
    <w:rsid w:val="00DC29DF"/>
    <w:rsid w:val="00DC4B3F"/>
    <w:rsid w:val="00DC55CD"/>
    <w:rsid w:val="00DC63A7"/>
    <w:rsid w:val="00DD0885"/>
    <w:rsid w:val="00DD3566"/>
    <w:rsid w:val="00DD5CA7"/>
    <w:rsid w:val="00DD76BB"/>
    <w:rsid w:val="00DE08AE"/>
    <w:rsid w:val="00DE6547"/>
    <w:rsid w:val="00DE7A70"/>
    <w:rsid w:val="00DE7DC8"/>
    <w:rsid w:val="00DF31F8"/>
    <w:rsid w:val="00DF3422"/>
    <w:rsid w:val="00DF4869"/>
    <w:rsid w:val="00E0026F"/>
    <w:rsid w:val="00E11F07"/>
    <w:rsid w:val="00E12330"/>
    <w:rsid w:val="00E1268A"/>
    <w:rsid w:val="00E14930"/>
    <w:rsid w:val="00E20123"/>
    <w:rsid w:val="00E2015A"/>
    <w:rsid w:val="00E24809"/>
    <w:rsid w:val="00E26893"/>
    <w:rsid w:val="00E32651"/>
    <w:rsid w:val="00E33E19"/>
    <w:rsid w:val="00E37BB2"/>
    <w:rsid w:val="00E42B8A"/>
    <w:rsid w:val="00E42EB0"/>
    <w:rsid w:val="00E43C5D"/>
    <w:rsid w:val="00E44EF3"/>
    <w:rsid w:val="00E450BC"/>
    <w:rsid w:val="00E45890"/>
    <w:rsid w:val="00E46DF9"/>
    <w:rsid w:val="00E537A0"/>
    <w:rsid w:val="00E53A58"/>
    <w:rsid w:val="00E54EF4"/>
    <w:rsid w:val="00E56635"/>
    <w:rsid w:val="00E6072A"/>
    <w:rsid w:val="00E62BB2"/>
    <w:rsid w:val="00E71C7F"/>
    <w:rsid w:val="00E77B90"/>
    <w:rsid w:val="00E83145"/>
    <w:rsid w:val="00E85D84"/>
    <w:rsid w:val="00E86883"/>
    <w:rsid w:val="00E87634"/>
    <w:rsid w:val="00EA20E0"/>
    <w:rsid w:val="00EA2164"/>
    <w:rsid w:val="00EA2748"/>
    <w:rsid w:val="00EB085F"/>
    <w:rsid w:val="00EB2BE3"/>
    <w:rsid w:val="00EB493B"/>
    <w:rsid w:val="00EB55A7"/>
    <w:rsid w:val="00EC15AE"/>
    <w:rsid w:val="00EC3984"/>
    <w:rsid w:val="00EC5A32"/>
    <w:rsid w:val="00ED0F2A"/>
    <w:rsid w:val="00ED1AD7"/>
    <w:rsid w:val="00ED1E58"/>
    <w:rsid w:val="00ED673D"/>
    <w:rsid w:val="00ED7BD7"/>
    <w:rsid w:val="00EE12B0"/>
    <w:rsid w:val="00EE2502"/>
    <w:rsid w:val="00EF34B4"/>
    <w:rsid w:val="00EF66B1"/>
    <w:rsid w:val="00F0194D"/>
    <w:rsid w:val="00F04EDF"/>
    <w:rsid w:val="00F12F6D"/>
    <w:rsid w:val="00F17B98"/>
    <w:rsid w:val="00F20687"/>
    <w:rsid w:val="00F256C2"/>
    <w:rsid w:val="00F261A3"/>
    <w:rsid w:val="00F30DA3"/>
    <w:rsid w:val="00F37BE2"/>
    <w:rsid w:val="00F40448"/>
    <w:rsid w:val="00F4372F"/>
    <w:rsid w:val="00F44950"/>
    <w:rsid w:val="00F45981"/>
    <w:rsid w:val="00F47622"/>
    <w:rsid w:val="00F47B27"/>
    <w:rsid w:val="00F506BD"/>
    <w:rsid w:val="00F53BA5"/>
    <w:rsid w:val="00F5696A"/>
    <w:rsid w:val="00F619F4"/>
    <w:rsid w:val="00F61C86"/>
    <w:rsid w:val="00F61DF5"/>
    <w:rsid w:val="00F64E86"/>
    <w:rsid w:val="00F660AC"/>
    <w:rsid w:val="00F677C3"/>
    <w:rsid w:val="00F70DDD"/>
    <w:rsid w:val="00F71547"/>
    <w:rsid w:val="00F731CE"/>
    <w:rsid w:val="00F74F83"/>
    <w:rsid w:val="00F75920"/>
    <w:rsid w:val="00F80153"/>
    <w:rsid w:val="00F81C50"/>
    <w:rsid w:val="00F83418"/>
    <w:rsid w:val="00F8353A"/>
    <w:rsid w:val="00F8467D"/>
    <w:rsid w:val="00F850B4"/>
    <w:rsid w:val="00F851E8"/>
    <w:rsid w:val="00F86372"/>
    <w:rsid w:val="00F86567"/>
    <w:rsid w:val="00F90449"/>
    <w:rsid w:val="00F95819"/>
    <w:rsid w:val="00F97D46"/>
    <w:rsid w:val="00FA15D1"/>
    <w:rsid w:val="00FA30EE"/>
    <w:rsid w:val="00FA49D6"/>
    <w:rsid w:val="00FA6CB1"/>
    <w:rsid w:val="00FB06BD"/>
    <w:rsid w:val="00FB2B7A"/>
    <w:rsid w:val="00FB2CC8"/>
    <w:rsid w:val="00FB51F3"/>
    <w:rsid w:val="00FB5B2F"/>
    <w:rsid w:val="00FB66D5"/>
    <w:rsid w:val="00FB6CF6"/>
    <w:rsid w:val="00FB7FCA"/>
    <w:rsid w:val="00FC4198"/>
    <w:rsid w:val="00FC4714"/>
    <w:rsid w:val="00FC62BC"/>
    <w:rsid w:val="00FC6D22"/>
    <w:rsid w:val="00FC7B20"/>
    <w:rsid w:val="00FD2694"/>
    <w:rsid w:val="00FD462B"/>
    <w:rsid w:val="00FD47B6"/>
    <w:rsid w:val="00FE1615"/>
    <w:rsid w:val="00FE1899"/>
    <w:rsid w:val="00FE21E2"/>
    <w:rsid w:val="00FE5476"/>
    <w:rsid w:val="00FE5F53"/>
    <w:rsid w:val="00FE6858"/>
    <w:rsid w:val="00FE7DAD"/>
    <w:rsid w:val="00FF4BA9"/>
    <w:rsid w:val="00FF671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14:docId w14:val="5C9BF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qFormat="1"/>
    <w:lsdException w:name="endnote tex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871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295222"/>
    <w:pPr>
      <w:keepNext/>
      <w:numPr>
        <w:numId w:val="7"/>
      </w:numPr>
      <w:spacing w:before="240" w:after="240" w:line="276" w:lineRule="auto"/>
      <w:ind w:left="567" w:hanging="567"/>
      <w:outlineLvl w:val="0"/>
    </w:pPr>
    <w:rPr>
      <w:rFonts w:ascii="Arial" w:eastAsiaTheme="majorEastAsia" w:hAnsi="Arial" w:cs="Arial"/>
      <w:b/>
      <w:bCs/>
      <w:kern w:val="32"/>
      <w:sz w:val="28"/>
      <w:szCs w:val="32"/>
      <w:lang w:eastAsia="en-US"/>
    </w:rPr>
  </w:style>
  <w:style w:type="paragraph" w:styleId="Nadpis2">
    <w:name w:val="heading 2"/>
    <w:basedOn w:val="Normln"/>
    <w:next w:val="Normln"/>
    <w:link w:val="Nadpis2Char"/>
    <w:uiPriority w:val="9"/>
    <w:qFormat/>
    <w:rsid w:val="00187187"/>
    <w:pPr>
      <w:keepNext/>
      <w:spacing w:before="240" w:after="60"/>
      <w:outlineLvl w:val="1"/>
    </w:pPr>
    <w:rPr>
      <w:rFonts w:ascii="Arial" w:hAnsi="Arial" w:cs="Arial"/>
      <w:b/>
      <w:bCs/>
      <w:i/>
      <w:iCs/>
      <w:szCs w:val="28"/>
    </w:rPr>
  </w:style>
  <w:style w:type="paragraph" w:styleId="Nadpis3">
    <w:name w:val="heading 3"/>
    <w:basedOn w:val="Normln"/>
    <w:next w:val="Normln"/>
    <w:link w:val="Nadpis3Char"/>
    <w:uiPriority w:val="9"/>
    <w:qFormat/>
    <w:rsid w:val="00187187"/>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semiHidden/>
    <w:unhideWhenUsed/>
    <w:qFormat/>
    <w:rsid w:val="00FE6858"/>
    <w:pPr>
      <w:keepNext/>
      <w:keepLines/>
      <w:spacing w:before="200" w:line="276" w:lineRule="auto"/>
      <w:ind w:left="864" w:hanging="864"/>
      <w:outlineLvl w:val="3"/>
    </w:pPr>
    <w:rPr>
      <w:rFonts w:asciiTheme="majorHAnsi" w:eastAsiaTheme="majorEastAsia" w:hAnsiTheme="majorHAnsi" w:cstheme="majorBidi"/>
      <w:b/>
      <w:bCs/>
      <w:i/>
      <w:iCs/>
      <w:color w:val="4F81BD" w:themeColor="accent1"/>
      <w:sz w:val="22"/>
      <w:szCs w:val="22"/>
      <w:lang w:eastAsia="en-US"/>
    </w:rPr>
  </w:style>
  <w:style w:type="paragraph" w:styleId="Nadpis5">
    <w:name w:val="heading 5"/>
    <w:basedOn w:val="Normln"/>
    <w:next w:val="Normln"/>
    <w:link w:val="Nadpis5Char"/>
    <w:uiPriority w:val="9"/>
    <w:semiHidden/>
    <w:unhideWhenUsed/>
    <w:qFormat/>
    <w:rsid w:val="00FE6858"/>
    <w:pPr>
      <w:keepNext/>
      <w:keepLines/>
      <w:spacing w:before="200" w:line="276" w:lineRule="auto"/>
      <w:ind w:left="1008" w:hanging="1008"/>
      <w:outlineLvl w:val="4"/>
    </w:pPr>
    <w:rPr>
      <w:rFonts w:asciiTheme="majorHAnsi" w:eastAsiaTheme="majorEastAsia" w:hAnsiTheme="majorHAnsi" w:cstheme="majorBidi"/>
      <w:color w:val="243F60" w:themeColor="accent1" w:themeShade="7F"/>
      <w:sz w:val="22"/>
      <w:szCs w:val="22"/>
      <w:lang w:eastAsia="en-US"/>
    </w:rPr>
  </w:style>
  <w:style w:type="paragraph" w:styleId="Nadpis6">
    <w:name w:val="heading 6"/>
    <w:basedOn w:val="Normln"/>
    <w:next w:val="Normln"/>
    <w:link w:val="Nadpis6Char"/>
    <w:uiPriority w:val="9"/>
    <w:semiHidden/>
    <w:unhideWhenUsed/>
    <w:qFormat/>
    <w:rsid w:val="00FE6858"/>
    <w:pPr>
      <w:keepNext/>
      <w:keepLines/>
      <w:spacing w:before="200" w:line="276" w:lineRule="auto"/>
      <w:ind w:left="1152" w:hanging="1152"/>
      <w:outlineLvl w:val="5"/>
    </w:pPr>
    <w:rPr>
      <w:rFonts w:asciiTheme="majorHAnsi" w:eastAsiaTheme="majorEastAsia" w:hAnsiTheme="majorHAnsi" w:cstheme="majorBidi"/>
      <w:i/>
      <w:iCs/>
      <w:color w:val="243F60" w:themeColor="accent1" w:themeShade="7F"/>
      <w:sz w:val="22"/>
      <w:szCs w:val="22"/>
      <w:lang w:eastAsia="en-US"/>
    </w:rPr>
  </w:style>
  <w:style w:type="paragraph" w:styleId="Nadpis7">
    <w:name w:val="heading 7"/>
    <w:basedOn w:val="Normln"/>
    <w:next w:val="Normln"/>
    <w:link w:val="Nadpis7Char"/>
    <w:uiPriority w:val="9"/>
    <w:semiHidden/>
    <w:unhideWhenUsed/>
    <w:qFormat/>
    <w:rsid w:val="00FE6858"/>
    <w:pPr>
      <w:keepNext/>
      <w:keepLines/>
      <w:spacing w:before="200" w:line="276" w:lineRule="auto"/>
      <w:ind w:left="1296" w:hanging="1296"/>
      <w:outlineLvl w:val="6"/>
    </w:pPr>
    <w:rPr>
      <w:rFonts w:asciiTheme="majorHAnsi" w:eastAsiaTheme="majorEastAsia" w:hAnsiTheme="majorHAnsi" w:cstheme="majorBidi"/>
      <w:i/>
      <w:iCs/>
      <w:color w:val="404040" w:themeColor="text1" w:themeTint="BF"/>
      <w:sz w:val="22"/>
      <w:szCs w:val="22"/>
      <w:lang w:eastAsia="en-US"/>
    </w:rPr>
  </w:style>
  <w:style w:type="paragraph" w:styleId="Nadpis8">
    <w:name w:val="heading 8"/>
    <w:basedOn w:val="Normln"/>
    <w:next w:val="Normln"/>
    <w:link w:val="Nadpis8Char"/>
    <w:uiPriority w:val="9"/>
    <w:semiHidden/>
    <w:unhideWhenUsed/>
    <w:qFormat/>
    <w:rsid w:val="00FE6858"/>
    <w:pPr>
      <w:keepNext/>
      <w:keepLines/>
      <w:spacing w:before="200" w:line="276" w:lineRule="auto"/>
      <w:ind w:left="1440" w:hanging="1440"/>
      <w:outlineLvl w:val="7"/>
    </w:pPr>
    <w:rPr>
      <w:rFonts w:asciiTheme="majorHAnsi" w:eastAsiaTheme="majorEastAsia" w:hAnsiTheme="majorHAnsi" w:cstheme="majorBidi"/>
      <w:color w:val="404040" w:themeColor="text1" w:themeTint="BF"/>
      <w:sz w:val="20"/>
      <w:szCs w:val="20"/>
      <w:lang w:eastAsia="en-US"/>
    </w:rPr>
  </w:style>
  <w:style w:type="paragraph" w:styleId="Nadpis9">
    <w:name w:val="heading 9"/>
    <w:basedOn w:val="Normln"/>
    <w:next w:val="Normln"/>
    <w:link w:val="Nadpis9Char"/>
    <w:uiPriority w:val="9"/>
    <w:semiHidden/>
    <w:unhideWhenUsed/>
    <w:qFormat/>
    <w:rsid w:val="00FE6858"/>
    <w:pPr>
      <w:keepNext/>
      <w:keepLines/>
      <w:spacing w:before="200" w:line="276" w:lineRule="auto"/>
      <w:ind w:left="1584" w:hanging="1584"/>
      <w:outlineLvl w:val="8"/>
    </w:pPr>
    <w:rPr>
      <w:rFonts w:asciiTheme="majorHAnsi" w:eastAsiaTheme="majorEastAsia" w:hAnsiTheme="majorHAnsi" w:cstheme="majorBidi"/>
      <w:i/>
      <w:iCs/>
      <w:color w:val="404040" w:themeColor="text1" w:themeTint="BF"/>
      <w:sz w:val="2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295222"/>
    <w:rPr>
      <w:rFonts w:ascii="Arial" w:eastAsiaTheme="majorEastAsia" w:hAnsi="Arial" w:cs="Arial"/>
      <w:b/>
      <w:bCs/>
      <w:kern w:val="32"/>
      <w:sz w:val="28"/>
      <w:szCs w:val="32"/>
    </w:rPr>
  </w:style>
  <w:style w:type="character" w:customStyle="1" w:styleId="Nadpis2Char">
    <w:name w:val="Nadpis 2 Char"/>
    <w:basedOn w:val="Standardnpsmoodstavce"/>
    <w:link w:val="Nadpis2"/>
    <w:uiPriority w:val="9"/>
    <w:rsid w:val="00187187"/>
    <w:rPr>
      <w:rFonts w:ascii="Arial" w:eastAsia="Times New Roman" w:hAnsi="Arial" w:cs="Arial"/>
      <w:b/>
      <w:bCs/>
      <w:i/>
      <w:iCs/>
      <w:sz w:val="24"/>
      <w:szCs w:val="28"/>
      <w:lang w:eastAsia="cs-CZ"/>
    </w:rPr>
  </w:style>
  <w:style w:type="character" w:customStyle="1" w:styleId="Nadpis3Char">
    <w:name w:val="Nadpis 3 Char"/>
    <w:basedOn w:val="Standardnpsmoodstavce"/>
    <w:link w:val="Nadpis3"/>
    <w:uiPriority w:val="9"/>
    <w:rsid w:val="00187187"/>
    <w:rPr>
      <w:rFonts w:ascii="Arial" w:eastAsia="Times New Roman" w:hAnsi="Arial" w:cs="Arial"/>
      <w:b/>
      <w:bCs/>
      <w:sz w:val="26"/>
      <w:szCs w:val="26"/>
      <w:lang w:eastAsia="cs-CZ"/>
    </w:rPr>
  </w:style>
  <w:style w:type="paragraph" w:styleId="Zhlav">
    <w:name w:val="header"/>
    <w:basedOn w:val="Normln"/>
    <w:link w:val="ZhlavChar"/>
    <w:uiPriority w:val="99"/>
    <w:rsid w:val="00187187"/>
    <w:pPr>
      <w:tabs>
        <w:tab w:val="center" w:pos="4536"/>
        <w:tab w:val="right" w:pos="9072"/>
      </w:tabs>
    </w:pPr>
  </w:style>
  <w:style w:type="character" w:customStyle="1" w:styleId="ZhlavChar">
    <w:name w:val="Záhlaví Char"/>
    <w:basedOn w:val="Standardnpsmoodstavce"/>
    <w:link w:val="Zhlav"/>
    <w:uiPriority w:val="99"/>
    <w:rsid w:val="00187187"/>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187187"/>
    <w:pPr>
      <w:tabs>
        <w:tab w:val="center" w:pos="4536"/>
        <w:tab w:val="right" w:pos="9072"/>
      </w:tabs>
    </w:pPr>
  </w:style>
  <w:style w:type="character" w:customStyle="1" w:styleId="ZpatChar">
    <w:name w:val="Zápatí Char"/>
    <w:basedOn w:val="Standardnpsmoodstavce"/>
    <w:link w:val="Zpat"/>
    <w:uiPriority w:val="99"/>
    <w:rsid w:val="00187187"/>
    <w:rPr>
      <w:rFonts w:ascii="Times New Roman" w:eastAsia="Times New Roman" w:hAnsi="Times New Roman" w:cs="Times New Roman"/>
      <w:sz w:val="24"/>
      <w:szCs w:val="24"/>
      <w:lang w:eastAsia="cs-CZ"/>
    </w:rPr>
  </w:style>
  <w:style w:type="character" w:styleId="slostrnky">
    <w:name w:val="page number"/>
    <w:basedOn w:val="Standardnpsmoodstavce"/>
    <w:rsid w:val="00187187"/>
  </w:style>
  <w:style w:type="paragraph" w:styleId="Textbubliny">
    <w:name w:val="Balloon Text"/>
    <w:basedOn w:val="Normln"/>
    <w:link w:val="TextbublinyChar"/>
    <w:uiPriority w:val="99"/>
    <w:semiHidden/>
    <w:rsid w:val="00187187"/>
    <w:rPr>
      <w:rFonts w:ascii="Tahoma" w:hAnsi="Tahoma" w:cs="Tahoma"/>
      <w:sz w:val="16"/>
      <w:szCs w:val="16"/>
    </w:rPr>
  </w:style>
  <w:style w:type="character" w:customStyle="1" w:styleId="TextbublinyChar">
    <w:name w:val="Text bubliny Char"/>
    <w:basedOn w:val="Standardnpsmoodstavce"/>
    <w:link w:val="Textbubliny"/>
    <w:uiPriority w:val="99"/>
    <w:semiHidden/>
    <w:rsid w:val="00187187"/>
    <w:rPr>
      <w:rFonts w:ascii="Tahoma" w:eastAsia="Times New Roman" w:hAnsi="Tahoma" w:cs="Tahoma"/>
      <w:sz w:val="16"/>
      <w:szCs w:val="16"/>
      <w:lang w:eastAsia="cs-CZ"/>
    </w:rPr>
  </w:style>
  <w:style w:type="character" w:customStyle="1" w:styleId="apple-converted-space">
    <w:name w:val="apple-converted-space"/>
    <w:basedOn w:val="Standardnpsmoodstavce"/>
    <w:rsid w:val="00187187"/>
  </w:style>
  <w:style w:type="paragraph" w:customStyle="1" w:styleId="CharChar1CharCharCharCharCharCharChar">
    <w:name w:val="Char Char1 Char Char Char Char Char Char Char"/>
    <w:basedOn w:val="Normln"/>
    <w:rsid w:val="00187187"/>
    <w:pPr>
      <w:spacing w:after="160" w:line="240" w:lineRule="exact"/>
    </w:pPr>
    <w:rPr>
      <w:rFonts w:ascii="Times New Roman Bold" w:hAnsi="Times New Roman Bold"/>
      <w:sz w:val="22"/>
      <w:szCs w:val="26"/>
      <w:lang w:val="sk-SK" w:eastAsia="en-US"/>
    </w:rPr>
  </w:style>
  <w:style w:type="character" w:styleId="Siln">
    <w:name w:val="Strong"/>
    <w:uiPriority w:val="22"/>
    <w:qFormat/>
    <w:rsid w:val="00187187"/>
    <w:rPr>
      <w:b/>
      <w:bCs/>
    </w:rPr>
  </w:style>
  <w:style w:type="character" w:customStyle="1" w:styleId="datecover">
    <w:name w:val="datecover"/>
    <w:basedOn w:val="Standardnpsmoodstavce"/>
    <w:rsid w:val="00187187"/>
  </w:style>
  <w:style w:type="character" w:styleId="Hypertextovodkaz">
    <w:name w:val="Hyperlink"/>
    <w:uiPriority w:val="99"/>
    <w:unhideWhenUsed/>
    <w:rsid w:val="00187187"/>
    <w:rPr>
      <w:color w:val="0000FF"/>
      <w:u w:val="single"/>
    </w:rPr>
  </w:style>
  <w:style w:type="paragraph" w:styleId="Odstavecseseznamem">
    <w:name w:val="List Paragraph"/>
    <w:aliases w:val="Conclusion de partie"/>
    <w:basedOn w:val="Normln"/>
    <w:link w:val="OdstavecseseznamemChar"/>
    <w:uiPriority w:val="34"/>
    <w:qFormat/>
    <w:rsid w:val="00187187"/>
    <w:pPr>
      <w:ind w:left="708"/>
    </w:pPr>
  </w:style>
  <w:style w:type="paragraph" w:customStyle="1" w:styleId="Odstavecseseznamem1">
    <w:name w:val="Odstavec se seznamem1"/>
    <w:basedOn w:val="Normln"/>
    <w:rsid w:val="00187187"/>
    <w:pPr>
      <w:spacing w:after="200" w:line="276" w:lineRule="auto"/>
      <w:ind w:left="720"/>
      <w:contextualSpacing/>
    </w:pPr>
    <w:rPr>
      <w:rFonts w:ascii="Calibri" w:hAnsi="Calibri"/>
      <w:sz w:val="22"/>
      <w:szCs w:val="22"/>
      <w:lang w:eastAsia="en-US"/>
    </w:rPr>
  </w:style>
  <w:style w:type="paragraph" w:customStyle="1" w:styleId="Pracovnpodklad-nzev">
    <w:name w:val="Pracovní podklad - název"/>
    <w:basedOn w:val="Normln"/>
    <w:link w:val="Pracovnpodklad-nzevChar"/>
    <w:qFormat/>
    <w:rsid w:val="00187187"/>
    <w:pPr>
      <w:spacing w:before="240" w:after="480"/>
      <w:jc w:val="center"/>
    </w:pPr>
    <w:rPr>
      <w:rFonts w:ascii="Arial" w:hAnsi="Arial" w:cs="Arial"/>
      <w:b/>
      <w:sz w:val="22"/>
      <w:szCs w:val="22"/>
    </w:rPr>
  </w:style>
  <w:style w:type="paragraph" w:customStyle="1" w:styleId="Pracovnpodklad-text">
    <w:name w:val="Pracovní podklad - text"/>
    <w:basedOn w:val="Normln"/>
    <w:link w:val="Pracovnpodklad-textChar"/>
    <w:qFormat/>
    <w:rsid w:val="00187187"/>
    <w:pPr>
      <w:spacing w:after="240"/>
      <w:jc w:val="both"/>
    </w:pPr>
    <w:rPr>
      <w:rFonts w:ascii="Arial" w:hAnsi="Arial" w:cs="Arial"/>
      <w:sz w:val="22"/>
      <w:szCs w:val="22"/>
    </w:rPr>
  </w:style>
  <w:style w:type="character" w:customStyle="1" w:styleId="Pracovnpodklad-nzevChar">
    <w:name w:val="Pracovní podklad - název Char"/>
    <w:link w:val="Pracovnpodklad-nzev"/>
    <w:rsid w:val="00187187"/>
    <w:rPr>
      <w:rFonts w:ascii="Arial" w:eastAsia="Times New Roman" w:hAnsi="Arial" w:cs="Arial"/>
      <w:b/>
      <w:lang w:eastAsia="cs-CZ"/>
    </w:rPr>
  </w:style>
  <w:style w:type="paragraph" w:customStyle="1" w:styleId="Pracovnpodklad-tun">
    <w:name w:val="Pracovní podklad - tučně"/>
    <w:basedOn w:val="Pracovnpodklad-text"/>
    <w:link w:val="Pracovnpodklad-tunChar"/>
    <w:qFormat/>
    <w:rsid w:val="00187187"/>
    <w:rPr>
      <w:b/>
    </w:rPr>
  </w:style>
  <w:style w:type="character" w:customStyle="1" w:styleId="Pracovnpodklad-textChar">
    <w:name w:val="Pracovní podklad - text Char"/>
    <w:link w:val="Pracovnpodklad-text"/>
    <w:rsid w:val="00187187"/>
    <w:rPr>
      <w:rFonts w:ascii="Arial" w:eastAsia="Times New Roman" w:hAnsi="Arial" w:cs="Arial"/>
      <w:lang w:eastAsia="cs-CZ"/>
    </w:rPr>
  </w:style>
  <w:style w:type="paragraph" w:customStyle="1" w:styleId="Pracovnpodklad-velkpsmena">
    <w:name w:val="Pracovní podklad - velká písmena"/>
    <w:basedOn w:val="Pracovnpodklad-text"/>
    <w:link w:val="Pracovnpodklad-velkpsmenaChar"/>
    <w:qFormat/>
    <w:rsid w:val="00187187"/>
    <w:rPr>
      <w:caps/>
    </w:rPr>
  </w:style>
  <w:style w:type="character" w:customStyle="1" w:styleId="Pracovnpodklad-tunChar">
    <w:name w:val="Pracovní podklad - tučně Char"/>
    <w:link w:val="Pracovnpodklad-tun"/>
    <w:rsid w:val="00187187"/>
    <w:rPr>
      <w:rFonts w:ascii="Arial" w:eastAsia="Times New Roman" w:hAnsi="Arial" w:cs="Arial"/>
      <w:b/>
      <w:lang w:eastAsia="cs-CZ"/>
    </w:rPr>
  </w:style>
  <w:style w:type="paragraph" w:customStyle="1" w:styleId="Pracovnpodklad-psmo14">
    <w:name w:val="Pracovní podklad - písmo 14"/>
    <w:basedOn w:val="Pracovnpodklad-text"/>
    <w:link w:val="Pracovnpodklad-psmo14Char"/>
    <w:qFormat/>
    <w:rsid w:val="00187187"/>
    <w:rPr>
      <w:sz w:val="28"/>
      <w:szCs w:val="28"/>
    </w:rPr>
  </w:style>
  <w:style w:type="character" w:customStyle="1" w:styleId="Pracovnpodklad-velkpsmenaChar">
    <w:name w:val="Pracovní podklad - velká písmena Char"/>
    <w:link w:val="Pracovnpodklad-velkpsmena"/>
    <w:rsid w:val="00187187"/>
    <w:rPr>
      <w:rFonts w:ascii="Arial" w:eastAsia="Times New Roman" w:hAnsi="Arial" w:cs="Arial"/>
      <w:caps/>
      <w:lang w:eastAsia="cs-CZ"/>
    </w:rPr>
  </w:style>
  <w:style w:type="character" w:customStyle="1" w:styleId="OdstavecseseznamemChar">
    <w:name w:val="Odstavec se seznamem Char"/>
    <w:aliases w:val="Conclusion de partie Char"/>
    <w:link w:val="Odstavecseseznamem"/>
    <w:uiPriority w:val="34"/>
    <w:rsid w:val="00187187"/>
    <w:rPr>
      <w:rFonts w:ascii="Times New Roman" w:eastAsia="Times New Roman" w:hAnsi="Times New Roman" w:cs="Times New Roman"/>
      <w:sz w:val="24"/>
      <w:szCs w:val="24"/>
      <w:lang w:eastAsia="cs-CZ"/>
    </w:rPr>
  </w:style>
  <w:style w:type="character" w:customStyle="1" w:styleId="Pracovnpodklad-psmo14Char">
    <w:name w:val="Pracovní podklad - písmo 14 Char"/>
    <w:link w:val="Pracovnpodklad-psmo14"/>
    <w:rsid w:val="00187187"/>
    <w:rPr>
      <w:rFonts w:ascii="Arial" w:eastAsia="Times New Roman" w:hAnsi="Arial" w:cs="Arial"/>
      <w:sz w:val="28"/>
      <w:szCs w:val="28"/>
      <w:lang w:eastAsia="cs-CZ"/>
    </w:rPr>
  </w:style>
  <w:style w:type="character" w:styleId="Odkaznakoment">
    <w:name w:val="annotation reference"/>
    <w:uiPriority w:val="99"/>
    <w:rsid w:val="00187187"/>
    <w:rPr>
      <w:sz w:val="16"/>
      <w:szCs w:val="16"/>
    </w:rPr>
  </w:style>
  <w:style w:type="paragraph" w:styleId="Textkomente">
    <w:name w:val="annotation text"/>
    <w:basedOn w:val="Normln"/>
    <w:link w:val="TextkomenteChar"/>
    <w:uiPriority w:val="99"/>
    <w:rsid w:val="00187187"/>
    <w:rPr>
      <w:sz w:val="20"/>
      <w:szCs w:val="20"/>
    </w:rPr>
  </w:style>
  <w:style w:type="character" w:customStyle="1" w:styleId="TextkomenteChar">
    <w:name w:val="Text komentáře Char"/>
    <w:basedOn w:val="Standardnpsmoodstavce"/>
    <w:link w:val="Textkomente"/>
    <w:uiPriority w:val="99"/>
    <w:rsid w:val="001871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rsid w:val="00187187"/>
    <w:rPr>
      <w:b/>
      <w:bCs/>
    </w:rPr>
  </w:style>
  <w:style w:type="character" w:customStyle="1" w:styleId="PedmtkomenteChar">
    <w:name w:val="Předmět komentáře Char"/>
    <w:basedOn w:val="TextkomenteChar"/>
    <w:link w:val="Pedmtkomente"/>
    <w:uiPriority w:val="99"/>
    <w:rsid w:val="00187187"/>
    <w:rPr>
      <w:rFonts w:ascii="Times New Roman" w:eastAsia="Times New Roman" w:hAnsi="Times New Roman" w:cs="Times New Roman"/>
      <w:b/>
      <w:bCs/>
      <w:sz w:val="20"/>
      <w:szCs w:val="20"/>
      <w:lang w:eastAsia="cs-CZ"/>
    </w:rPr>
  </w:style>
  <w:style w:type="character" w:customStyle="1" w:styleId="st1">
    <w:name w:val="st1"/>
    <w:basedOn w:val="Standardnpsmoodstavce"/>
    <w:rsid w:val="00187187"/>
  </w:style>
  <w:style w:type="paragraph" w:customStyle="1" w:styleId="Standard">
    <w:name w:val="Standard"/>
    <w:rsid w:val="00187187"/>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xtpoznpodarou">
    <w:name w:val="footnote text"/>
    <w:basedOn w:val="Normln"/>
    <w:link w:val="TextpoznpodarouChar"/>
    <w:uiPriority w:val="99"/>
    <w:unhideWhenUsed/>
    <w:rsid w:val="00187187"/>
    <w:rPr>
      <w:rFonts w:asciiTheme="minorHAnsi" w:eastAsiaTheme="minorHAnsi" w:hAnsiTheme="minorHAnsi" w:cstheme="minorBidi"/>
      <w:sz w:val="20"/>
      <w:szCs w:val="20"/>
      <w:lang w:eastAsia="en-US"/>
    </w:rPr>
  </w:style>
  <w:style w:type="character" w:customStyle="1" w:styleId="TextpoznpodarouChar">
    <w:name w:val="Text pozn. pod čarou Char"/>
    <w:basedOn w:val="Standardnpsmoodstavce"/>
    <w:link w:val="Textpoznpodarou"/>
    <w:uiPriority w:val="99"/>
    <w:rsid w:val="00187187"/>
    <w:rPr>
      <w:sz w:val="20"/>
      <w:szCs w:val="20"/>
    </w:rPr>
  </w:style>
  <w:style w:type="character" w:styleId="Znakapoznpodarou">
    <w:name w:val="footnote reference"/>
    <w:basedOn w:val="Standardnpsmoodstavce"/>
    <w:uiPriority w:val="99"/>
    <w:unhideWhenUsed/>
    <w:rsid w:val="00187187"/>
    <w:rPr>
      <w:vertAlign w:val="superscript"/>
    </w:rPr>
  </w:style>
  <w:style w:type="table" w:styleId="Mkatabulky">
    <w:name w:val="Table Grid"/>
    <w:basedOn w:val="Normlntabulka"/>
    <w:uiPriority w:val="59"/>
    <w:rsid w:val="001871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rnetovodkaz">
    <w:name w:val="Internetový odkaz"/>
    <w:rsid w:val="00187187"/>
    <w:rPr>
      <w:color w:val="0000FF"/>
      <w:u w:val="single"/>
    </w:rPr>
  </w:style>
  <w:style w:type="character" w:customStyle="1" w:styleId="Ukotvenpoznmkypodarou">
    <w:name w:val="Ukotvení poznámky pod čarou"/>
    <w:rsid w:val="00187187"/>
    <w:rPr>
      <w:vertAlign w:val="superscript"/>
    </w:rPr>
  </w:style>
  <w:style w:type="paragraph" w:styleId="Normlnweb">
    <w:name w:val="Normal (Web)"/>
    <w:basedOn w:val="Normln"/>
    <w:uiPriority w:val="99"/>
    <w:rsid w:val="00187187"/>
    <w:pPr>
      <w:spacing w:before="100" w:beforeAutospacing="1" w:after="100" w:afterAutospacing="1" w:line="264" w:lineRule="auto"/>
    </w:pPr>
    <w:rPr>
      <w:rFonts w:ascii="Arial" w:hAnsi="Arial"/>
      <w:sz w:val="22"/>
    </w:rPr>
  </w:style>
  <w:style w:type="table" w:customStyle="1" w:styleId="Mkatabulky1">
    <w:name w:val="Mřížka tabulky1"/>
    <w:basedOn w:val="Normlntabulka"/>
    <w:next w:val="Mkatabulky"/>
    <w:uiPriority w:val="59"/>
    <w:rsid w:val="00187187"/>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
    <w:next w:val="Normln"/>
    <w:autoRedefine/>
    <w:uiPriority w:val="39"/>
    <w:rsid w:val="00187187"/>
    <w:pPr>
      <w:spacing w:after="100"/>
    </w:pPr>
  </w:style>
  <w:style w:type="paragraph" w:styleId="Obsah2">
    <w:name w:val="toc 2"/>
    <w:basedOn w:val="Normln"/>
    <w:next w:val="Normln"/>
    <w:autoRedefine/>
    <w:uiPriority w:val="39"/>
    <w:rsid w:val="00187187"/>
    <w:pPr>
      <w:spacing w:after="100"/>
      <w:ind w:left="240"/>
    </w:pPr>
  </w:style>
  <w:style w:type="character" w:customStyle="1" w:styleId="hps">
    <w:name w:val="hps"/>
    <w:basedOn w:val="Standardnpsmoodstavce"/>
    <w:rsid w:val="00187187"/>
  </w:style>
  <w:style w:type="character" w:customStyle="1" w:styleId="hpsatn">
    <w:name w:val="hps atn"/>
    <w:basedOn w:val="Standardnpsmoodstavce"/>
    <w:rsid w:val="00187187"/>
  </w:style>
  <w:style w:type="paragraph" w:customStyle="1" w:styleId="slovanodstavec">
    <w:name w:val="Číslovaný odstavec"/>
    <w:basedOn w:val="Normln"/>
    <w:link w:val="slovanodstavecChar"/>
    <w:qFormat/>
    <w:rsid w:val="00C91095"/>
    <w:pPr>
      <w:numPr>
        <w:numId w:val="1"/>
      </w:numPr>
      <w:tabs>
        <w:tab w:val="left" w:pos="567"/>
      </w:tabs>
      <w:spacing w:after="200"/>
      <w:ind w:left="0" w:firstLine="0"/>
      <w:jc w:val="both"/>
    </w:pPr>
    <w:rPr>
      <w:rFonts w:ascii="Arial" w:eastAsia="Calibri" w:hAnsi="Arial"/>
      <w:sz w:val="22"/>
      <w:szCs w:val="22"/>
      <w:lang w:eastAsia="en-US"/>
    </w:rPr>
  </w:style>
  <w:style w:type="character" w:customStyle="1" w:styleId="slovanodstavecChar">
    <w:name w:val="Číslovaný odstavec Char"/>
    <w:link w:val="slovanodstavec"/>
    <w:rsid w:val="00C91095"/>
    <w:rPr>
      <w:rFonts w:ascii="Arial" w:eastAsia="Calibri" w:hAnsi="Arial" w:cs="Times New Roman"/>
    </w:rPr>
  </w:style>
  <w:style w:type="paragraph" w:customStyle="1" w:styleId="r2030nelovan">
    <w:name w:val="čr2030 nečíšlovaný"/>
    <w:basedOn w:val="slovanodstavec"/>
    <w:link w:val="r2030nelovanChar"/>
    <w:qFormat/>
    <w:rsid w:val="00187187"/>
    <w:pPr>
      <w:numPr>
        <w:numId w:val="0"/>
      </w:numPr>
    </w:pPr>
    <w:rPr>
      <w:noProof/>
    </w:rPr>
  </w:style>
  <w:style w:type="character" w:customStyle="1" w:styleId="r2030nelovanChar">
    <w:name w:val="čr2030 nečíšlovaný Char"/>
    <w:link w:val="r2030nelovan"/>
    <w:rsid w:val="00187187"/>
    <w:rPr>
      <w:rFonts w:ascii="Arial" w:eastAsia="Calibri" w:hAnsi="Arial" w:cs="Times New Roman"/>
      <w:noProof/>
    </w:rPr>
  </w:style>
  <w:style w:type="paragraph" w:customStyle="1" w:styleId="normisl">
    <w:name w:val="norm čisl"/>
    <w:basedOn w:val="Normln"/>
    <w:link w:val="normislChar"/>
    <w:qFormat/>
    <w:rsid w:val="00187187"/>
    <w:pPr>
      <w:tabs>
        <w:tab w:val="left" w:pos="567"/>
      </w:tabs>
      <w:spacing w:after="200"/>
      <w:ind w:left="432" w:hanging="432"/>
      <w:jc w:val="both"/>
    </w:pPr>
    <w:rPr>
      <w:rFonts w:ascii="Arial" w:eastAsia="Calibri" w:hAnsi="Arial"/>
      <w:sz w:val="22"/>
      <w:szCs w:val="22"/>
      <w:lang w:eastAsia="en-US"/>
    </w:rPr>
  </w:style>
  <w:style w:type="character" w:customStyle="1" w:styleId="normislChar">
    <w:name w:val="norm čisl Char"/>
    <w:basedOn w:val="Standardnpsmoodstavce"/>
    <w:link w:val="normisl"/>
    <w:rsid w:val="00187187"/>
    <w:rPr>
      <w:rFonts w:ascii="Arial" w:eastAsia="Calibri" w:hAnsi="Arial" w:cs="Times New Roman"/>
    </w:rPr>
  </w:style>
  <w:style w:type="paragraph" w:styleId="Revize">
    <w:name w:val="Revision"/>
    <w:hidden/>
    <w:uiPriority w:val="99"/>
    <w:semiHidden/>
    <w:rsid w:val="00187187"/>
    <w:pPr>
      <w:spacing w:after="0" w:line="240" w:lineRule="auto"/>
    </w:pPr>
    <w:rPr>
      <w:rFonts w:ascii="Times New Roman" w:eastAsia="Times New Roman" w:hAnsi="Times New Roman" w:cs="Times New Roman"/>
      <w:sz w:val="24"/>
      <w:szCs w:val="24"/>
      <w:lang w:eastAsia="cs-CZ"/>
    </w:rPr>
  </w:style>
  <w:style w:type="paragraph" w:styleId="Textvysvtlivek">
    <w:name w:val="endnote text"/>
    <w:basedOn w:val="Normln"/>
    <w:link w:val="TextvysvtlivekChar"/>
    <w:uiPriority w:val="99"/>
    <w:semiHidden/>
    <w:unhideWhenUsed/>
    <w:qFormat/>
    <w:rsid w:val="00001E1E"/>
    <w:pPr>
      <w:jc w:val="both"/>
    </w:pPr>
    <w:rPr>
      <w:rFonts w:ascii="Calibri Light" w:eastAsia="Calibri" w:hAnsi="Calibri Light"/>
      <w:color w:val="0D0D0D" w:themeColor="text1" w:themeTint="F2"/>
      <w:sz w:val="22"/>
      <w:szCs w:val="20"/>
      <w:lang w:eastAsia="en-US"/>
    </w:rPr>
  </w:style>
  <w:style w:type="character" w:customStyle="1" w:styleId="TextvysvtlivekChar">
    <w:name w:val="Text vysvětlivek Char"/>
    <w:basedOn w:val="Standardnpsmoodstavce"/>
    <w:link w:val="Textvysvtlivek"/>
    <w:uiPriority w:val="99"/>
    <w:semiHidden/>
    <w:qFormat/>
    <w:rsid w:val="00001E1E"/>
    <w:rPr>
      <w:rFonts w:ascii="Calibri Light" w:eastAsia="Calibri" w:hAnsi="Calibri Light" w:cs="Times New Roman"/>
      <w:color w:val="0D0D0D" w:themeColor="text1" w:themeTint="F2"/>
      <w:szCs w:val="20"/>
    </w:rPr>
  </w:style>
  <w:style w:type="character" w:styleId="Odkaznavysvtlivky">
    <w:name w:val="endnote reference"/>
    <w:basedOn w:val="Standardnpsmoodstavce"/>
    <w:uiPriority w:val="99"/>
    <w:semiHidden/>
    <w:unhideWhenUsed/>
    <w:qFormat/>
    <w:rsid w:val="00001E1E"/>
    <w:rPr>
      <w:vertAlign w:val="superscript"/>
    </w:rPr>
  </w:style>
  <w:style w:type="character" w:styleId="Sledovanodkaz">
    <w:name w:val="FollowedHyperlink"/>
    <w:basedOn w:val="Standardnpsmoodstavce"/>
    <w:uiPriority w:val="99"/>
    <w:semiHidden/>
    <w:unhideWhenUsed/>
    <w:rsid w:val="00AE4CB1"/>
    <w:rPr>
      <w:color w:val="800080" w:themeColor="followedHyperlink"/>
      <w:u w:val="single"/>
    </w:rPr>
  </w:style>
  <w:style w:type="character" w:customStyle="1" w:styleId="Nadpis4Char">
    <w:name w:val="Nadpis 4 Char"/>
    <w:basedOn w:val="Standardnpsmoodstavce"/>
    <w:link w:val="Nadpis4"/>
    <w:uiPriority w:val="9"/>
    <w:semiHidden/>
    <w:rsid w:val="00FE6858"/>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FE6858"/>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FE6858"/>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FE6858"/>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E6858"/>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E6858"/>
    <w:rPr>
      <w:rFonts w:asciiTheme="majorHAnsi" w:eastAsiaTheme="majorEastAsia" w:hAnsiTheme="majorHAnsi" w:cstheme="majorBidi"/>
      <w:i/>
      <w:iCs/>
      <w:color w:val="404040" w:themeColor="text1" w:themeTint="BF"/>
      <w:sz w:val="20"/>
      <w:szCs w:val="20"/>
    </w:rPr>
  </w:style>
  <w:style w:type="character" w:customStyle="1" w:styleId="r2030cleChar">
    <w:name w:val="čr2030 cíle Char"/>
    <w:basedOn w:val="OdstavecseseznamemChar"/>
    <w:link w:val="r2030cle"/>
    <w:locked/>
    <w:rsid w:val="00FB7FCA"/>
    <w:rPr>
      <w:rFonts w:ascii="Arial" w:eastAsia="Times New Roman" w:hAnsi="Arial" w:cs="Arial"/>
      <w:b/>
      <w:noProof/>
      <w:sz w:val="24"/>
      <w:szCs w:val="24"/>
      <w:lang w:eastAsia="cs-CZ"/>
    </w:rPr>
  </w:style>
  <w:style w:type="paragraph" w:customStyle="1" w:styleId="r2030cle">
    <w:name w:val="čr2030 cíle"/>
    <w:basedOn w:val="Odstavecseseznamem"/>
    <w:link w:val="r2030cleChar"/>
    <w:qFormat/>
    <w:rsid w:val="00FB7FCA"/>
    <w:pPr>
      <w:numPr>
        <w:numId w:val="8"/>
      </w:numPr>
      <w:spacing w:before="240" w:after="360" w:line="276" w:lineRule="auto"/>
    </w:pPr>
    <w:rPr>
      <w:rFonts w:ascii="Arial" w:hAnsi="Arial" w:cs="Arial"/>
      <w:b/>
      <w:noProof/>
      <w:sz w:val="22"/>
    </w:rPr>
  </w:style>
  <w:style w:type="character" w:customStyle="1" w:styleId="odkaz-style-wrapper3">
    <w:name w:val="odkaz-style-wrapper3"/>
    <w:basedOn w:val="Standardnpsmoodstavce"/>
    <w:rsid w:val="003E18C2"/>
  </w:style>
  <w:style w:type="paragraph" w:styleId="Zkladntext">
    <w:name w:val="Body Text"/>
    <w:basedOn w:val="Normln"/>
    <w:link w:val="ZkladntextChar"/>
    <w:uiPriority w:val="99"/>
    <w:unhideWhenUsed/>
    <w:rsid w:val="002712FE"/>
    <w:pPr>
      <w:tabs>
        <w:tab w:val="left" w:pos="1418"/>
        <w:tab w:val="left" w:pos="2835"/>
        <w:tab w:val="left" w:pos="4253"/>
        <w:tab w:val="left" w:pos="5670"/>
        <w:tab w:val="left" w:pos="7088"/>
      </w:tabs>
      <w:spacing w:before="120"/>
      <w:jc w:val="both"/>
    </w:pPr>
    <w:rPr>
      <w:sz w:val="20"/>
      <w:szCs w:val="20"/>
    </w:rPr>
  </w:style>
  <w:style w:type="character" w:customStyle="1" w:styleId="ZkladntextChar">
    <w:name w:val="Základní text Char"/>
    <w:basedOn w:val="Standardnpsmoodstavce"/>
    <w:link w:val="Zkladntext"/>
    <w:uiPriority w:val="99"/>
    <w:rsid w:val="002712FE"/>
    <w:rPr>
      <w:rFonts w:ascii="Times New Roman" w:eastAsia="Times New Roman" w:hAnsi="Times New Roman" w:cs="Times New Roman"/>
      <w:sz w:val="20"/>
      <w:szCs w:val="20"/>
      <w:lang w:eastAsia="cs-CZ"/>
    </w:rPr>
  </w:style>
  <w:style w:type="paragraph" w:styleId="Nzev">
    <w:name w:val="Title"/>
    <w:basedOn w:val="Normln"/>
    <w:next w:val="Normln"/>
    <w:link w:val="NzevChar"/>
    <w:uiPriority w:val="10"/>
    <w:qFormat/>
    <w:rsid w:val="00FB7FCA"/>
    <w:pPr>
      <w:spacing w:before="360" w:after="600"/>
      <w:contextualSpacing/>
    </w:pPr>
    <w:rPr>
      <w:rFonts w:ascii="Arial" w:eastAsia="MS Gothic" w:hAnsi="Arial" w:cs="Arial"/>
      <w:b/>
      <w:spacing w:val="5"/>
      <w:kern w:val="28"/>
      <w:sz w:val="52"/>
      <w:szCs w:val="52"/>
      <w:lang w:eastAsia="en-US"/>
    </w:rPr>
  </w:style>
  <w:style w:type="character" w:customStyle="1" w:styleId="NzevChar">
    <w:name w:val="Název Char"/>
    <w:basedOn w:val="Standardnpsmoodstavce"/>
    <w:link w:val="Nzev"/>
    <w:uiPriority w:val="10"/>
    <w:rsid w:val="00FB7FCA"/>
    <w:rPr>
      <w:rFonts w:ascii="Arial" w:eastAsia="MS Gothic" w:hAnsi="Arial" w:cs="Arial"/>
      <w:b/>
      <w:spacing w:val="5"/>
      <w:kern w:val="28"/>
      <w:sz w:val="52"/>
      <w:szCs w:val="52"/>
    </w:rPr>
  </w:style>
  <w:style w:type="paragraph" w:customStyle="1" w:styleId="r2030podcle">
    <w:name w:val="čr2030 podcíle"/>
    <w:basedOn w:val="r2030cle"/>
    <w:link w:val="r2030podcleChar"/>
    <w:qFormat/>
    <w:rsid w:val="00B75EA2"/>
    <w:pPr>
      <w:numPr>
        <w:ilvl w:val="1"/>
      </w:numPr>
    </w:pPr>
    <w:rPr>
      <w:b w:val="0"/>
    </w:rPr>
  </w:style>
  <w:style w:type="character" w:customStyle="1" w:styleId="r2030podcleChar">
    <w:name w:val="čr2030 podcíle Char"/>
    <w:basedOn w:val="r2030cleChar"/>
    <w:link w:val="r2030podcle"/>
    <w:rsid w:val="00B75EA2"/>
    <w:rPr>
      <w:rFonts w:ascii="Arial" w:eastAsia="Times New Roman" w:hAnsi="Arial" w:cs="Arial"/>
      <w:b w:val="0"/>
      <w:noProof/>
      <w:sz w:val="24"/>
      <w:szCs w:val="24"/>
      <w:lang w:eastAsia="cs-CZ"/>
    </w:rPr>
  </w:style>
  <w:style w:type="paragraph" w:styleId="Nadpisobsahu">
    <w:name w:val="TOC Heading"/>
    <w:basedOn w:val="Nadpis1"/>
    <w:next w:val="Normln"/>
    <w:uiPriority w:val="39"/>
    <w:unhideWhenUsed/>
    <w:qFormat/>
    <w:rsid w:val="001A6162"/>
    <w:pPr>
      <w:keepLines/>
      <w:numPr>
        <w:numId w:val="0"/>
      </w:numPr>
      <w:spacing w:before="480" w:after="0"/>
      <w:outlineLvl w:val="9"/>
    </w:pPr>
    <w:rPr>
      <w:rFonts w:asciiTheme="majorHAnsi" w:hAnsiTheme="majorHAnsi" w:cstheme="majorBidi"/>
      <w:color w:val="365F91" w:themeColor="accent1" w:themeShade="BF"/>
      <w:kern w:val="0"/>
      <w:szCs w:val="28"/>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qFormat="1"/>
    <w:lsdException w:name="endnote tex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871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295222"/>
    <w:pPr>
      <w:keepNext/>
      <w:numPr>
        <w:numId w:val="7"/>
      </w:numPr>
      <w:spacing w:before="240" w:after="240" w:line="276" w:lineRule="auto"/>
      <w:ind w:left="567" w:hanging="567"/>
      <w:outlineLvl w:val="0"/>
    </w:pPr>
    <w:rPr>
      <w:rFonts w:ascii="Arial" w:eastAsiaTheme="majorEastAsia" w:hAnsi="Arial" w:cs="Arial"/>
      <w:b/>
      <w:bCs/>
      <w:kern w:val="32"/>
      <w:sz w:val="28"/>
      <w:szCs w:val="32"/>
      <w:lang w:eastAsia="en-US"/>
    </w:rPr>
  </w:style>
  <w:style w:type="paragraph" w:styleId="Nadpis2">
    <w:name w:val="heading 2"/>
    <w:basedOn w:val="Normln"/>
    <w:next w:val="Normln"/>
    <w:link w:val="Nadpis2Char"/>
    <w:uiPriority w:val="9"/>
    <w:qFormat/>
    <w:rsid w:val="00187187"/>
    <w:pPr>
      <w:keepNext/>
      <w:spacing w:before="240" w:after="60"/>
      <w:outlineLvl w:val="1"/>
    </w:pPr>
    <w:rPr>
      <w:rFonts w:ascii="Arial" w:hAnsi="Arial" w:cs="Arial"/>
      <w:b/>
      <w:bCs/>
      <w:i/>
      <w:iCs/>
      <w:szCs w:val="28"/>
    </w:rPr>
  </w:style>
  <w:style w:type="paragraph" w:styleId="Nadpis3">
    <w:name w:val="heading 3"/>
    <w:basedOn w:val="Normln"/>
    <w:next w:val="Normln"/>
    <w:link w:val="Nadpis3Char"/>
    <w:uiPriority w:val="9"/>
    <w:qFormat/>
    <w:rsid w:val="00187187"/>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semiHidden/>
    <w:unhideWhenUsed/>
    <w:qFormat/>
    <w:rsid w:val="00FE6858"/>
    <w:pPr>
      <w:keepNext/>
      <w:keepLines/>
      <w:spacing w:before="200" w:line="276" w:lineRule="auto"/>
      <w:ind w:left="864" w:hanging="864"/>
      <w:outlineLvl w:val="3"/>
    </w:pPr>
    <w:rPr>
      <w:rFonts w:asciiTheme="majorHAnsi" w:eastAsiaTheme="majorEastAsia" w:hAnsiTheme="majorHAnsi" w:cstheme="majorBidi"/>
      <w:b/>
      <w:bCs/>
      <w:i/>
      <w:iCs/>
      <w:color w:val="4F81BD" w:themeColor="accent1"/>
      <w:sz w:val="22"/>
      <w:szCs w:val="22"/>
      <w:lang w:eastAsia="en-US"/>
    </w:rPr>
  </w:style>
  <w:style w:type="paragraph" w:styleId="Nadpis5">
    <w:name w:val="heading 5"/>
    <w:basedOn w:val="Normln"/>
    <w:next w:val="Normln"/>
    <w:link w:val="Nadpis5Char"/>
    <w:uiPriority w:val="9"/>
    <w:semiHidden/>
    <w:unhideWhenUsed/>
    <w:qFormat/>
    <w:rsid w:val="00FE6858"/>
    <w:pPr>
      <w:keepNext/>
      <w:keepLines/>
      <w:spacing w:before="200" w:line="276" w:lineRule="auto"/>
      <w:ind w:left="1008" w:hanging="1008"/>
      <w:outlineLvl w:val="4"/>
    </w:pPr>
    <w:rPr>
      <w:rFonts w:asciiTheme="majorHAnsi" w:eastAsiaTheme="majorEastAsia" w:hAnsiTheme="majorHAnsi" w:cstheme="majorBidi"/>
      <w:color w:val="243F60" w:themeColor="accent1" w:themeShade="7F"/>
      <w:sz w:val="22"/>
      <w:szCs w:val="22"/>
      <w:lang w:eastAsia="en-US"/>
    </w:rPr>
  </w:style>
  <w:style w:type="paragraph" w:styleId="Nadpis6">
    <w:name w:val="heading 6"/>
    <w:basedOn w:val="Normln"/>
    <w:next w:val="Normln"/>
    <w:link w:val="Nadpis6Char"/>
    <w:uiPriority w:val="9"/>
    <w:semiHidden/>
    <w:unhideWhenUsed/>
    <w:qFormat/>
    <w:rsid w:val="00FE6858"/>
    <w:pPr>
      <w:keepNext/>
      <w:keepLines/>
      <w:spacing w:before="200" w:line="276" w:lineRule="auto"/>
      <w:ind w:left="1152" w:hanging="1152"/>
      <w:outlineLvl w:val="5"/>
    </w:pPr>
    <w:rPr>
      <w:rFonts w:asciiTheme="majorHAnsi" w:eastAsiaTheme="majorEastAsia" w:hAnsiTheme="majorHAnsi" w:cstheme="majorBidi"/>
      <w:i/>
      <w:iCs/>
      <w:color w:val="243F60" w:themeColor="accent1" w:themeShade="7F"/>
      <w:sz w:val="22"/>
      <w:szCs w:val="22"/>
      <w:lang w:eastAsia="en-US"/>
    </w:rPr>
  </w:style>
  <w:style w:type="paragraph" w:styleId="Nadpis7">
    <w:name w:val="heading 7"/>
    <w:basedOn w:val="Normln"/>
    <w:next w:val="Normln"/>
    <w:link w:val="Nadpis7Char"/>
    <w:uiPriority w:val="9"/>
    <w:semiHidden/>
    <w:unhideWhenUsed/>
    <w:qFormat/>
    <w:rsid w:val="00FE6858"/>
    <w:pPr>
      <w:keepNext/>
      <w:keepLines/>
      <w:spacing w:before="200" w:line="276" w:lineRule="auto"/>
      <w:ind w:left="1296" w:hanging="1296"/>
      <w:outlineLvl w:val="6"/>
    </w:pPr>
    <w:rPr>
      <w:rFonts w:asciiTheme="majorHAnsi" w:eastAsiaTheme="majorEastAsia" w:hAnsiTheme="majorHAnsi" w:cstheme="majorBidi"/>
      <w:i/>
      <w:iCs/>
      <w:color w:val="404040" w:themeColor="text1" w:themeTint="BF"/>
      <w:sz w:val="22"/>
      <w:szCs w:val="22"/>
      <w:lang w:eastAsia="en-US"/>
    </w:rPr>
  </w:style>
  <w:style w:type="paragraph" w:styleId="Nadpis8">
    <w:name w:val="heading 8"/>
    <w:basedOn w:val="Normln"/>
    <w:next w:val="Normln"/>
    <w:link w:val="Nadpis8Char"/>
    <w:uiPriority w:val="9"/>
    <w:semiHidden/>
    <w:unhideWhenUsed/>
    <w:qFormat/>
    <w:rsid w:val="00FE6858"/>
    <w:pPr>
      <w:keepNext/>
      <w:keepLines/>
      <w:spacing w:before="200" w:line="276" w:lineRule="auto"/>
      <w:ind w:left="1440" w:hanging="1440"/>
      <w:outlineLvl w:val="7"/>
    </w:pPr>
    <w:rPr>
      <w:rFonts w:asciiTheme="majorHAnsi" w:eastAsiaTheme="majorEastAsia" w:hAnsiTheme="majorHAnsi" w:cstheme="majorBidi"/>
      <w:color w:val="404040" w:themeColor="text1" w:themeTint="BF"/>
      <w:sz w:val="20"/>
      <w:szCs w:val="20"/>
      <w:lang w:eastAsia="en-US"/>
    </w:rPr>
  </w:style>
  <w:style w:type="paragraph" w:styleId="Nadpis9">
    <w:name w:val="heading 9"/>
    <w:basedOn w:val="Normln"/>
    <w:next w:val="Normln"/>
    <w:link w:val="Nadpis9Char"/>
    <w:uiPriority w:val="9"/>
    <w:semiHidden/>
    <w:unhideWhenUsed/>
    <w:qFormat/>
    <w:rsid w:val="00FE6858"/>
    <w:pPr>
      <w:keepNext/>
      <w:keepLines/>
      <w:spacing w:before="200" w:line="276" w:lineRule="auto"/>
      <w:ind w:left="1584" w:hanging="1584"/>
      <w:outlineLvl w:val="8"/>
    </w:pPr>
    <w:rPr>
      <w:rFonts w:asciiTheme="majorHAnsi" w:eastAsiaTheme="majorEastAsia" w:hAnsiTheme="majorHAnsi" w:cstheme="majorBidi"/>
      <w:i/>
      <w:iCs/>
      <w:color w:val="404040" w:themeColor="text1" w:themeTint="BF"/>
      <w:sz w:val="2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295222"/>
    <w:rPr>
      <w:rFonts w:ascii="Arial" w:eastAsiaTheme="majorEastAsia" w:hAnsi="Arial" w:cs="Arial"/>
      <w:b/>
      <w:bCs/>
      <w:kern w:val="32"/>
      <w:sz w:val="28"/>
      <w:szCs w:val="32"/>
    </w:rPr>
  </w:style>
  <w:style w:type="character" w:customStyle="1" w:styleId="Nadpis2Char">
    <w:name w:val="Nadpis 2 Char"/>
    <w:basedOn w:val="Standardnpsmoodstavce"/>
    <w:link w:val="Nadpis2"/>
    <w:uiPriority w:val="9"/>
    <w:rsid w:val="00187187"/>
    <w:rPr>
      <w:rFonts w:ascii="Arial" w:eastAsia="Times New Roman" w:hAnsi="Arial" w:cs="Arial"/>
      <w:b/>
      <w:bCs/>
      <w:i/>
      <w:iCs/>
      <w:sz w:val="24"/>
      <w:szCs w:val="28"/>
      <w:lang w:eastAsia="cs-CZ"/>
    </w:rPr>
  </w:style>
  <w:style w:type="character" w:customStyle="1" w:styleId="Nadpis3Char">
    <w:name w:val="Nadpis 3 Char"/>
    <w:basedOn w:val="Standardnpsmoodstavce"/>
    <w:link w:val="Nadpis3"/>
    <w:uiPriority w:val="9"/>
    <w:rsid w:val="00187187"/>
    <w:rPr>
      <w:rFonts w:ascii="Arial" w:eastAsia="Times New Roman" w:hAnsi="Arial" w:cs="Arial"/>
      <w:b/>
      <w:bCs/>
      <w:sz w:val="26"/>
      <w:szCs w:val="26"/>
      <w:lang w:eastAsia="cs-CZ"/>
    </w:rPr>
  </w:style>
  <w:style w:type="paragraph" w:styleId="Zhlav">
    <w:name w:val="header"/>
    <w:basedOn w:val="Normln"/>
    <w:link w:val="ZhlavChar"/>
    <w:uiPriority w:val="99"/>
    <w:rsid w:val="00187187"/>
    <w:pPr>
      <w:tabs>
        <w:tab w:val="center" w:pos="4536"/>
        <w:tab w:val="right" w:pos="9072"/>
      </w:tabs>
    </w:pPr>
  </w:style>
  <w:style w:type="character" w:customStyle="1" w:styleId="ZhlavChar">
    <w:name w:val="Záhlaví Char"/>
    <w:basedOn w:val="Standardnpsmoodstavce"/>
    <w:link w:val="Zhlav"/>
    <w:uiPriority w:val="99"/>
    <w:rsid w:val="00187187"/>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187187"/>
    <w:pPr>
      <w:tabs>
        <w:tab w:val="center" w:pos="4536"/>
        <w:tab w:val="right" w:pos="9072"/>
      </w:tabs>
    </w:pPr>
  </w:style>
  <w:style w:type="character" w:customStyle="1" w:styleId="ZpatChar">
    <w:name w:val="Zápatí Char"/>
    <w:basedOn w:val="Standardnpsmoodstavce"/>
    <w:link w:val="Zpat"/>
    <w:uiPriority w:val="99"/>
    <w:rsid w:val="00187187"/>
    <w:rPr>
      <w:rFonts w:ascii="Times New Roman" w:eastAsia="Times New Roman" w:hAnsi="Times New Roman" w:cs="Times New Roman"/>
      <w:sz w:val="24"/>
      <w:szCs w:val="24"/>
      <w:lang w:eastAsia="cs-CZ"/>
    </w:rPr>
  </w:style>
  <w:style w:type="character" w:styleId="slostrnky">
    <w:name w:val="page number"/>
    <w:basedOn w:val="Standardnpsmoodstavce"/>
    <w:rsid w:val="00187187"/>
  </w:style>
  <w:style w:type="paragraph" w:styleId="Textbubliny">
    <w:name w:val="Balloon Text"/>
    <w:basedOn w:val="Normln"/>
    <w:link w:val="TextbublinyChar"/>
    <w:uiPriority w:val="99"/>
    <w:semiHidden/>
    <w:rsid w:val="00187187"/>
    <w:rPr>
      <w:rFonts w:ascii="Tahoma" w:hAnsi="Tahoma" w:cs="Tahoma"/>
      <w:sz w:val="16"/>
      <w:szCs w:val="16"/>
    </w:rPr>
  </w:style>
  <w:style w:type="character" w:customStyle="1" w:styleId="TextbublinyChar">
    <w:name w:val="Text bubliny Char"/>
    <w:basedOn w:val="Standardnpsmoodstavce"/>
    <w:link w:val="Textbubliny"/>
    <w:uiPriority w:val="99"/>
    <w:semiHidden/>
    <w:rsid w:val="00187187"/>
    <w:rPr>
      <w:rFonts w:ascii="Tahoma" w:eastAsia="Times New Roman" w:hAnsi="Tahoma" w:cs="Tahoma"/>
      <w:sz w:val="16"/>
      <w:szCs w:val="16"/>
      <w:lang w:eastAsia="cs-CZ"/>
    </w:rPr>
  </w:style>
  <w:style w:type="character" w:customStyle="1" w:styleId="apple-converted-space">
    <w:name w:val="apple-converted-space"/>
    <w:basedOn w:val="Standardnpsmoodstavce"/>
    <w:rsid w:val="00187187"/>
  </w:style>
  <w:style w:type="paragraph" w:customStyle="1" w:styleId="CharChar1CharCharCharCharCharCharChar">
    <w:name w:val="Char Char1 Char Char Char Char Char Char Char"/>
    <w:basedOn w:val="Normln"/>
    <w:rsid w:val="00187187"/>
    <w:pPr>
      <w:spacing w:after="160" w:line="240" w:lineRule="exact"/>
    </w:pPr>
    <w:rPr>
      <w:rFonts w:ascii="Times New Roman Bold" w:hAnsi="Times New Roman Bold"/>
      <w:sz w:val="22"/>
      <w:szCs w:val="26"/>
      <w:lang w:val="sk-SK" w:eastAsia="en-US"/>
    </w:rPr>
  </w:style>
  <w:style w:type="character" w:styleId="Siln">
    <w:name w:val="Strong"/>
    <w:uiPriority w:val="22"/>
    <w:qFormat/>
    <w:rsid w:val="00187187"/>
    <w:rPr>
      <w:b/>
      <w:bCs/>
    </w:rPr>
  </w:style>
  <w:style w:type="character" w:customStyle="1" w:styleId="datecover">
    <w:name w:val="datecover"/>
    <w:basedOn w:val="Standardnpsmoodstavce"/>
    <w:rsid w:val="00187187"/>
  </w:style>
  <w:style w:type="character" w:styleId="Hypertextovodkaz">
    <w:name w:val="Hyperlink"/>
    <w:uiPriority w:val="99"/>
    <w:unhideWhenUsed/>
    <w:rsid w:val="00187187"/>
    <w:rPr>
      <w:color w:val="0000FF"/>
      <w:u w:val="single"/>
    </w:rPr>
  </w:style>
  <w:style w:type="paragraph" w:styleId="Odstavecseseznamem">
    <w:name w:val="List Paragraph"/>
    <w:aliases w:val="Conclusion de partie"/>
    <w:basedOn w:val="Normln"/>
    <w:link w:val="OdstavecseseznamemChar"/>
    <w:uiPriority w:val="34"/>
    <w:qFormat/>
    <w:rsid w:val="00187187"/>
    <w:pPr>
      <w:ind w:left="708"/>
    </w:pPr>
  </w:style>
  <w:style w:type="paragraph" w:customStyle="1" w:styleId="Odstavecseseznamem1">
    <w:name w:val="Odstavec se seznamem1"/>
    <w:basedOn w:val="Normln"/>
    <w:rsid w:val="00187187"/>
    <w:pPr>
      <w:spacing w:after="200" w:line="276" w:lineRule="auto"/>
      <w:ind w:left="720"/>
      <w:contextualSpacing/>
    </w:pPr>
    <w:rPr>
      <w:rFonts w:ascii="Calibri" w:hAnsi="Calibri"/>
      <w:sz w:val="22"/>
      <w:szCs w:val="22"/>
      <w:lang w:eastAsia="en-US"/>
    </w:rPr>
  </w:style>
  <w:style w:type="paragraph" w:customStyle="1" w:styleId="Pracovnpodklad-nzev">
    <w:name w:val="Pracovní podklad - název"/>
    <w:basedOn w:val="Normln"/>
    <w:link w:val="Pracovnpodklad-nzevChar"/>
    <w:qFormat/>
    <w:rsid w:val="00187187"/>
    <w:pPr>
      <w:spacing w:before="240" w:after="480"/>
      <w:jc w:val="center"/>
    </w:pPr>
    <w:rPr>
      <w:rFonts w:ascii="Arial" w:hAnsi="Arial" w:cs="Arial"/>
      <w:b/>
      <w:sz w:val="22"/>
      <w:szCs w:val="22"/>
    </w:rPr>
  </w:style>
  <w:style w:type="paragraph" w:customStyle="1" w:styleId="Pracovnpodklad-text">
    <w:name w:val="Pracovní podklad - text"/>
    <w:basedOn w:val="Normln"/>
    <w:link w:val="Pracovnpodklad-textChar"/>
    <w:qFormat/>
    <w:rsid w:val="00187187"/>
    <w:pPr>
      <w:spacing w:after="240"/>
      <w:jc w:val="both"/>
    </w:pPr>
    <w:rPr>
      <w:rFonts w:ascii="Arial" w:hAnsi="Arial" w:cs="Arial"/>
      <w:sz w:val="22"/>
      <w:szCs w:val="22"/>
    </w:rPr>
  </w:style>
  <w:style w:type="character" w:customStyle="1" w:styleId="Pracovnpodklad-nzevChar">
    <w:name w:val="Pracovní podklad - název Char"/>
    <w:link w:val="Pracovnpodklad-nzev"/>
    <w:rsid w:val="00187187"/>
    <w:rPr>
      <w:rFonts w:ascii="Arial" w:eastAsia="Times New Roman" w:hAnsi="Arial" w:cs="Arial"/>
      <w:b/>
      <w:lang w:eastAsia="cs-CZ"/>
    </w:rPr>
  </w:style>
  <w:style w:type="paragraph" w:customStyle="1" w:styleId="Pracovnpodklad-tun">
    <w:name w:val="Pracovní podklad - tučně"/>
    <w:basedOn w:val="Pracovnpodklad-text"/>
    <w:link w:val="Pracovnpodklad-tunChar"/>
    <w:qFormat/>
    <w:rsid w:val="00187187"/>
    <w:rPr>
      <w:b/>
    </w:rPr>
  </w:style>
  <w:style w:type="character" w:customStyle="1" w:styleId="Pracovnpodklad-textChar">
    <w:name w:val="Pracovní podklad - text Char"/>
    <w:link w:val="Pracovnpodklad-text"/>
    <w:rsid w:val="00187187"/>
    <w:rPr>
      <w:rFonts w:ascii="Arial" w:eastAsia="Times New Roman" w:hAnsi="Arial" w:cs="Arial"/>
      <w:lang w:eastAsia="cs-CZ"/>
    </w:rPr>
  </w:style>
  <w:style w:type="paragraph" w:customStyle="1" w:styleId="Pracovnpodklad-velkpsmena">
    <w:name w:val="Pracovní podklad - velká písmena"/>
    <w:basedOn w:val="Pracovnpodklad-text"/>
    <w:link w:val="Pracovnpodklad-velkpsmenaChar"/>
    <w:qFormat/>
    <w:rsid w:val="00187187"/>
    <w:rPr>
      <w:caps/>
    </w:rPr>
  </w:style>
  <w:style w:type="character" w:customStyle="1" w:styleId="Pracovnpodklad-tunChar">
    <w:name w:val="Pracovní podklad - tučně Char"/>
    <w:link w:val="Pracovnpodklad-tun"/>
    <w:rsid w:val="00187187"/>
    <w:rPr>
      <w:rFonts w:ascii="Arial" w:eastAsia="Times New Roman" w:hAnsi="Arial" w:cs="Arial"/>
      <w:b/>
      <w:lang w:eastAsia="cs-CZ"/>
    </w:rPr>
  </w:style>
  <w:style w:type="paragraph" w:customStyle="1" w:styleId="Pracovnpodklad-psmo14">
    <w:name w:val="Pracovní podklad - písmo 14"/>
    <w:basedOn w:val="Pracovnpodklad-text"/>
    <w:link w:val="Pracovnpodklad-psmo14Char"/>
    <w:qFormat/>
    <w:rsid w:val="00187187"/>
    <w:rPr>
      <w:sz w:val="28"/>
      <w:szCs w:val="28"/>
    </w:rPr>
  </w:style>
  <w:style w:type="character" w:customStyle="1" w:styleId="Pracovnpodklad-velkpsmenaChar">
    <w:name w:val="Pracovní podklad - velká písmena Char"/>
    <w:link w:val="Pracovnpodklad-velkpsmena"/>
    <w:rsid w:val="00187187"/>
    <w:rPr>
      <w:rFonts w:ascii="Arial" w:eastAsia="Times New Roman" w:hAnsi="Arial" w:cs="Arial"/>
      <w:caps/>
      <w:lang w:eastAsia="cs-CZ"/>
    </w:rPr>
  </w:style>
  <w:style w:type="character" w:customStyle="1" w:styleId="OdstavecseseznamemChar">
    <w:name w:val="Odstavec se seznamem Char"/>
    <w:aliases w:val="Conclusion de partie Char"/>
    <w:link w:val="Odstavecseseznamem"/>
    <w:uiPriority w:val="34"/>
    <w:rsid w:val="00187187"/>
    <w:rPr>
      <w:rFonts w:ascii="Times New Roman" w:eastAsia="Times New Roman" w:hAnsi="Times New Roman" w:cs="Times New Roman"/>
      <w:sz w:val="24"/>
      <w:szCs w:val="24"/>
      <w:lang w:eastAsia="cs-CZ"/>
    </w:rPr>
  </w:style>
  <w:style w:type="character" w:customStyle="1" w:styleId="Pracovnpodklad-psmo14Char">
    <w:name w:val="Pracovní podklad - písmo 14 Char"/>
    <w:link w:val="Pracovnpodklad-psmo14"/>
    <w:rsid w:val="00187187"/>
    <w:rPr>
      <w:rFonts w:ascii="Arial" w:eastAsia="Times New Roman" w:hAnsi="Arial" w:cs="Arial"/>
      <w:sz w:val="28"/>
      <w:szCs w:val="28"/>
      <w:lang w:eastAsia="cs-CZ"/>
    </w:rPr>
  </w:style>
  <w:style w:type="character" w:styleId="Odkaznakoment">
    <w:name w:val="annotation reference"/>
    <w:uiPriority w:val="99"/>
    <w:rsid w:val="00187187"/>
    <w:rPr>
      <w:sz w:val="16"/>
      <w:szCs w:val="16"/>
    </w:rPr>
  </w:style>
  <w:style w:type="paragraph" w:styleId="Textkomente">
    <w:name w:val="annotation text"/>
    <w:basedOn w:val="Normln"/>
    <w:link w:val="TextkomenteChar"/>
    <w:uiPriority w:val="99"/>
    <w:rsid w:val="00187187"/>
    <w:rPr>
      <w:sz w:val="20"/>
      <w:szCs w:val="20"/>
    </w:rPr>
  </w:style>
  <w:style w:type="character" w:customStyle="1" w:styleId="TextkomenteChar">
    <w:name w:val="Text komentáře Char"/>
    <w:basedOn w:val="Standardnpsmoodstavce"/>
    <w:link w:val="Textkomente"/>
    <w:uiPriority w:val="99"/>
    <w:rsid w:val="001871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rsid w:val="00187187"/>
    <w:rPr>
      <w:b/>
      <w:bCs/>
    </w:rPr>
  </w:style>
  <w:style w:type="character" w:customStyle="1" w:styleId="PedmtkomenteChar">
    <w:name w:val="Předmět komentáře Char"/>
    <w:basedOn w:val="TextkomenteChar"/>
    <w:link w:val="Pedmtkomente"/>
    <w:uiPriority w:val="99"/>
    <w:rsid w:val="00187187"/>
    <w:rPr>
      <w:rFonts w:ascii="Times New Roman" w:eastAsia="Times New Roman" w:hAnsi="Times New Roman" w:cs="Times New Roman"/>
      <w:b/>
      <w:bCs/>
      <w:sz w:val="20"/>
      <w:szCs w:val="20"/>
      <w:lang w:eastAsia="cs-CZ"/>
    </w:rPr>
  </w:style>
  <w:style w:type="character" w:customStyle="1" w:styleId="st1">
    <w:name w:val="st1"/>
    <w:basedOn w:val="Standardnpsmoodstavce"/>
    <w:rsid w:val="00187187"/>
  </w:style>
  <w:style w:type="paragraph" w:customStyle="1" w:styleId="Standard">
    <w:name w:val="Standard"/>
    <w:rsid w:val="00187187"/>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xtpoznpodarou">
    <w:name w:val="footnote text"/>
    <w:basedOn w:val="Normln"/>
    <w:link w:val="TextpoznpodarouChar"/>
    <w:uiPriority w:val="99"/>
    <w:unhideWhenUsed/>
    <w:rsid w:val="00187187"/>
    <w:rPr>
      <w:rFonts w:asciiTheme="minorHAnsi" w:eastAsiaTheme="minorHAnsi" w:hAnsiTheme="minorHAnsi" w:cstheme="minorBidi"/>
      <w:sz w:val="20"/>
      <w:szCs w:val="20"/>
      <w:lang w:eastAsia="en-US"/>
    </w:rPr>
  </w:style>
  <w:style w:type="character" w:customStyle="1" w:styleId="TextpoznpodarouChar">
    <w:name w:val="Text pozn. pod čarou Char"/>
    <w:basedOn w:val="Standardnpsmoodstavce"/>
    <w:link w:val="Textpoznpodarou"/>
    <w:uiPriority w:val="99"/>
    <w:rsid w:val="00187187"/>
    <w:rPr>
      <w:sz w:val="20"/>
      <w:szCs w:val="20"/>
    </w:rPr>
  </w:style>
  <w:style w:type="character" w:styleId="Znakapoznpodarou">
    <w:name w:val="footnote reference"/>
    <w:basedOn w:val="Standardnpsmoodstavce"/>
    <w:uiPriority w:val="99"/>
    <w:unhideWhenUsed/>
    <w:rsid w:val="00187187"/>
    <w:rPr>
      <w:vertAlign w:val="superscript"/>
    </w:rPr>
  </w:style>
  <w:style w:type="table" w:styleId="Mkatabulky">
    <w:name w:val="Table Grid"/>
    <w:basedOn w:val="Normlntabulka"/>
    <w:uiPriority w:val="59"/>
    <w:rsid w:val="001871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rnetovodkaz">
    <w:name w:val="Internetový odkaz"/>
    <w:rsid w:val="00187187"/>
    <w:rPr>
      <w:color w:val="0000FF"/>
      <w:u w:val="single"/>
    </w:rPr>
  </w:style>
  <w:style w:type="character" w:customStyle="1" w:styleId="Ukotvenpoznmkypodarou">
    <w:name w:val="Ukotvení poznámky pod čarou"/>
    <w:rsid w:val="00187187"/>
    <w:rPr>
      <w:vertAlign w:val="superscript"/>
    </w:rPr>
  </w:style>
  <w:style w:type="paragraph" w:styleId="Normlnweb">
    <w:name w:val="Normal (Web)"/>
    <w:basedOn w:val="Normln"/>
    <w:uiPriority w:val="99"/>
    <w:rsid w:val="00187187"/>
    <w:pPr>
      <w:spacing w:before="100" w:beforeAutospacing="1" w:after="100" w:afterAutospacing="1" w:line="264" w:lineRule="auto"/>
    </w:pPr>
    <w:rPr>
      <w:rFonts w:ascii="Arial" w:hAnsi="Arial"/>
      <w:sz w:val="22"/>
    </w:rPr>
  </w:style>
  <w:style w:type="table" w:customStyle="1" w:styleId="Mkatabulky1">
    <w:name w:val="Mřížka tabulky1"/>
    <w:basedOn w:val="Normlntabulka"/>
    <w:next w:val="Mkatabulky"/>
    <w:uiPriority w:val="59"/>
    <w:rsid w:val="00187187"/>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
    <w:next w:val="Normln"/>
    <w:autoRedefine/>
    <w:uiPriority w:val="39"/>
    <w:rsid w:val="00187187"/>
    <w:pPr>
      <w:spacing w:after="100"/>
    </w:pPr>
  </w:style>
  <w:style w:type="paragraph" w:styleId="Obsah2">
    <w:name w:val="toc 2"/>
    <w:basedOn w:val="Normln"/>
    <w:next w:val="Normln"/>
    <w:autoRedefine/>
    <w:uiPriority w:val="39"/>
    <w:rsid w:val="00187187"/>
    <w:pPr>
      <w:spacing w:after="100"/>
      <w:ind w:left="240"/>
    </w:pPr>
  </w:style>
  <w:style w:type="character" w:customStyle="1" w:styleId="hps">
    <w:name w:val="hps"/>
    <w:basedOn w:val="Standardnpsmoodstavce"/>
    <w:rsid w:val="00187187"/>
  </w:style>
  <w:style w:type="character" w:customStyle="1" w:styleId="hpsatn">
    <w:name w:val="hps atn"/>
    <w:basedOn w:val="Standardnpsmoodstavce"/>
    <w:rsid w:val="00187187"/>
  </w:style>
  <w:style w:type="paragraph" w:customStyle="1" w:styleId="slovanodstavec">
    <w:name w:val="Číslovaný odstavec"/>
    <w:basedOn w:val="Normln"/>
    <w:link w:val="slovanodstavecChar"/>
    <w:qFormat/>
    <w:rsid w:val="00C91095"/>
    <w:pPr>
      <w:numPr>
        <w:numId w:val="1"/>
      </w:numPr>
      <w:tabs>
        <w:tab w:val="left" w:pos="567"/>
      </w:tabs>
      <w:spacing w:after="200"/>
      <w:ind w:left="0" w:firstLine="0"/>
      <w:jc w:val="both"/>
    </w:pPr>
    <w:rPr>
      <w:rFonts w:ascii="Arial" w:eastAsia="Calibri" w:hAnsi="Arial"/>
      <w:sz w:val="22"/>
      <w:szCs w:val="22"/>
      <w:lang w:eastAsia="en-US"/>
    </w:rPr>
  </w:style>
  <w:style w:type="character" w:customStyle="1" w:styleId="slovanodstavecChar">
    <w:name w:val="Číslovaný odstavec Char"/>
    <w:link w:val="slovanodstavec"/>
    <w:rsid w:val="00C91095"/>
    <w:rPr>
      <w:rFonts w:ascii="Arial" w:eastAsia="Calibri" w:hAnsi="Arial" w:cs="Times New Roman"/>
    </w:rPr>
  </w:style>
  <w:style w:type="paragraph" w:customStyle="1" w:styleId="r2030nelovan">
    <w:name w:val="čr2030 nečíšlovaný"/>
    <w:basedOn w:val="slovanodstavec"/>
    <w:link w:val="r2030nelovanChar"/>
    <w:qFormat/>
    <w:rsid w:val="00187187"/>
    <w:pPr>
      <w:numPr>
        <w:numId w:val="0"/>
      </w:numPr>
    </w:pPr>
    <w:rPr>
      <w:noProof/>
    </w:rPr>
  </w:style>
  <w:style w:type="character" w:customStyle="1" w:styleId="r2030nelovanChar">
    <w:name w:val="čr2030 nečíšlovaný Char"/>
    <w:link w:val="r2030nelovan"/>
    <w:rsid w:val="00187187"/>
    <w:rPr>
      <w:rFonts w:ascii="Arial" w:eastAsia="Calibri" w:hAnsi="Arial" w:cs="Times New Roman"/>
      <w:noProof/>
    </w:rPr>
  </w:style>
  <w:style w:type="paragraph" w:customStyle="1" w:styleId="normisl">
    <w:name w:val="norm čisl"/>
    <w:basedOn w:val="Normln"/>
    <w:link w:val="normislChar"/>
    <w:qFormat/>
    <w:rsid w:val="00187187"/>
    <w:pPr>
      <w:tabs>
        <w:tab w:val="left" w:pos="567"/>
      </w:tabs>
      <w:spacing w:after="200"/>
      <w:ind w:left="432" w:hanging="432"/>
      <w:jc w:val="both"/>
    </w:pPr>
    <w:rPr>
      <w:rFonts w:ascii="Arial" w:eastAsia="Calibri" w:hAnsi="Arial"/>
      <w:sz w:val="22"/>
      <w:szCs w:val="22"/>
      <w:lang w:eastAsia="en-US"/>
    </w:rPr>
  </w:style>
  <w:style w:type="character" w:customStyle="1" w:styleId="normislChar">
    <w:name w:val="norm čisl Char"/>
    <w:basedOn w:val="Standardnpsmoodstavce"/>
    <w:link w:val="normisl"/>
    <w:rsid w:val="00187187"/>
    <w:rPr>
      <w:rFonts w:ascii="Arial" w:eastAsia="Calibri" w:hAnsi="Arial" w:cs="Times New Roman"/>
    </w:rPr>
  </w:style>
  <w:style w:type="paragraph" w:styleId="Revize">
    <w:name w:val="Revision"/>
    <w:hidden/>
    <w:uiPriority w:val="99"/>
    <w:semiHidden/>
    <w:rsid w:val="00187187"/>
    <w:pPr>
      <w:spacing w:after="0" w:line="240" w:lineRule="auto"/>
    </w:pPr>
    <w:rPr>
      <w:rFonts w:ascii="Times New Roman" w:eastAsia="Times New Roman" w:hAnsi="Times New Roman" w:cs="Times New Roman"/>
      <w:sz w:val="24"/>
      <w:szCs w:val="24"/>
      <w:lang w:eastAsia="cs-CZ"/>
    </w:rPr>
  </w:style>
  <w:style w:type="paragraph" w:styleId="Textvysvtlivek">
    <w:name w:val="endnote text"/>
    <w:basedOn w:val="Normln"/>
    <w:link w:val="TextvysvtlivekChar"/>
    <w:uiPriority w:val="99"/>
    <w:semiHidden/>
    <w:unhideWhenUsed/>
    <w:qFormat/>
    <w:rsid w:val="00001E1E"/>
    <w:pPr>
      <w:jc w:val="both"/>
    </w:pPr>
    <w:rPr>
      <w:rFonts w:ascii="Calibri Light" w:eastAsia="Calibri" w:hAnsi="Calibri Light"/>
      <w:color w:val="0D0D0D" w:themeColor="text1" w:themeTint="F2"/>
      <w:sz w:val="22"/>
      <w:szCs w:val="20"/>
      <w:lang w:eastAsia="en-US"/>
    </w:rPr>
  </w:style>
  <w:style w:type="character" w:customStyle="1" w:styleId="TextvysvtlivekChar">
    <w:name w:val="Text vysvětlivek Char"/>
    <w:basedOn w:val="Standardnpsmoodstavce"/>
    <w:link w:val="Textvysvtlivek"/>
    <w:uiPriority w:val="99"/>
    <w:semiHidden/>
    <w:qFormat/>
    <w:rsid w:val="00001E1E"/>
    <w:rPr>
      <w:rFonts w:ascii="Calibri Light" w:eastAsia="Calibri" w:hAnsi="Calibri Light" w:cs="Times New Roman"/>
      <w:color w:val="0D0D0D" w:themeColor="text1" w:themeTint="F2"/>
      <w:szCs w:val="20"/>
    </w:rPr>
  </w:style>
  <w:style w:type="character" w:styleId="Odkaznavysvtlivky">
    <w:name w:val="endnote reference"/>
    <w:basedOn w:val="Standardnpsmoodstavce"/>
    <w:uiPriority w:val="99"/>
    <w:semiHidden/>
    <w:unhideWhenUsed/>
    <w:qFormat/>
    <w:rsid w:val="00001E1E"/>
    <w:rPr>
      <w:vertAlign w:val="superscript"/>
    </w:rPr>
  </w:style>
  <w:style w:type="character" w:styleId="Sledovanodkaz">
    <w:name w:val="FollowedHyperlink"/>
    <w:basedOn w:val="Standardnpsmoodstavce"/>
    <w:uiPriority w:val="99"/>
    <w:semiHidden/>
    <w:unhideWhenUsed/>
    <w:rsid w:val="00AE4CB1"/>
    <w:rPr>
      <w:color w:val="800080" w:themeColor="followedHyperlink"/>
      <w:u w:val="single"/>
    </w:rPr>
  </w:style>
  <w:style w:type="character" w:customStyle="1" w:styleId="Nadpis4Char">
    <w:name w:val="Nadpis 4 Char"/>
    <w:basedOn w:val="Standardnpsmoodstavce"/>
    <w:link w:val="Nadpis4"/>
    <w:uiPriority w:val="9"/>
    <w:semiHidden/>
    <w:rsid w:val="00FE6858"/>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FE6858"/>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FE6858"/>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FE6858"/>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E6858"/>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E6858"/>
    <w:rPr>
      <w:rFonts w:asciiTheme="majorHAnsi" w:eastAsiaTheme="majorEastAsia" w:hAnsiTheme="majorHAnsi" w:cstheme="majorBidi"/>
      <w:i/>
      <w:iCs/>
      <w:color w:val="404040" w:themeColor="text1" w:themeTint="BF"/>
      <w:sz w:val="20"/>
      <w:szCs w:val="20"/>
    </w:rPr>
  </w:style>
  <w:style w:type="character" w:customStyle="1" w:styleId="r2030cleChar">
    <w:name w:val="čr2030 cíle Char"/>
    <w:basedOn w:val="OdstavecseseznamemChar"/>
    <w:link w:val="r2030cle"/>
    <w:locked/>
    <w:rsid w:val="00FB7FCA"/>
    <w:rPr>
      <w:rFonts w:ascii="Arial" w:eastAsia="Times New Roman" w:hAnsi="Arial" w:cs="Arial"/>
      <w:b/>
      <w:noProof/>
      <w:sz w:val="24"/>
      <w:szCs w:val="24"/>
      <w:lang w:eastAsia="cs-CZ"/>
    </w:rPr>
  </w:style>
  <w:style w:type="paragraph" w:customStyle="1" w:styleId="r2030cle">
    <w:name w:val="čr2030 cíle"/>
    <w:basedOn w:val="Odstavecseseznamem"/>
    <w:link w:val="r2030cleChar"/>
    <w:qFormat/>
    <w:rsid w:val="00FB7FCA"/>
    <w:pPr>
      <w:numPr>
        <w:numId w:val="8"/>
      </w:numPr>
      <w:spacing w:before="240" w:after="360" w:line="276" w:lineRule="auto"/>
    </w:pPr>
    <w:rPr>
      <w:rFonts w:ascii="Arial" w:hAnsi="Arial" w:cs="Arial"/>
      <w:b/>
      <w:noProof/>
      <w:sz w:val="22"/>
    </w:rPr>
  </w:style>
  <w:style w:type="character" w:customStyle="1" w:styleId="odkaz-style-wrapper3">
    <w:name w:val="odkaz-style-wrapper3"/>
    <w:basedOn w:val="Standardnpsmoodstavce"/>
    <w:rsid w:val="003E18C2"/>
  </w:style>
  <w:style w:type="paragraph" w:styleId="Zkladntext">
    <w:name w:val="Body Text"/>
    <w:basedOn w:val="Normln"/>
    <w:link w:val="ZkladntextChar"/>
    <w:uiPriority w:val="99"/>
    <w:unhideWhenUsed/>
    <w:rsid w:val="002712FE"/>
    <w:pPr>
      <w:tabs>
        <w:tab w:val="left" w:pos="1418"/>
        <w:tab w:val="left" w:pos="2835"/>
        <w:tab w:val="left" w:pos="4253"/>
        <w:tab w:val="left" w:pos="5670"/>
        <w:tab w:val="left" w:pos="7088"/>
      </w:tabs>
      <w:spacing w:before="120"/>
      <w:jc w:val="both"/>
    </w:pPr>
    <w:rPr>
      <w:sz w:val="20"/>
      <w:szCs w:val="20"/>
    </w:rPr>
  </w:style>
  <w:style w:type="character" w:customStyle="1" w:styleId="ZkladntextChar">
    <w:name w:val="Základní text Char"/>
    <w:basedOn w:val="Standardnpsmoodstavce"/>
    <w:link w:val="Zkladntext"/>
    <w:uiPriority w:val="99"/>
    <w:rsid w:val="002712FE"/>
    <w:rPr>
      <w:rFonts w:ascii="Times New Roman" w:eastAsia="Times New Roman" w:hAnsi="Times New Roman" w:cs="Times New Roman"/>
      <w:sz w:val="20"/>
      <w:szCs w:val="20"/>
      <w:lang w:eastAsia="cs-CZ"/>
    </w:rPr>
  </w:style>
  <w:style w:type="paragraph" w:styleId="Nzev">
    <w:name w:val="Title"/>
    <w:basedOn w:val="Normln"/>
    <w:next w:val="Normln"/>
    <w:link w:val="NzevChar"/>
    <w:uiPriority w:val="10"/>
    <w:qFormat/>
    <w:rsid w:val="00FB7FCA"/>
    <w:pPr>
      <w:spacing w:before="360" w:after="600"/>
      <w:contextualSpacing/>
    </w:pPr>
    <w:rPr>
      <w:rFonts w:ascii="Arial" w:eastAsia="MS Gothic" w:hAnsi="Arial" w:cs="Arial"/>
      <w:b/>
      <w:spacing w:val="5"/>
      <w:kern w:val="28"/>
      <w:sz w:val="52"/>
      <w:szCs w:val="52"/>
      <w:lang w:eastAsia="en-US"/>
    </w:rPr>
  </w:style>
  <w:style w:type="character" w:customStyle="1" w:styleId="NzevChar">
    <w:name w:val="Název Char"/>
    <w:basedOn w:val="Standardnpsmoodstavce"/>
    <w:link w:val="Nzev"/>
    <w:uiPriority w:val="10"/>
    <w:rsid w:val="00FB7FCA"/>
    <w:rPr>
      <w:rFonts w:ascii="Arial" w:eastAsia="MS Gothic" w:hAnsi="Arial" w:cs="Arial"/>
      <w:b/>
      <w:spacing w:val="5"/>
      <w:kern w:val="28"/>
      <w:sz w:val="52"/>
      <w:szCs w:val="52"/>
    </w:rPr>
  </w:style>
  <w:style w:type="paragraph" w:customStyle="1" w:styleId="r2030podcle">
    <w:name w:val="čr2030 podcíle"/>
    <w:basedOn w:val="r2030cle"/>
    <w:link w:val="r2030podcleChar"/>
    <w:qFormat/>
    <w:rsid w:val="00B75EA2"/>
    <w:pPr>
      <w:numPr>
        <w:ilvl w:val="1"/>
      </w:numPr>
    </w:pPr>
    <w:rPr>
      <w:b w:val="0"/>
    </w:rPr>
  </w:style>
  <w:style w:type="character" w:customStyle="1" w:styleId="r2030podcleChar">
    <w:name w:val="čr2030 podcíle Char"/>
    <w:basedOn w:val="r2030cleChar"/>
    <w:link w:val="r2030podcle"/>
    <w:rsid w:val="00B75EA2"/>
    <w:rPr>
      <w:rFonts w:ascii="Arial" w:eastAsia="Times New Roman" w:hAnsi="Arial" w:cs="Arial"/>
      <w:b w:val="0"/>
      <w:noProof/>
      <w:sz w:val="24"/>
      <w:szCs w:val="24"/>
      <w:lang w:eastAsia="cs-CZ"/>
    </w:rPr>
  </w:style>
  <w:style w:type="paragraph" w:styleId="Nadpisobsahu">
    <w:name w:val="TOC Heading"/>
    <w:basedOn w:val="Nadpis1"/>
    <w:next w:val="Normln"/>
    <w:uiPriority w:val="39"/>
    <w:unhideWhenUsed/>
    <w:qFormat/>
    <w:rsid w:val="001A6162"/>
    <w:pPr>
      <w:keepLines/>
      <w:numPr>
        <w:numId w:val="0"/>
      </w:numPr>
      <w:spacing w:before="480" w:after="0"/>
      <w:outlineLvl w:val="9"/>
    </w:pPr>
    <w:rPr>
      <w:rFonts w:asciiTheme="majorHAnsi" w:hAnsiTheme="majorHAnsi" w:cstheme="majorBidi"/>
      <w:color w:val="365F91" w:themeColor="accent1" w:themeShade="BF"/>
      <w:kern w:val="0"/>
      <w:szCs w:val="2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1816">
      <w:bodyDiv w:val="1"/>
      <w:marLeft w:val="0"/>
      <w:marRight w:val="0"/>
      <w:marTop w:val="0"/>
      <w:marBottom w:val="0"/>
      <w:divBdr>
        <w:top w:val="none" w:sz="0" w:space="0" w:color="auto"/>
        <w:left w:val="none" w:sz="0" w:space="0" w:color="auto"/>
        <w:bottom w:val="none" w:sz="0" w:space="0" w:color="auto"/>
        <w:right w:val="none" w:sz="0" w:space="0" w:color="auto"/>
      </w:divBdr>
    </w:div>
    <w:div w:id="38089259">
      <w:bodyDiv w:val="1"/>
      <w:marLeft w:val="0"/>
      <w:marRight w:val="0"/>
      <w:marTop w:val="0"/>
      <w:marBottom w:val="0"/>
      <w:divBdr>
        <w:top w:val="none" w:sz="0" w:space="0" w:color="auto"/>
        <w:left w:val="none" w:sz="0" w:space="0" w:color="auto"/>
        <w:bottom w:val="none" w:sz="0" w:space="0" w:color="auto"/>
        <w:right w:val="none" w:sz="0" w:space="0" w:color="auto"/>
      </w:divBdr>
    </w:div>
    <w:div w:id="60367056">
      <w:bodyDiv w:val="1"/>
      <w:marLeft w:val="0"/>
      <w:marRight w:val="0"/>
      <w:marTop w:val="0"/>
      <w:marBottom w:val="0"/>
      <w:divBdr>
        <w:top w:val="none" w:sz="0" w:space="0" w:color="auto"/>
        <w:left w:val="none" w:sz="0" w:space="0" w:color="auto"/>
        <w:bottom w:val="none" w:sz="0" w:space="0" w:color="auto"/>
        <w:right w:val="none" w:sz="0" w:space="0" w:color="auto"/>
      </w:divBdr>
    </w:div>
    <w:div w:id="165364160">
      <w:bodyDiv w:val="1"/>
      <w:marLeft w:val="0"/>
      <w:marRight w:val="0"/>
      <w:marTop w:val="0"/>
      <w:marBottom w:val="0"/>
      <w:divBdr>
        <w:top w:val="none" w:sz="0" w:space="0" w:color="auto"/>
        <w:left w:val="none" w:sz="0" w:space="0" w:color="auto"/>
        <w:bottom w:val="none" w:sz="0" w:space="0" w:color="auto"/>
        <w:right w:val="none" w:sz="0" w:space="0" w:color="auto"/>
      </w:divBdr>
    </w:div>
    <w:div w:id="175274237">
      <w:bodyDiv w:val="1"/>
      <w:marLeft w:val="0"/>
      <w:marRight w:val="0"/>
      <w:marTop w:val="0"/>
      <w:marBottom w:val="0"/>
      <w:divBdr>
        <w:top w:val="none" w:sz="0" w:space="0" w:color="auto"/>
        <w:left w:val="none" w:sz="0" w:space="0" w:color="auto"/>
        <w:bottom w:val="none" w:sz="0" w:space="0" w:color="auto"/>
        <w:right w:val="none" w:sz="0" w:space="0" w:color="auto"/>
      </w:divBdr>
    </w:div>
    <w:div w:id="286812875">
      <w:bodyDiv w:val="1"/>
      <w:marLeft w:val="0"/>
      <w:marRight w:val="0"/>
      <w:marTop w:val="0"/>
      <w:marBottom w:val="0"/>
      <w:divBdr>
        <w:top w:val="none" w:sz="0" w:space="0" w:color="auto"/>
        <w:left w:val="none" w:sz="0" w:space="0" w:color="auto"/>
        <w:bottom w:val="none" w:sz="0" w:space="0" w:color="auto"/>
        <w:right w:val="none" w:sz="0" w:space="0" w:color="auto"/>
      </w:divBdr>
    </w:div>
    <w:div w:id="341706779">
      <w:bodyDiv w:val="1"/>
      <w:marLeft w:val="0"/>
      <w:marRight w:val="0"/>
      <w:marTop w:val="0"/>
      <w:marBottom w:val="0"/>
      <w:divBdr>
        <w:top w:val="none" w:sz="0" w:space="0" w:color="auto"/>
        <w:left w:val="none" w:sz="0" w:space="0" w:color="auto"/>
        <w:bottom w:val="none" w:sz="0" w:space="0" w:color="auto"/>
        <w:right w:val="none" w:sz="0" w:space="0" w:color="auto"/>
      </w:divBdr>
    </w:div>
    <w:div w:id="346568327">
      <w:bodyDiv w:val="1"/>
      <w:marLeft w:val="0"/>
      <w:marRight w:val="0"/>
      <w:marTop w:val="0"/>
      <w:marBottom w:val="0"/>
      <w:divBdr>
        <w:top w:val="none" w:sz="0" w:space="0" w:color="auto"/>
        <w:left w:val="none" w:sz="0" w:space="0" w:color="auto"/>
        <w:bottom w:val="none" w:sz="0" w:space="0" w:color="auto"/>
        <w:right w:val="none" w:sz="0" w:space="0" w:color="auto"/>
      </w:divBdr>
    </w:div>
    <w:div w:id="411008021">
      <w:bodyDiv w:val="1"/>
      <w:marLeft w:val="0"/>
      <w:marRight w:val="0"/>
      <w:marTop w:val="0"/>
      <w:marBottom w:val="0"/>
      <w:divBdr>
        <w:top w:val="none" w:sz="0" w:space="0" w:color="auto"/>
        <w:left w:val="none" w:sz="0" w:space="0" w:color="auto"/>
        <w:bottom w:val="none" w:sz="0" w:space="0" w:color="auto"/>
        <w:right w:val="none" w:sz="0" w:space="0" w:color="auto"/>
      </w:divBdr>
    </w:div>
    <w:div w:id="431171836">
      <w:bodyDiv w:val="1"/>
      <w:marLeft w:val="0"/>
      <w:marRight w:val="0"/>
      <w:marTop w:val="0"/>
      <w:marBottom w:val="0"/>
      <w:divBdr>
        <w:top w:val="none" w:sz="0" w:space="0" w:color="auto"/>
        <w:left w:val="none" w:sz="0" w:space="0" w:color="auto"/>
        <w:bottom w:val="none" w:sz="0" w:space="0" w:color="auto"/>
        <w:right w:val="none" w:sz="0" w:space="0" w:color="auto"/>
      </w:divBdr>
    </w:div>
    <w:div w:id="520971996">
      <w:bodyDiv w:val="1"/>
      <w:marLeft w:val="0"/>
      <w:marRight w:val="0"/>
      <w:marTop w:val="0"/>
      <w:marBottom w:val="0"/>
      <w:divBdr>
        <w:top w:val="none" w:sz="0" w:space="0" w:color="auto"/>
        <w:left w:val="none" w:sz="0" w:space="0" w:color="auto"/>
        <w:bottom w:val="none" w:sz="0" w:space="0" w:color="auto"/>
        <w:right w:val="none" w:sz="0" w:space="0" w:color="auto"/>
      </w:divBdr>
    </w:div>
    <w:div w:id="555359564">
      <w:bodyDiv w:val="1"/>
      <w:marLeft w:val="0"/>
      <w:marRight w:val="0"/>
      <w:marTop w:val="0"/>
      <w:marBottom w:val="0"/>
      <w:divBdr>
        <w:top w:val="none" w:sz="0" w:space="0" w:color="auto"/>
        <w:left w:val="none" w:sz="0" w:space="0" w:color="auto"/>
        <w:bottom w:val="none" w:sz="0" w:space="0" w:color="auto"/>
        <w:right w:val="none" w:sz="0" w:space="0" w:color="auto"/>
      </w:divBdr>
    </w:div>
    <w:div w:id="589241424">
      <w:bodyDiv w:val="1"/>
      <w:marLeft w:val="0"/>
      <w:marRight w:val="0"/>
      <w:marTop w:val="0"/>
      <w:marBottom w:val="0"/>
      <w:divBdr>
        <w:top w:val="none" w:sz="0" w:space="0" w:color="auto"/>
        <w:left w:val="none" w:sz="0" w:space="0" w:color="auto"/>
        <w:bottom w:val="none" w:sz="0" w:space="0" w:color="auto"/>
        <w:right w:val="none" w:sz="0" w:space="0" w:color="auto"/>
      </w:divBdr>
    </w:div>
    <w:div w:id="632710230">
      <w:bodyDiv w:val="1"/>
      <w:marLeft w:val="0"/>
      <w:marRight w:val="0"/>
      <w:marTop w:val="0"/>
      <w:marBottom w:val="0"/>
      <w:divBdr>
        <w:top w:val="none" w:sz="0" w:space="0" w:color="auto"/>
        <w:left w:val="none" w:sz="0" w:space="0" w:color="auto"/>
        <w:bottom w:val="none" w:sz="0" w:space="0" w:color="auto"/>
        <w:right w:val="none" w:sz="0" w:space="0" w:color="auto"/>
      </w:divBdr>
    </w:div>
    <w:div w:id="661398780">
      <w:bodyDiv w:val="1"/>
      <w:marLeft w:val="0"/>
      <w:marRight w:val="0"/>
      <w:marTop w:val="0"/>
      <w:marBottom w:val="0"/>
      <w:divBdr>
        <w:top w:val="none" w:sz="0" w:space="0" w:color="auto"/>
        <w:left w:val="none" w:sz="0" w:space="0" w:color="auto"/>
        <w:bottom w:val="none" w:sz="0" w:space="0" w:color="auto"/>
        <w:right w:val="none" w:sz="0" w:space="0" w:color="auto"/>
      </w:divBdr>
    </w:div>
    <w:div w:id="692002328">
      <w:bodyDiv w:val="1"/>
      <w:marLeft w:val="0"/>
      <w:marRight w:val="0"/>
      <w:marTop w:val="0"/>
      <w:marBottom w:val="0"/>
      <w:divBdr>
        <w:top w:val="none" w:sz="0" w:space="0" w:color="auto"/>
        <w:left w:val="none" w:sz="0" w:space="0" w:color="auto"/>
        <w:bottom w:val="none" w:sz="0" w:space="0" w:color="auto"/>
        <w:right w:val="none" w:sz="0" w:space="0" w:color="auto"/>
      </w:divBdr>
    </w:div>
    <w:div w:id="785778409">
      <w:bodyDiv w:val="1"/>
      <w:marLeft w:val="0"/>
      <w:marRight w:val="0"/>
      <w:marTop w:val="0"/>
      <w:marBottom w:val="0"/>
      <w:divBdr>
        <w:top w:val="none" w:sz="0" w:space="0" w:color="auto"/>
        <w:left w:val="none" w:sz="0" w:space="0" w:color="auto"/>
        <w:bottom w:val="none" w:sz="0" w:space="0" w:color="auto"/>
        <w:right w:val="none" w:sz="0" w:space="0" w:color="auto"/>
      </w:divBdr>
    </w:div>
    <w:div w:id="835803213">
      <w:bodyDiv w:val="1"/>
      <w:marLeft w:val="0"/>
      <w:marRight w:val="0"/>
      <w:marTop w:val="0"/>
      <w:marBottom w:val="0"/>
      <w:divBdr>
        <w:top w:val="none" w:sz="0" w:space="0" w:color="auto"/>
        <w:left w:val="none" w:sz="0" w:space="0" w:color="auto"/>
        <w:bottom w:val="none" w:sz="0" w:space="0" w:color="auto"/>
        <w:right w:val="none" w:sz="0" w:space="0" w:color="auto"/>
      </w:divBdr>
    </w:div>
    <w:div w:id="843133887">
      <w:bodyDiv w:val="1"/>
      <w:marLeft w:val="0"/>
      <w:marRight w:val="0"/>
      <w:marTop w:val="0"/>
      <w:marBottom w:val="0"/>
      <w:divBdr>
        <w:top w:val="none" w:sz="0" w:space="0" w:color="auto"/>
        <w:left w:val="none" w:sz="0" w:space="0" w:color="auto"/>
        <w:bottom w:val="none" w:sz="0" w:space="0" w:color="auto"/>
        <w:right w:val="none" w:sz="0" w:space="0" w:color="auto"/>
      </w:divBdr>
    </w:div>
    <w:div w:id="871454529">
      <w:bodyDiv w:val="1"/>
      <w:marLeft w:val="0"/>
      <w:marRight w:val="0"/>
      <w:marTop w:val="0"/>
      <w:marBottom w:val="0"/>
      <w:divBdr>
        <w:top w:val="none" w:sz="0" w:space="0" w:color="auto"/>
        <w:left w:val="none" w:sz="0" w:space="0" w:color="auto"/>
        <w:bottom w:val="none" w:sz="0" w:space="0" w:color="auto"/>
        <w:right w:val="none" w:sz="0" w:space="0" w:color="auto"/>
      </w:divBdr>
    </w:div>
    <w:div w:id="881020847">
      <w:bodyDiv w:val="1"/>
      <w:marLeft w:val="0"/>
      <w:marRight w:val="0"/>
      <w:marTop w:val="0"/>
      <w:marBottom w:val="0"/>
      <w:divBdr>
        <w:top w:val="none" w:sz="0" w:space="0" w:color="auto"/>
        <w:left w:val="none" w:sz="0" w:space="0" w:color="auto"/>
        <w:bottom w:val="none" w:sz="0" w:space="0" w:color="auto"/>
        <w:right w:val="none" w:sz="0" w:space="0" w:color="auto"/>
      </w:divBdr>
    </w:div>
    <w:div w:id="935165914">
      <w:bodyDiv w:val="1"/>
      <w:marLeft w:val="0"/>
      <w:marRight w:val="0"/>
      <w:marTop w:val="0"/>
      <w:marBottom w:val="0"/>
      <w:divBdr>
        <w:top w:val="none" w:sz="0" w:space="0" w:color="auto"/>
        <w:left w:val="none" w:sz="0" w:space="0" w:color="auto"/>
        <w:bottom w:val="none" w:sz="0" w:space="0" w:color="auto"/>
        <w:right w:val="none" w:sz="0" w:space="0" w:color="auto"/>
      </w:divBdr>
    </w:div>
    <w:div w:id="944732032">
      <w:bodyDiv w:val="1"/>
      <w:marLeft w:val="0"/>
      <w:marRight w:val="0"/>
      <w:marTop w:val="0"/>
      <w:marBottom w:val="0"/>
      <w:divBdr>
        <w:top w:val="none" w:sz="0" w:space="0" w:color="auto"/>
        <w:left w:val="none" w:sz="0" w:space="0" w:color="auto"/>
        <w:bottom w:val="none" w:sz="0" w:space="0" w:color="auto"/>
        <w:right w:val="none" w:sz="0" w:space="0" w:color="auto"/>
      </w:divBdr>
    </w:div>
    <w:div w:id="957024666">
      <w:bodyDiv w:val="1"/>
      <w:marLeft w:val="0"/>
      <w:marRight w:val="0"/>
      <w:marTop w:val="0"/>
      <w:marBottom w:val="0"/>
      <w:divBdr>
        <w:top w:val="none" w:sz="0" w:space="0" w:color="auto"/>
        <w:left w:val="none" w:sz="0" w:space="0" w:color="auto"/>
        <w:bottom w:val="none" w:sz="0" w:space="0" w:color="auto"/>
        <w:right w:val="none" w:sz="0" w:space="0" w:color="auto"/>
      </w:divBdr>
    </w:div>
    <w:div w:id="1089932458">
      <w:bodyDiv w:val="1"/>
      <w:marLeft w:val="0"/>
      <w:marRight w:val="0"/>
      <w:marTop w:val="0"/>
      <w:marBottom w:val="0"/>
      <w:divBdr>
        <w:top w:val="none" w:sz="0" w:space="0" w:color="auto"/>
        <w:left w:val="none" w:sz="0" w:space="0" w:color="auto"/>
        <w:bottom w:val="none" w:sz="0" w:space="0" w:color="auto"/>
        <w:right w:val="none" w:sz="0" w:space="0" w:color="auto"/>
      </w:divBdr>
    </w:div>
    <w:div w:id="1105076808">
      <w:bodyDiv w:val="1"/>
      <w:marLeft w:val="0"/>
      <w:marRight w:val="0"/>
      <w:marTop w:val="0"/>
      <w:marBottom w:val="0"/>
      <w:divBdr>
        <w:top w:val="none" w:sz="0" w:space="0" w:color="auto"/>
        <w:left w:val="none" w:sz="0" w:space="0" w:color="auto"/>
        <w:bottom w:val="none" w:sz="0" w:space="0" w:color="auto"/>
        <w:right w:val="none" w:sz="0" w:space="0" w:color="auto"/>
      </w:divBdr>
    </w:div>
    <w:div w:id="1137264304">
      <w:bodyDiv w:val="1"/>
      <w:marLeft w:val="0"/>
      <w:marRight w:val="0"/>
      <w:marTop w:val="0"/>
      <w:marBottom w:val="0"/>
      <w:divBdr>
        <w:top w:val="none" w:sz="0" w:space="0" w:color="auto"/>
        <w:left w:val="none" w:sz="0" w:space="0" w:color="auto"/>
        <w:bottom w:val="none" w:sz="0" w:space="0" w:color="auto"/>
        <w:right w:val="none" w:sz="0" w:space="0" w:color="auto"/>
      </w:divBdr>
    </w:div>
    <w:div w:id="1237863184">
      <w:bodyDiv w:val="1"/>
      <w:marLeft w:val="0"/>
      <w:marRight w:val="0"/>
      <w:marTop w:val="0"/>
      <w:marBottom w:val="0"/>
      <w:divBdr>
        <w:top w:val="none" w:sz="0" w:space="0" w:color="auto"/>
        <w:left w:val="none" w:sz="0" w:space="0" w:color="auto"/>
        <w:bottom w:val="none" w:sz="0" w:space="0" w:color="auto"/>
        <w:right w:val="none" w:sz="0" w:space="0" w:color="auto"/>
      </w:divBdr>
    </w:div>
    <w:div w:id="1253931883">
      <w:bodyDiv w:val="1"/>
      <w:marLeft w:val="0"/>
      <w:marRight w:val="0"/>
      <w:marTop w:val="0"/>
      <w:marBottom w:val="0"/>
      <w:divBdr>
        <w:top w:val="none" w:sz="0" w:space="0" w:color="auto"/>
        <w:left w:val="none" w:sz="0" w:space="0" w:color="auto"/>
        <w:bottom w:val="none" w:sz="0" w:space="0" w:color="auto"/>
        <w:right w:val="none" w:sz="0" w:space="0" w:color="auto"/>
      </w:divBdr>
    </w:div>
    <w:div w:id="1284264750">
      <w:bodyDiv w:val="1"/>
      <w:marLeft w:val="0"/>
      <w:marRight w:val="0"/>
      <w:marTop w:val="0"/>
      <w:marBottom w:val="0"/>
      <w:divBdr>
        <w:top w:val="none" w:sz="0" w:space="0" w:color="auto"/>
        <w:left w:val="none" w:sz="0" w:space="0" w:color="auto"/>
        <w:bottom w:val="none" w:sz="0" w:space="0" w:color="auto"/>
        <w:right w:val="none" w:sz="0" w:space="0" w:color="auto"/>
      </w:divBdr>
    </w:div>
    <w:div w:id="1300040714">
      <w:bodyDiv w:val="1"/>
      <w:marLeft w:val="0"/>
      <w:marRight w:val="0"/>
      <w:marTop w:val="0"/>
      <w:marBottom w:val="0"/>
      <w:divBdr>
        <w:top w:val="none" w:sz="0" w:space="0" w:color="auto"/>
        <w:left w:val="none" w:sz="0" w:space="0" w:color="auto"/>
        <w:bottom w:val="none" w:sz="0" w:space="0" w:color="auto"/>
        <w:right w:val="none" w:sz="0" w:space="0" w:color="auto"/>
      </w:divBdr>
    </w:div>
    <w:div w:id="1376811535">
      <w:bodyDiv w:val="1"/>
      <w:marLeft w:val="0"/>
      <w:marRight w:val="0"/>
      <w:marTop w:val="0"/>
      <w:marBottom w:val="0"/>
      <w:divBdr>
        <w:top w:val="none" w:sz="0" w:space="0" w:color="auto"/>
        <w:left w:val="none" w:sz="0" w:space="0" w:color="auto"/>
        <w:bottom w:val="none" w:sz="0" w:space="0" w:color="auto"/>
        <w:right w:val="none" w:sz="0" w:space="0" w:color="auto"/>
      </w:divBdr>
    </w:div>
    <w:div w:id="1450858967">
      <w:bodyDiv w:val="1"/>
      <w:marLeft w:val="0"/>
      <w:marRight w:val="0"/>
      <w:marTop w:val="0"/>
      <w:marBottom w:val="0"/>
      <w:divBdr>
        <w:top w:val="none" w:sz="0" w:space="0" w:color="auto"/>
        <w:left w:val="none" w:sz="0" w:space="0" w:color="auto"/>
        <w:bottom w:val="none" w:sz="0" w:space="0" w:color="auto"/>
        <w:right w:val="none" w:sz="0" w:space="0" w:color="auto"/>
      </w:divBdr>
    </w:div>
    <w:div w:id="1466000948">
      <w:bodyDiv w:val="1"/>
      <w:marLeft w:val="0"/>
      <w:marRight w:val="0"/>
      <w:marTop w:val="0"/>
      <w:marBottom w:val="0"/>
      <w:divBdr>
        <w:top w:val="none" w:sz="0" w:space="0" w:color="auto"/>
        <w:left w:val="none" w:sz="0" w:space="0" w:color="auto"/>
        <w:bottom w:val="none" w:sz="0" w:space="0" w:color="auto"/>
        <w:right w:val="none" w:sz="0" w:space="0" w:color="auto"/>
      </w:divBdr>
    </w:div>
    <w:div w:id="1511211857">
      <w:bodyDiv w:val="1"/>
      <w:marLeft w:val="0"/>
      <w:marRight w:val="0"/>
      <w:marTop w:val="0"/>
      <w:marBottom w:val="0"/>
      <w:divBdr>
        <w:top w:val="none" w:sz="0" w:space="0" w:color="auto"/>
        <w:left w:val="none" w:sz="0" w:space="0" w:color="auto"/>
        <w:bottom w:val="none" w:sz="0" w:space="0" w:color="auto"/>
        <w:right w:val="none" w:sz="0" w:space="0" w:color="auto"/>
      </w:divBdr>
    </w:div>
    <w:div w:id="1536117366">
      <w:bodyDiv w:val="1"/>
      <w:marLeft w:val="0"/>
      <w:marRight w:val="0"/>
      <w:marTop w:val="0"/>
      <w:marBottom w:val="0"/>
      <w:divBdr>
        <w:top w:val="none" w:sz="0" w:space="0" w:color="auto"/>
        <w:left w:val="none" w:sz="0" w:space="0" w:color="auto"/>
        <w:bottom w:val="none" w:sz="0" w:space="0" w:color="auto"/>
        <w:right w:val="none" w:sz="0" w:space="0" w:color="auto"/>
      </w:divBdr>
    </w:div>
    <w:div w:id="1554078586">
      <w:bodyDiv w:val="1"/>
      <w:marLeft w:val="0"/>
      <w:marRight w:val="0"/>
      <w:marTop w:val="0"/>
      <w:marBottom w:val="0"/>
      <w:divBdr>
        <w:top w:val="none" w:sz="0" w:space="0" w:color="auto"/>
        <w:left w:val="none" w:sz="0" w:space="0" w:color="auto"/>
        <w:bottom w:val="none" w:sz="0" w:space="0" w:color="auto"/>
        <w:right w:val="none" w:sz="0" w:space="0" w:color="auto"/>
      </w:divBdr>
    </w:div>
    <w:div w:id="1584682104">
      <w:bodyDiv w:val="1"/>
      <w:marLeft w:val="0"/>
      <w:marRight w:val="0"/>
      <w:marTop w:val="0"/>
      <w:marBottom w:val="0"/>
      <w:divBdr>
        <w:top w:val="none" w:sz="0" w:space="0" w:color="auto"/>
        <w:left w:val="none" w:sz="0" w:space="0" w:color="auto"/>
        <w:bottom w:val="none" w:sz="0" w:space="0" w:color="auto"/>
        <w:right w:val="none" w:sz="0" w:space="0" w:color="auto"/>
      </w:divBdr>
    </w:div>
    <w:div w:id="1649165143">
      <w:bodyDiv w:val="1"/>
      <w:marLeft w:val="0"/>
      <w:marRight w:val="0"/>
      <w:marTop w:val="0"/>
      <w:marBottom w:val="0"/>
      <w:divBdr>
        <w:top w:val="none" w:sz="0" w:space="0" w:color="auto"/>
        <w:left w:val="none" w:sz="0" w:space="0" w:color="auto"/>
        <w:bottom w:val="none" w:sz="0" w:space="0" w:color="auto"/>
        <w:right w:val="none" w:sz="0" w:space="0" w:color="auto"/>
      </w:divBdr>
    </w:div>
    <w:div w:id="1765027150">
      <w:bodyDiv w:val="1"/>
      <w:marLeft w:val="0"/>
      <w:marRight w:val="0"/>
      <w:marTop w:val="0"/>
      <w:marBottom w:val="0"/>
      <w:divBdr>
        <w:top w:val="none" w:sz="0" w:space="0" w:color="auto"/>
        <w:left w:val="none" w:sz="0" w:space="0" w:color="auto"/>
        <w:bottom w:val="none" w:sz="0" w:space="0" w:color="auto"/>
        <w:right w:val="none" w:sz="0" w:space="0" w:color="auto"/>
      </w:divBdr>
    </w:div>
    <w:div w:id="1791629844">
      <w:bodyDiv w:val="1"/>
      <w:marLeft w:val="0"/>
      <w:marRight w:val="0"/>
      <w:marTop w:val="0"/>
      <w:marBottom w:val="0"/>
      <w:divBdr>
        <w:top w:val="none" w:sz="0" w:space="0" w:color="auto"/>
        <w:left w:val="none" w:sz="0" w:space="0" w:color="auto"/>
        <w:bottom w:val="none" w:sz="0" w:space="0" w:color="auto"/>
        <w:right w:val="none" w:sz="0" w:space="0" w:color="auto"/>
      </w:divBdr>
    </w:div>
    <w:div w:id="1829009670">
      <w:bodyDiv w:val="1"/>
      <w:marLeft w:val="0"/>
      <w:marRight w:val="0"/>
      <w:marTop w:val="0"/>
      <w:marBottom w:val="0"/>
      <w:divBdr>
        <w:top w:val="none" w:sz="0" w:space="0" w:color="auto"/>
        <w:left w:val="none" w:sz="0" w:space="0" w:color="auto"/>
        <w:bottom w:val="none" w:sz="0" w:space="0" w:color="auto"/>
        <w:right w:val="none" w:sz="0" w:space="0" w:color="auto"/>
      </w:divBdr>
    </w:div>
    <w:div w:id="1858498214">
      <w:bodyDiv w:val="1"/>
      <w:marLeft w:val="0"/>
      <w:marRight w:val="0"/>
      <w:marTop w:val="0"/>
      <w:marBottom w:val="0"/>
      <w:divBdr>
        <w:top w:val="none" w:sz="0" w:space="0" w:color="auto"/>
        <w:left w:val="none" w:sz="0" w:space="0" w:color="auto"/>
        <w:bottom w:val="none" w:sz="0" w:space="0" w:color="auto"/>
        <w:right w:val="none" w:sz="0" w:space="0" w:color="auto"/>
      </w:divBdr>
    </w:div>
    <w:div w:id="1866868323">
      <w:bodyDiv w:val="1"/>
      <w:marLeft w:val="0"/>
      <w:marRight w:val="0"/>
      <w:marTop w:val="0"/>
      <w:marBottom w:val="0"/>
      <w:divBdr>
        <w:top w:val="none" w:sz="0" w:space="0" w:color="auto"/>
        <w:left w:val="none" w:sz="0" w:space="0" w:color="auto"/>
        <w:bottom w:val="none" w:sz="0" w:space="0" w:color="auto"/>
        <w:right w:val="none" w:sz="0" w:space="0" w:color="auto"/>
      </w:divBdr>
    </w:div>
    <w:div w:id="1880581559">
      <w:bodyDiv w:val="1"/>
      <w:marLeft w:val="0"/>
      <w:marRight w:val="0"/>
      <w:marTop w:val="0"/>
      <w:marBottom w:val="0"/>
      <w:divBdr>
        <w:top w:val="none" w:sz="0" w:space="0" w:color="auto"/>
        <w:left w:val="none" w:sz="0" w:space="0" w:color="auto"/>
        <w:bottom w:val="none" w:sz="0" w:space="0" w:color="auto"/>
        <w:right w:val="none" w:sz="0" w:space="0" w:color="auto"/>
      </w:divBdr>
    </w:div>
    <w:div w:id="1908147120">
      <w:bodyDiv w:val="1"/>
      <w:marLeft w:val="0"/>
      <w:marRight w:val="0"/>
      <w:marTop w:val="0"/>
      <w:marBottom w:val="0"/>
      <w:divBdr>
        <w:top w:val="none" w:sz="0" w:space="0" w:color="auto"/>
        <w:left w:val="none" w:sz="0" w:space="0" w:color="auto"/>
        <w:bottom w:val="none" w:sz="0" w:space="0" w:color="auto"/>
        <w:right w:val="none" w:sz="0" w:space="0" w:color="auto"/>
      </w:divBdr>
    </w:div>
    <w:div w:id="1940718772">
      <w:bodyDiv w:val="1"/>
      <w:marLeft w:val="0"/>
      <w:marRight w:val="0"/>
      <w:marTop w:val="0"/>
      <w:marBottom w:val="0"/>
      <w:divBdr>
        <w:top w:val="none" w:sz="0" w:space="0" w:color="auto"/>
        <w:left w:val="none" w:sz="0" w:space="0" w:color="auto"/>
        <w:bottom w:val="none" w:sz="0" w:space="0" w:color="auto"/>
        <w:right w:val="none" w:sz="0" w:space="0" w:color="auto"/>
      </w:divBdr>
    </w:div>
    <w:div w:id="1983805348">
      <w:bodyDiv w:val="1"/>
      <w:marLeft w:val="0"/>
      <w:marRight w:val="0"/>
      <w:marTop w:val="0"/>
      <w:marBottom w:val="0"/>
      <w:divBdr>
        <w:top w:val="none" w:sz="0" w:space="0" w:color="auto"/>
        <w:left w:val="none" w:sz="0" w:space="0" w:color="auto"/>
        <w:bottom w:val="none" w:sz="0" w:space="0" w:color="auto"/>
        <w:right w:val="none" w:sz="0" w:space="0" w:color="auto"/>
      </w:divBdr>
    </w:div>
    <w:div w:id="2061204104">
      <w:bodyDiv w:val="1"/>
      <w:marLeft w:val="0"/>
      <w:marRight w:val="0"/>
      <w:marTop w:val="0"/>
      <w:marBottom w:val="0"/>
      <w:divBdr>
        <w:top w:val="none" w:sz="0" w:space="0" w:color="auto"/>
        <w:left w:val="none" w:sz="0" w:space="0" w:color="auto"/>
        <w:bottom w:val="none" w:sz="0" w:space="0" w:color="auto"/>
        <w:right w:val="none" w:sz="0" w:space="0" w:color="auto"/>
      </w:divBdr>
    </w:div>
    <w:div w:id="2091611001">
      <w:bodyDiv w:val="1"/>
      <w:marLeft w:val="0"/>
      <w:marRight w:val="0"/>
      <w:marTop w:val="0"/>
      <w:marBottom w:val="0"/>
      <w:divBdr>
        <w:top w:val="none" w:sz="0" w:space="0" w:color="auto"/>
        <w:left w:val="none" w:sz="0" w:space="0" w:color="auto"/>
        <w:bottom w:val="none" w:sz="0" w:space="0" w:color="auto"/>
        <w:right w:val="none" w:sz="0" w:space="0" w:color="auto"/>
      </w:divBdr>
    </w:div>
    <w:div w:id="2102413846">
      <w:bodyDiv w:val="1"/>
      <w:marLeft w:val="0"/>
      <w:marRight w:val="0"/>
      <w:marTop w:val="0"/>
      <w:marBottom w:val="0"/>
      <w:divBdr>
        <w:top w:val="none" w:sz="0" w:space="0" w:color="auto"/>
        <w:left w:val="none" w:sz="0" w:space="0" w:color="auto"/>
        <w:bottom w:val="none" w:sz="0" w:space="0" w:color="auto"/>
        <w:right w:val="none" w:sz="0" w:space="0" w:color="auto"/>
      </w:divBdr>
    </w:div>
    <w:div w:id="2104758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s.wikipedia.org/wiki/Dopravn%C3%AD_zna%C4%8Dka" TargetMode="External"/><Relationship Id="rId18" Type="http://schemas.openxmlformats.org/officeDocument/2006/relationships/hyperlink" Target="https://www.oecd.org/governance/observatory-public-sector-innovation/"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s://cs.wikipedia.org/wiki/Pozemn%C3%AD_komunikace" TargetMode="External"/><Relationship Id="rId17" Type="http://schemas.openxmlformats.org/officeDocument/2006/relationships/hyperlink" Target="http://www.epsa2015.eu/" TargetMode="External"/><Relationship Id="rId2" Type="http://schemas.openxmlformats.org/officeDocument/2006/relationships/numbering" Target="numbering.xml"/><Relationship Id="rId16" Type="http://schemas.openxmlformats.org/officeDocument/2006/relationships/hyperlink" Target="http://www.eipa.nl/en/topic/show/&amp;tid=282"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pa.gov/climate-indicators/climate-change-indicators-streamflow" TargetMode="External"/><Relationship Id="rId5" Type="http://schemas.openxmlformats.org/officeDocument/2006/relationships/settings" Target="settings.xml"/><Relationship Id="rId15" Type="http://schemas.openxmlformats.org/officeDocument/2006/relationships/hyperlink" Target="https://cs.wikipedia.org/wiki/Cyklistika" TargetMode="External"/><Relationship Id="rId23" Type="http://schemas.openxmlformats.org/officeDocument/2006/relationships/theme" Target="theme/theme1.xml"/><Relationship Id="rId10" Type="http://schemas.openxmlformats.org/officeDocument/2006/relationships/hyperlink" Target="http://ec.europa.eu/environment/water/blueprint/pdf/EUR25551EN_JRC_Blueprint_NWRM.pdf"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directives.sc.egov.usda.gov/OpenNonWebContent.aspx?content=17752.wba" TargetMode="External"/><Relationship Id="rId14" Type="http://schemas.openxmlformats.org/officeDocument/2006/relationships/hyperlink" Target="https://cs.wikipedia.org/wiki/J%C3%ADzdn%C3%AD_kolo"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databank.worldbank.org/data/reports.aspx?source=doing-business" TargetMode="External"/><Relationship Id="rId1" Type="http://schemas.openxmlformats.org/officeDocument/2006/relationships/hyperlink" Target="http://www.doingbusiness.org/ExploreTopics/PayingTax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EDE8D6-BAFA-461A-9E8F-F6F036CFA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104</Pages>
  <Words>29772</Words>
  <Characters>175660</Characters>
  <Application>Microsoft Office Word</Application>
  <DocSecurity>0</DocSecurity>
  <Lines>1463</Lines>
  <Paragraphs>410</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205022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Aneta Haimannová</dc:creator>
  <cp:lastModifiedBy>Aneta Haimannová</cp:lastModifiedBy>
  <cp:revision>4</cp:revision>
  <cp:lastPrinted>2017-03-07T16:29:00Z</cp:lastPrinted>
  <dcterms:created xsi:type="dcterms:W3CDTF">2017-03-07T17:45:00Z</dcterms:created>
  <dcterms:modified xsi:type="dcterms:W3CDTF">2017-03-07T18:23:00Z</dcterms:modified>
</cp:coreProperties>
</file>